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Reimbursement Proposal: AI Tool Subscription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Applicant: </w:t>
      </w:r>
      <w:r>
        <w:rPr>
          <w:rFonts w:ascii="Calibri" w:cs="Calibri" w:eastAsia="Calibri" w:hAnsi="Calibri"/>
          <w:sz w:val="22"/>
          <w:szCs w:val="22"/>
        </w:rPr>
        <w:t xml:space="preserve">Leo (Chen Xiaoyang), PKD1 / ADPKD PGT-M Project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28 October 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Amount: </w:t>
      </w:r>
      <w:r>
        <w:rPr>
          <w:rFonts w:ascii="Calibri" w:cs="Calibri" w:eastAsia="Calibri" w:hAnsi="Calibri"/>
          <w:sz w:val="22"/>
          <w:szCs w:val="22"/>
        </w:rPr>
        <w:t xml:space="preserve">SGD 30 / month × 7 months (Oct 2026 – Apr 2027) = SGD 210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Claude Pro subscription (Anthropic) at SGD 30 per month. It is used to build and maintain a cloud platform for the PGT-M project, covering STR marker discovery and primer design, experiment records, CE and gel result analysis, data storage, and data preparation for future machine learning model training.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Automates CE genotyping, statistics and report figures, saving substantial manual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Standardises experiment records and report formats, reducing spreadsheet and data-entry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Accumulates experimental data in a structured form that can be used directly to train future machine learning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 is the lowest paid tier that supports this work; the free tier's usage limits and features are insufficient.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October 2026 to April 2027, billed monthly. Claims will be submitted quarterly with invoices. Any extension beyond April 2027 will be requested separately.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Where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Used on the lab computer through the Claude desktop app and claude.ai cloud sessions. Project code and data are archived in the project's private GitHub repository.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How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applicant pays by personal credit card, downloads the monthly Anthropic invoice, and submits it with the card statement for quarterly reimbursement.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2026-10-28T05:05:35.321Z</dcterms:created>
  <dcterms:modified xsi:type="dcterms:W3CDTF">2026-10-28T05:05:35.325Z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