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Report date 11/01/2025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Paper report: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Overview: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Snapcase is a system to apply low-latency unlearning on a production size dataset of user purchases. The dataset contains 33Mln purchases and 200K users.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system is based on: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stored in a relational database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preparation pipeline implemented with Differential Dataflow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first part of TIFU (the NBR algo used) is implemented in Differential Dataflow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kNN top-k neighbours stored in Caboose (custom data structure that allows unlearning)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 computation of the actual recommendation based on the own user repeated purchase history and on the other user (collaborative) purchase component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paper is interesting since it shows an end to end system that allows unlearning (low-latency unlearning).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relevant components are Differential Dataflow (framework for IVM pipelines) and the modified data structure to run the NBR (Next Basket Recommendation) algorithm on (TIFU-kNN namely) while allowing unlearning on it.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first part of the paper describes how important unlearning and low-latency unlearning are.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NBR and TIFU are then explained and Caboose is introduced to allow TIFU unlearning on the top-k closest neighbours. Differential Dataflow is introduced which also partially implements TIFU, namely the embeddings computation.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Experimental metrics and scenarios: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goal is to unlearn products from customer recommendation based on ethically motivated changes in the customer shopping habits regarding: alcohol addiction, obesity, high carbon footprint. We want not to suggest wine to a client that's dealing with an alcohol addiction.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Instacart dataset contains: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33M purchases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206K users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3.4M baskets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49K distinct items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The user can remove the unwanted product and the graph is updated and also the final recommendation probabilities are updated.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Repo: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https://github.com/deem-data/snapcase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Authors: 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BIFOLD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Sebastian and Stefan et alii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Year: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2024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eem-data/snapc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