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312.677165354333"/>
        </w:tabs>
        <w:spacing w:before="200" w:line="240" w:lineRule="auto"/>
        <w:ind w:left="-1410" w:right="-1425" w:firstLine="0"/>
        <w:jc w:val="both"/>
        <w:rPr>
          <w:rFonts w:ascii="Proxima Nova" w:cs="Proxima Nova" w:eastAsia="Proxima Nova" w:hAnsi="Proxima Nova"/>
          <w:color w:val="666666"/>
          <w:sz w:val="12"/>
          <w:szCs w:val="12"/>
          <w:shd w:fill="fff15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0.0" w:type="dxa"/>
        <w:jc w:val="left"/>
        <w:tblInd w:w="-1417.3228346456694" w:type="dxa"/>
        <w:tblLayout w:type="fixed"/>
        <w:tblLook w:val="0600"/>
      </w:tblPr>
      <w:tblGrid>
        <w:gridCol w:w="2620"/>
        <w:gridCol w:w="6800"/>
        <w:gridCol w:w="2480"/>
        <w:tblGridChange w:id="0">
          <w:tblGrid>
            <w:gridCol w:w="2620"/>
            <w:gridCol w:w="6800"/>
            <w:gridCol w:w="2480"/>
          </w:tblGrid>
        </w:tblGridChange>
      </w:tblGrid>
      <w:tr>
        <w:trPr>
          <w:cantSplit w:val="0"/>
          <w:tblHeader w:val="0"/>
        </w:trPr>
        <w:tc>
          <w:tcPr>
            <w:shd w:fill="fff1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right" w:leader="none" w:pos="1559.0551181102362"/>
              </w:tabs>
              <w:spacing w:before="40" w:line="240" w:lineRule="auto"/>
              <w:ind w:left="566.9291338582677" w:firstLine="0"/>
              <w:jc w:val="both"/>
              <w:rPr>
                <w:rFonts w:ascii="Proxima Nova" w:cs="Proxima Nova" w:eastAsia="Proxima Nova" w:hAnsi="Proxima Nova"/>
                <w:color w:val="666666"/>
                <w:sz w:val="24"/>
                <w:szCs w:val="24"/>
                <w:shd w:fill="fff159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4"/>
                <w:szCs w:val="24"/>
                <w:shd w:fill="fff159" w:val="clear"/>
              </w:rPr>
              <w:drawing>
                <wp:inline distB="114300" distT="114300" distL="114300" distR="114300">
                  <wp:extent cx="481125" cy="3238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623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4"/>
                <w:szCs w:val="24"/>
                <w:shd w:fill="fff159" w:val="clear"/>
                <w:rtl w:val="0"/>
              </w:rPr>
              <w:t xml:space="preserve"> </w:t>
            </w:r>
          </w:p>
        </w:tc>
        <w:tc>
          <w:tcPr>
            <w:shd w:fill="fff159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0" w:line="240" w:lineRule="auto"/>
              <w:ind w:right="0.7086614173226735"/>
              <w:jc w:val="center"/>
              <w:rPr>
                <w:rFonts w:ascii="Proxima Nova" w:cs="Proxima Nova" w:eastAsia="Proxima Nova" w:hAnsi="Proxima Nova"/>
                <w:b w:val="1"/>
                <w:color w:val="666666"/>
                <w:sz w:val="40"/>
                <w:szCs w:val="40"/>
                <w:shd w:fill="fff159" w:val="clear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666666"/>
                <w:sz w:val="40"/>
                <w:szCs w:val="40"/>
                <w:shd w:fill="fff159" w:val="clear"/>
                <w:rtl w:val="0"/>
              </w:rPr>
              <w:t xml:space="preserve">Challenge Meli VIS</w:t>
            </w:r>
          </w:p>
        </w:tc>
        <w:tc>
          <w:tcPr>
            <w:shd w:fill="fff159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right="0.7086614173226735"/>
              <w:jc w:val="right"/>
              <w:rPr>
                <w:rFonts w:ascii="Proxima Nova" w:cs="Proxima Nova" w:eastAsia="Proxima Nova" w:hAnsi="Proxima Nova"/>
                <w:b w:val="1"/>
                <w:color w:val="666666"/>
                <w:sz w:val="26"/>
                <w:szCs w:val="26"/>
                <w:shd w:fill="fff15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before="2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1)¿Cuáles son los 3 principales Kpi’s que MercadoLibre debería seguir para medir el crecimiento? Ordénalos por importancia y explica el motivo de ese orden.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Sql: En base a los dataset enviados se deben responder y documentar las siguientes preguntas utilizando algún motor de base de datos (pueden montar una bd local o como recomendación utilizar Google BigQuery)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esquema y dataset en BD.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 ver por Año y País los indicadores de % personas que usan internet, suscripciones a telefonía celular móvil y población total.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para ver por País el Crecimiento vs año anterior de % personas que usan internet, suscripciones a telefonía celular móvil y población total desde 2010 en adelante (No pueden faltar países)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 A partir de los datos obtenidos en el punto anterior, generar 3 conclusiones relevantes y su relación con Mercadolibre.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Fuentes de datos: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Adjunto encontrarás 3 archivos xlsx y xls, con los datos a utilizar.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Puntos que se valoran: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de querys y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ordenado y bien estructurado.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Calidad de datos.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