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Plan Académico, Cronograma de Exámenes y Marco de Gobernanza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Sistema de Gestión de Pedidos y Control de Inventario Multicanal — LeoFit Solutions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Universidad Tecnológica del Perú (UTP)</w:t>
      </w:r>
      <w:r>
        <w:rPr>
          <w:rFonts w:ascii="Calibri" w:hAnsi="Calibri"/>
          <w:color w:val="1E293B"/>
          <w:sz w:val="22"/>
        </w:rPr>
        <w:t xml:space="preserve"> | </w:t>
      </w:r>
      <w:r>
        <w:rPr>
          <w:rFonts w:ascii="Calibri" w:hAnsi="Calibri"/>
          <w:b/>
          <w:color w:val="1E293B"/>
          <w:sz w:val="22"/>
        </w:rPr>
        <w:t>Facultad de Ingeniería de Sistemas e Informática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Información General de la Asignatura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Detalle Institucional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Curso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Curso Integrador II: Software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Código del Curso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100000S12F</w:t>
            </w:r>
            <w:r>
              <w:rPr>
                <w:rFonts w:ascii="Calibri" w:hAnsi="Calibri"/>
                <w:color w:val="1E293B"/>
                <w:sz w:val="19"/>
              </w:rPr>
              <w:t xml:space="preserve"> (1S12F)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Sección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35374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Modalidad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Presencial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Horario de Clases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Lunes:</w:t>
            </w:r>
            <w:r>
              <w:rPr>
                <w:rFonts w:ascii="Calibri" w:hAnsi="Calibri"/>
                <w:color w:val="1E293B"/>
                <w:sz w:val="19"/>
              </w:rPr>
              <w:t xml:space="preserve"> 18:30 – 20:00 (Sesión 1 - Asesoría / Avance)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Jueves:</w:t>
            </w:r>
            <w:r>
              <w:rPr>
                <w:rFonts w:ascii="Calibri" w:hAnsi="Calibri"/>
                <w:color w:val="1E293B"/>
                <w:sz w:val="19"/>
              </w:rPr>
              <w:t xml:space="preserve"> 20:15 – 21:45 (Sesión 2 - Evaluaciones / Calificación)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Docente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Ing. Huamani Uriarte, Enrique Lee</w:t>
            </w:r>
          </w:p>
        </w:tc>
        <w:tc>
          <w:tcPr>
            <w:tcW w:type="dxa" w:w="3120"/>
          </w:tcPr>
          <w:p/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Horas Semanales / Créditos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4.0 Horas \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3.00 Créditos</w:t>
            </w:r>
          </w:p>
        </w:tc>
      </w:tr>
      <w:tr>
        <w:trPr>
          <w:trHeight w:val="280"/>
        </w:trPr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Fórmula de Calificación</w:t>
            </w:r>
          </w:p>
        </w:tc>
        <w:tc>
          <w:tcPr>
            <w:tcW w:type="dxa" w:w="312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$\text{Promedio Final} = 0.20 \times \text{APF1} + 0.20 \times \text{APF2} + 0.20 \times \text{APF3} + 0.40 \times \text{PROY}$</w:t>
            </w:r>
          </w:p>
        </w:tc>
        <w:tc>
          <w:tcPr>
            <w:tcW w:type="dxa" w:w="3120"/>
          </w:tcPr>
          <w:p/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Calendario Oficial de Hitos y Fechas de Sustentación</w:t>
      </w:r>
    </w:p>
    <w:p>
      <w:pPr>
        <w:spacing w:before="120" w:after="160" w:line="252" w:lineRule="auto"/>
        <w:shd w:fill="F1F5F9"/>
      </w:pPr>
      <w:r>
        <w:rPr>
          <w:rFonts w:ascii="Consolas" w:hAnsi="Consolas"/>
          <w:color w:val="0F172A"/>
          <w:sz w:val="18"/>
        </w:rPr>
        <w:t>timeline</w:t>
        <w:br/>
        <w:t xml:space="preserve">    title Cronograma de Hitos y Exámenes UTP - Ciclo 2026</w:t>
        <w:br/>
        <w:t xml:space="preserve">    section APF1 (20%)</w:t>
        <w:br/>
        <w:t xml:space="preserve">        Semana 05 - Jueves : Sustentación APF1 : Calificación Obtenida 18/20 (Aprobado)</w:t>
        <w:br/>
        <w:t xml:space="preserve">    section APF2 (20%)</w:t>
        <w:br/>
        <w:t xml:space="preserve">        Semana 09 - Jueves : Sustentación APF2 : Backend + BD BCNF + Seguridad + Cloud v1 (100% Listo)</w:t>
        <w:br/>
        <w:t xml:space="preserve">    section APF3 (20%)</w:t>
        <w:br/>
        <w:t xml:space="preserve">        Semana 13 - Jueves : Sustentación APF3 : Calidad ISO 25010 + Usabilidad + Cloud v2</w:t>
        <w:br/>
        <w:t xml:space="preserve">    section PROYECTO FINAL (40%)</w:t>
        <w:br/>
        <w:t xml:space="preserve">        Semana 18 - Jueves : Sustentación Final : Sistema en Producción y Pitch Comercial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Matriz Detallada de Evaluaciones y Rúbricas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Hito / Evaluación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Peso %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Semana de Clase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Fecha de Examen (Sesión 2)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Estado / Calificación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Contenido Evaluado y Requisitos de Rúbrica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APF1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20%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Semana 05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Jueves 10/09/2026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Aprobado: 18/20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Análisis de negocio (Lean Canvas).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Modelado de procesos (BPMN AS-IS y TO-BE).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Project Charter y Product Backlog ágil.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Prototipos UI/UX Mobile-First y Frontend PWA con WPO.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APF2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20%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Semana 09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Jueves 08/10/2026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100% Completado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Base de Datos:</w:t>
            </w:r>
            <w:r>
              <w:rPr>
                <w:rFonts w:ascii="Calibri" w:hAnsi="Calibri"/>
                <w:color w:val="1E293B"/>
                <w:sz w:val="19"/>
              </w:rPr>
              <w:t xml:space="preserve"> Diseño físico BCNF, Replicación WAL, PgBouncer, Backups PITR.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Backend &amp; Seguridad:</w:t>
            </w:r>
            <w:r>
              <w:rPr>
                <w:rFonts w:ascii="Calibri" w:hAnsi="Calibri"/>
                <w:color w:val="1E293B"/>
                <w:sz w:val="19"/>
              </w:rPr>
              <w:t xml:space="preserve"> API REST, Patrón Repositorio, JWT/RBAC, Catálogo OWASP Top 10, Pruebas DAST/SAST.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Validación &amp; Despliegue:</w:t>
            </w:r>
            <w:r>
              <w:rPr>
                <w:rFonts w:ascii="Calibri" w:hAnsi="Calibri"/>
                <w:color w:val="1E293B"/>
                <w:sz w:val="19"/>
              </w:rPr>
              <w:t xml:space="preserve"> 18 pruebas automatizadas Jest, Despliegue Cloud v1 (Vercel/Render/Supabase) y Health Check.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Levantamiento del 100% de observaciones del APF1.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APF3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20%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Semana 13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Jueves 05/11/2026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Planificado (Sprint 4)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Calidad de Software ISO 25010:</w:t>
            </w:r>
            <w:r>
              <w:rPr>
                <w:rFonts w:ascii="Calibri" w:hAnsi="Calibri"/>
                <w:color w:val="1E293B"/>
                <w:sz w:val="19"/>
              </w:rPr>
              <w:t xml:space="preserve"> Pruebas automatizadas de funcionalidad, compatibilidad/interoperabilidad y usabilidad.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Informe ISO 25010:</w:t>
            </w:r>
            <w:r>
              <w:rPr>
                <w:rFonts w:ascii="Calibri" w:hAnsi="Calibri"/>
                <w:color w:val="1E293B"/>
                <w:sz w:val="19"/>
              </w:rPr>
              <w:t xml:space="preserve"> Aprendizaje, protección contra errores, asistencia y engagement.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Manual de despliegue actualizado a versión 2 en Cloud.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PROY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40%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Semana 18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Jueves 10/12/2026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i/>
                <w:color w:val="1E293B"/>
                <w:sz w:val="19"/>
              </w:rPr>
              <w:t>Planificado (Sprint 5)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• </w:t>
            </w:r>
            <w:r>
              <w:rPr>
                <w:rFonts w:ascii="Calibri" w:hAnsi="Calibri"/>
                <w:b/>
                <w:color w:val="1E293B"/>
                <w:sz w:val="19"/>
              </w:rPr>
              <w:t>Sustentación del Proyecto Final Integral:</w:t>
            </w:r>
            <w:r>
              <w:rPr>
                <w:rFonts w:ascii="Calibri" w:hAnsi="Calibri"/>
                <w:color w:val="1E293B"/>
                <w:sz w:val="19"/>
              </w:rPr>
              <w:t xml:space="preserve"> Demostración del sistema 100% operativo en producción con transacciones reales.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Reportes de calidad global, monitoreo y analítica de negocio.</w:t>
            </w:r>
          </w:p>
          <w:p>
            <w:pPr>
              <w:spacing w:before="4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Defensa individual y argumentación técnica del equipo.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Equipo de Trabajo (Grupo 01) y Matriz RACI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Código UTP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Usuario GitHub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 Primario Scrum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Roles Técnicos Especializados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Lady Luz Loayza Rodriguez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U22221489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@LadyyLuz</w:t>
            </w:r>
            <w:r>
              <w:rPr>
                <w:rFonts w:ascii="Calibri" w:hAnsi="Calibri"/>
                <w:color w:val="1E293B"/>
                <w:sz w:val="19"/>
              </w:rPr>
              <w:t xml:space="preserve"> (</w:t>
            </w:r>
            <w:r>
              <w:rPr>
                <w:rFonts w:ascii="Consolas" w:hAnsi="Consolas"/>
                <w:color w:val="C2410C"/>
                <w:sz w:val="19"/>
              </w:rPr>
              <w:t>luzylay</w:t>
            </w:r>
            <w:r>
              <w:rPr>
                <w:rFonts w:ascii="Calibri" w:hAnsi="Calibri"/>
                <w:color w:val="1E293B"/>
                <w:sz w:val="19"/>
              </w:rPr>
              <w:t>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Scrum Master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DevSecOps, Coordinadora de Seguridad JWT, Gobernanza e Informe Maestro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Víctor Leandro Cárdenas Fernández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U19217414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@VictorCardenazFernandez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Product Owner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Arquitecto de Base de Datos (DBA), Modelado Relacional BCNF y Backlog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Harley Anthony Roman Delgado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U21313032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@hroman2004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Frontend Lead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Especialista PWA, Diseñador UI/UX y Optimización de Rendimiento WPO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Jim Alessandro Dávila Morales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U18206081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@Jim4279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QA Engineer Lead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Desarrollador Backend Node.js/TS, Patrón Repositorio y Pruebas Automatizadas</w:t>
            </w:r>
          </w:p>
        </w:tc>
      </w:tr>
      <w:tr>
        <w:trPr>
          <w:trHeight w:val="280"/>
        </w:trP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Daniel Enrique Rojas Sanchez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U21214627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C2410C"/>
                <w:sz w:val="19"/>
              </w:rPr>
              <w:t>@Daniel102608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Business Analyst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Cloud DevOps, Ingeniero de Observabilidad y Monitoreo SLA/SLO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Matriz RACI por Hito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Actividad / Entregable Clave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Scrum Master (</w:t>
            </w:r>
            <w:r>
              <w:rPr>
                <w:rFonts w:ascii="Consolas" w:hAnsi="Consolas"/>
                <w:b/>
                <w:color w:val="C2410C"/>
                <w:sz w:val="19"/>
              </w:rPr>
              <w:t>Lady</w:t>
            </w:r>
            <w:r>
              <w:rPr>
                <w:rFonts w:ascii="Calibri" w:hAnsi="Calibri"/>
                <w:b/>
                <w:color w:val="FFFFFF"/>
                <w:sz w:val="20"/>
              </w:rPr>
              <w:t>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Product Owner (</w:t>
            </w:r>
            <w:r>
              <w:rPr>
                <w:rFonts w:ascii="Consolas" w:hAnsi="Consolas"/>
                <w:b/>
                <w:color w:val="C2410C"/>
                <w:sz w:val="19"/>
              </w:rPr>
              <w:t>Víctor</w:t>
            </w:r>
            <w:r>
              <w:rPr>
                <w:rFonts w:ascii="Calibri" w:hAnsi="Calibri"/>
                <w:b/>
                <w:color w:val="FFFFFF"/>
                <w:sz w:val="20"/>
              </w:rPr>
              <w:t>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Frontend Lead (</w:t>
            </w:r>
            <w:r>
              <w:rPr>
                <w:rFonts w:ascii="Consolas" w:hAnsi="Consolas"/>
                <w:b/>
                <w:color w:val="C2410C"/>
                <w:sz w:val="19"/>
              </w:rPr>
              <w:t>Harley</w:t>
            </w:r>
            <w:r>
              <w:rPr>
                <w:rFonts w:ascii="Calibri" w:hAnsi="Calibri"/>
                <w:b/>
                <w:color w:val="FFFFFF"/>
                <w:sz w:val="20"/>
              </w:rPr>
              <w:t>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QA Lead (</w:t>
            </w:r>
            <w:r>
              <w:rPr>
                <w:rFonts w:ascii="Consolas" w:hAnsi="Consolas"/>
                <w:b/>
                <w:color w:val="C2410C"/>
                <w:sz w:val="19"/>
              </w:rPr>
              <w:t>Jim</w:t>
            </w:r>
            <w:r>
              <w:rPr>
                <w:rFonts w:ascii="Calibri" w:hAnsi="Calibri"/>
                <w:b/>
                <w:color w:val="FFFFFF"/>
                <w:sz w:val="20"/>
              </w:rPr>
              <w:t>)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Business Analyst (</w:t>
            </w:r>
            <w:r>
              <w:rPr>
                <w:rFonts w:ascii="Consolas" w:hAnsi="Consolas"/>
                <w:b/>
                <w:color w:val="C2410C"/>
                <w:sz w:val="19"/>
              </w:rPr>
              <w:t>Daniel</w:t>
            </w:r>
            <w:r>
              <w:rPr>
                <w:rFonts w:ascii="Calibri" w:hAnsi="Calibri"/>
                <w:b/>
                <w:color w:val="FFFFFF"/>
                <w:sz w:val="20"/>
              </w:rPr>
              <w:t>)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Project Charter, Cronograma y Riesgos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Diseño UI/UX, Heurísticas y PWA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Diseño Físico BD BCNF y Replicación WAL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Backend API REST &amp; Patrón Repositorio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Seguridad JWT, OWASP Top 10 y SAST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Infraestructura Cloud, Sondas SLA/SLO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Pruebas Automatizadas Jest &amp; Supertest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I</w:t>
            </w:r>
          </w:p>
        </w:tc>
      </w:tr>
      <w:tr>
        <w:trPr>
          <w:trHeight w:val="280"/>
        </w:trPr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Consolidación Informe y Sustentación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1E293B"/>
                <w:sz w:val="19"/>
              </w:rPr>
              <w:t>A / R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  <w:tc>
          <w:tcPr>
            <w:tcW w:type="dxa" w:w="1560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i/>
          <w:color w:val="1E293B"/>
          <w:sz w:val="22"/>
        </w:rPr>
        <w:t>(R: Responsible, A: Accountable, C: Consulted, I: Informed)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Gestión Ágil en GitHub Projects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Toda la gestión operativa, tarjetas de historias de usuario, asignación de roles, sprints y criterios de aceptación se gestionan en el tablero oficial: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[Tablero GitHub Projects: Gestión_de_Desarrollo-LeoFit](https://github.com/orgs/Leofit-Solutions-Grupo01/projects/1)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&gt; Para consultar la matriz de las 20 tareas con sus títulos y descripciones listos para copiar y pegar, consulte la [</w:t>
      </w:r>
      <w:r>
        <w:rPr>
          <w:rFonts w:ascii="Consolas" w:hAnsi="Consolas"/>
          <w:color w:val="C2410C"/>
          <w:sz w:val="19"/>
        </w:rPr>
        <w:t>Guía de Carga de Issues (docs/GUIA_CARGA_ISSUES_GITHUB.md)</w:t>
      </w:r>
      <w:r>
        <w:rPr>
          <w:rFonts w:ascii="Calibri" w:hAnsi="Calibri"/>
          <w:color w:val="1E293B"/>
          <w:sz w:val="22"/>
        </w:rPr>
        <w:t>](GUIA_CARGA_ISSUES_GITHUB.md).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