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20"/>
      </w:pPr>
      <w:r>
        <w:rPr>
          <w:rFonts w:ascii="Calibri" w:hAnsi="Calibri"/>
          <w:b/>
          <w:color w:val="0F172A"/>
          <w:sz w:val="36"/>
        </w:rPr>
        <w:t>UNIVERSIDAD TECNOLÓGICA DEL PERÚ</w:t>
      </w:r>
    </w:p>
    <w:p>
      <w:pPr>
        <w:keepNext/>
        <w:spacing w:before="280" w:after="80"/>
      </w:pPr>
      <w:r>
        <w:rPr>
          <w:rFonts w:ascii="Calibri" w:hAnsi="Calibri"/>
          <w:b/>
          <w:color w:val="F97316"/>
          <w:sz w:val="28"/>
        </w:rPr>
        <w:t>FACULTAD DE INGENIERÍA DE SISTEMAS E INFORMÁTICA</w:t>
      </w:r>
    </w:p>
    <w:p>
      <w:pPr>
        <w:keepNext/>
        <w:spacing w:before="200" w:after="40"/>
      </w:pPr>
      <w:r>
        <w:rPr>
          <w:rFonts w:ascii="Calibri" w:hAnsi="Calibri"/>
          <w:b/>
          <w:color w:val="1E293B"/>
          <w:sz w:val="24"/>
        </w:rPr>
        <w:t>CURSO INTEGRADOR II: SOFTWARE (100000S12F)</w:t>
      </w:r>
    </w:p>
    <w:p>
      <w:pPr>
        <w:keepNext/>
        <w:spacing w:before="320" w:after="120"/>
      </w:pPr>
      <w:r>
        <w:rPr>
          <w:rFonts w:ascii="Calibri" w:hAnsi="Calibri"/>
          <w:b/>
          <w:color w:val="0F172A"/>
          <w:sz w:val="36"/>
        </w:rPr>
        <w:t>GUÍA FORMAL DE PREGUNTAS Y RESPUESTAS CRÍTICAS PARA SUSTENTACIÓN ANTE EL JURADO</w:t>
      </w:r>
    </w:p>
    <w:p>
      <w:pPr>
        <w:keepNext/>
        <w:spacing w:before="280" w:after="80"/>
      </w:pPr>
      <w:r>
        <w:rPr>
          <w:rFonts w:ascii="Calibri" w:hAnsi="Calibri"/>
          <w:b/>
          <w:color w:val="F97316"/>
          <w:sz w:val="28"/>
        </w:rPr>
        <w:t>PROYECTO: SISTEMA WEB PWA DE GESTIÓN Y TOMA DE PEDIDOS MULTICANAL PARA LEOFIT</w:t>
      </w:r>
    </w:p>
    <w:p>
      <w:pPr>
        <w:keepNext/>
        <w:spacing w:before="280" w:after="80"/>
      </w:pPr>
      <w:r>
        <w:rPr>
          <w:rFonts w:ascii="Calibri" w:hAnsi="Calibri"/>
          <w:b/>
          <w:color w:val="F97316"/>
          <w:sz w:val="28"/>
        </w:rPr>
        <w:t>1. CATEGORÍA: ANÁLISIS DE NEGOCIO, PROCESOS Y RÚBRICA APF1</w:t>
      </w:r>
    </w:p>
    <w:p>
      <w:pPr>
        <w:keepNext/>
        <w:spacing w:before="200" w:after="40"/>
      </w:pPr>
      <w:r>
        <w:rPr>
          <w:rFonts w:ascii="Calibri" w:hAnsi="Calibri"/>
          <w:b/>
          <w:color w:val="1E293B"/>
          <w:sz w:val="24"/>
        </w:rPr>
        <w:t>Pregunta 1.1: ¿Por qué la empresa seleccionada califica como un caso de estudio válido para el curso?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2"/>
        </w:rPr>
        <w:t>Fundamentación Técnica y de Negocio: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>LeoFit cumple estrictamente con los criterios de la rúbrica al ser una microempresa peruana debidamente constituida, con operación comercial activa y una problemática real demostrable: la gestión manual y no estandarizada de pedidos por WhatsApp que genera demoras de 25 minutos por orden, sobreventas y extravío de registros. Además, se cuenta con acceso irrestricto al stakeholder (Víctor Raúl Cárdenas), garantizando la validación continua de prototipos e incrementos de software.</w:t>
      </w:r>
    </w:p>
    <w:p>
      <w:pPr>
        <w:keepNext/>
        <w:spacing w:before="200" w:after="40"/>
      </w:pPr>
      <w:r>
        <w:rPr>
          <w:rFonts w:ascii="Calibri" w:hAnsi="Calibri"/>
          <w:b/>
          <w:color w:val="1E293B"/>
          <w:sz w:val="24"/>
        </w:rPr>
        <w:t>Pregunta 1.2: ¿En qué se diferencia el modelo AS-IS del modelo propuesto TO-BE?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2"/>
        </w:rPr>
        <w:t>Fundamentación Técnica y de Negocio: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>El modelo AS-IS es secuencial, manual y vulnerable, con 8 pasos donde la verificación de stock se hace visualmente y las anotaciones en papel. El modelo TO-BE digitaliza el proceso mediante una Progressive Web App (PWA): el cliente consulta un catálogo interactivo con stock sincronizado, el sistema valida y descuenta existencias automáticamente, calcula el flete y genera una orden formal con ID único. El administrador gestiona la preparación y el despacho mediante un tablero con cambio de estados en un solo clic, reduciendo el ciclo de pedido a menos de 3 minutos.</w:t>
      </w:r>
    </w:p>
    <w:p>
      <w:pPr>
        <w:keepNext/>
        <w:spacing w:before="280" w:after="80"/>
      </w:pPr>
      <w:r>
        <w:rPr>
          <w:rFonts w:ascii="Calibri" w:hAnsi="Calibri"/>
          <w:b/>
          <w:color w:val="F97316"/>
          <w:sz w:val="28"/>
        </w:rPr>
        <w:t>2. CATEGORÍA: GESTIÓN ÁGIL, SCRUM Y PLANIFICACIÓN</w:t>
      </w:r>
    </w:p>
    <w:p>
      <w:pPr>
        <w:keepNext/>
        <w:spacing w:before="200" w:after="40"/>
      </w:pPr>
      <w:r>
        <w:rPr>
          <w:rFonts w:ascii="Calibri" w:hAnsi="Calibri"/>
          <w:b/>
          <w:color w:val="1E293B"/>
          <w:sz w:val="24"/>
        </w:rPr>
        <w:t>Pregunta 2.1: ¿Cómo determinaron la velocidad del equipo y la duración de los Sprints?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2"/>
        </w:rPr>
        <w:t>Fundamentación Técnica y de Negocio: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>Se estableció un esquema de Sprints de 2 semanas calendario con una capacidad estimada de 35 Story Points (SP) por iteración. Las historias de usuario fueron estimadas mediante la secuencia Fibonacci (1, 2, 3, 5, 8, 13) y priorizadas con la metodología MoSCoW. Cada historia cuenta con criterios de aceptación en estándar Gherkin (</w:t>
      </w:r>
      <w:r>
        <w:rPr>
          <w:rFonts w:ascii="Calibri" w:hAnsi="Calibri"/>
          <w:i/>
          <w:color w:val="1E293B"/>
          <w:sz w:val="22"/>
        </w:rPr>
        <w:t>Given-When-Then</w:t>
      </w:r>
      <w:r>
        <w:rPr>
          <w:rFonts w:ascii="Calibri" w:hAnsi="Calibri"/>
          <w:color w:val="1E293B"/>
          <w:sz w:val="22"/>
        </w:rPr>
        <w:t>), y el flujo de trabajo se controla en un tablero Kanban con límites estrictos de trabajo en progreso (WIP Limits) en GitHub Projects.</w:t>
      </w:r>
    </w:p>
    <w:p>
      <w:pPr>
        <w:keepNext/>
        <w:spacing w:before="200" w:after="40"/>
      </w:pPr>
      <w:r>
        <w:rPr>
          <w:rFonts w:ascii="Calibri" w:hAnsi="Calibri"/>
          <w:b/>
          <w:color w:val="1E293B"/>
          <w:sz w:val="24"/>
        </w:rPr>
        <w:t>Pregunta 2.2: ¿Cuál es la política de Definition of Done (DoD) acordada por el equipo?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2"/>
        </w:rPr>
        <w:t>Fundamentación Técnica y de Negocio: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>Para que una tarea se considere concluida (</w:t>
      </w:r>
      <w:r>
        <w:rPr>
          <w:rFonts w:ascii="Consolas" w:hAnsi="Consolas"/>
          <w:color w:val="C2410C"/>
          <w:sz w:val="19"/>
        </w:rPr>
        <w:t>Done</w:t>
      </w:r>
      <w:r>
        <w:rPr>
          <w:rFonts w:ascii="Calibri" w:hAnsi="Calibri"/>
          <w:color w:val="1E293B"/>
          <w:sz w:val="22"/>
        </w:rPr>
        <w:t xml:space="preserve">), debe cumplir cuatro criterios rigurosos: (1) Código implementado en TypeScript estricto sin advertencias de linters; (2) Pruebas unitarias aprobadas con Vitest garantizando </w:t>
      </w:r>
      <w:r>
        <w:rPr>
          <w:rFonts w:ascii="Calibri" w:hAnsi="Calibri"/>
          <w:i/>
          <w:color w:val="1E293B"/>
          <w:sz w:val="22"/>
        </w:rPr>
        <w:t>≥ 80%</w:t>
      </w:r>
      <w:r>
        <w:rPr>
          <w:rFonts w:ascii="Calibri" w:hAnsi="Calibri"/>
          <w:color w:val="1E293B"/>
          <w:sz w:val="22"/>
        </w:rPr>
        <w:t xml:space="preserve"> de cobertura; (3) Revisión por pares mediante Pull Request en GitHub; y (4) Despliegue automatizado exitoso en el ambiente de producción mediante GitHub Actions.</w:t>
      </w:r>
    </w:p>
    <w:p>
      <w:pPr>
        <w:keepNext/>
        <w:spacing w:before="280" w:after="80"/>
      </w:pPr>
      <w:r>
        <w:rPr>
          <w:rFonts w:ascii="Calibri" w:hAnsi="Calibri"/>
          <w:b/>
          <w:color w:val="F97316"/>
          <w:sz w:val="28"/>
        </w:rPr>
        <w:t>3. CATEGORÍA: ARQUITECTURA DE SOFTWARE Y TECNOLOGÍA FRONT-END</w:t>
      </w:r>
    </w:p>
    <w:p>
      <w:pPr>
        <w:keepNext/>
        <w:spacing w:before="200" w:after="40"/>
      </w:pPr>
      <w:r>
        <w:rPr>
          <w:rFonts w:ascii="Calibri" w:hAnsi="Calibri"/>
          <w:b/>
          <w:color w:val="1E293B"/>
          <w:sz w:val="24"/>
        </w:rPr>
        <w:t>Pregunta 3.1: ¿Por qué seleccionaron una Progressive Web App (PWA) con React y Vite en lugar de una aplicación móvil nativa o WordPress?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2"/>
        </w:rPr>
        <w:t>Fundamentación Técnica y de Negocio: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Frente a Apps Nativas:</w:t>
      </w:r>
      <w:r>
        <w:rPr>
          <w:rFonts w:ascii="Calibri" w:hAnsi="Calibri"/>
          <w:color w:val="1E293B"/>
          <w:sz w:val="21"/>
        </w:rPr>
        <w:t xml:space="preserve"> Una PWA no requiere instalación desde tiendas propietarias (Play Store / App Store), eliminando la fricción de descarga para el cliente y reduciendo drásticamente los costos de desarrollo multi-plataforma (un solo código fuente para móvil y escritorio).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Frente a WordPress/WooCommerce:</w:t>
      </w:r>
      <w:r>
        <w:rPr>
          <w:rFonts w:ascii="Calibri" w:hAnsi="Calibri"/>
          <w:color w:val="1E293B"/>
          <w:sz w:val="21"/>
        </w:rPr>
        <w:t xml:space="preserve"> React + Vite proporciona una arquitectura desacoplada, carga instantánea (</w:t>
      </w:r>
      <w:r>
        <w:rPr>
          <w:rFonts w:ascii="Calibri" w:hAnsi="Calibri"/>
          <w:i/>
          <w:color w:val="1E293B"/>
          <w:sz w:val="21"/>
        </w:rPr>
        <w:t>&lt; 0.5</w:t>
      </w:r>
      <w:r>
        <w:rPr>
          <w:rFonts w:ascii="Calibri" w:hAnsi="Calibri"/>
          <w:color w:val="1E293B"/>
          <w:sz w:val="21"/>
        </w:rPr>
        <w:t xml:space="preserve"> s), menor consumo de memoria y control total sobre el pipeline de optimización WPO.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b/>
          <w:color w:val="1E293B"/>
          <w:sz w:val="21"/>
        </w:rPr>
        <w:t>Uso de TypeScript y Tailwind:</w:t>
      </w:r>
      <w:r>
        <w:rPr>
          <w:rFonts w:ascii="Calibri" w:hAnsi="Calibri"/>
          <w:color w:val="1E293B"/>
          <w:sz w:val="21"/>
        </w:rPr>
        <w:t xml:space="preserve"> Garantiza tipado estricto en tiempo de compilación, previniendo errores en tiempo de ejecución, y un bundle de estilos ultraligero depurado con PurgeCSS.</w:t>
      </w:r>
    </w:p>
    <w:p>
      <w:pPr>
        <w:keepNext/>
        <w:spacing w:before="280" w:after="80"/>
      </w:pPr>
      <w:r>
        <w:rPr>
          <w:rFonts w:ascii="Calibri" w:hAnsi="Calibri"/>
          <w:b/>
          <w:color w:val="F97316"/>
          <w:sz w:val="28"/>
        </w:rPr>
        <w:t>4. CATEGORÍA: ASEGURAMIENTO DE LA CALIDAD (QA) Y PRUEBAS</w:t>
      </w:r>
    </w:p>
    <w:p>
      <w:pPr>
        <w:keepNext/>
        <w:spacing w:before="200" w:after="40"/>
      </w:pPr>
      <w:r>
        <w:rPr>
          <w:rFonts w:ascii="Calibri" w:hAnsi="Calibri"/>
          <w:b/>
          <w:color w:val="1E293B"/>
          <w:sz w:val="24"/>
        </w:rPr>
        <w:t>Pregunta 4.1: ¿Qué estrategia de pruebas se implementó para garantizar la fiabilidad del sistema?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2"/>
        </w:rPr>
        <w:t>Fundamentación Técnica y de Negocio: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 xml:space="preserve">Se implementó una suite de pruebas unitarias automatizadas con </w:t>
      </w:r>
      <w:r>
        <w:rPr>
          <w:rFonts w:ascii="Calibri" w:hAnsi="Calibri"/>
          <w:b/>
          <w:color w:val="1E293B"/>
          <w:sz w:val="22"/>
        </w:rPr>
        <w:t>Vitest</w:t>
      </w:r>
      <w:r>
        <w:rPr>
          <w:rFonts w:ascii="Calibri" w:hAnsi="Calibri"/>
          <w:color w:val="1E293B"/>
          <w:sz w:val="22"/>
        </w:rPr>
        <w:t xml:space="preserve"> en la capa de datos y lógica de negocio (</w:t>
      </w:r>
      <w:r>
        <w:rPr>
          <w:rFonts w:ascii="Consolas" w:hAnsi="Consolas"/>
          <w:color w:val="C2410C"/>
          <w:sz w:val="19"/>
        </w:rPr>
        <w:t>frontend/src/__tests__/mockData.test.ts</w:t>
      </w:r>
      <w:r>
        <w:rPr>
          <w:rFonts w:ascii="Calibri" w:hAnsi="Calibri"/>
          <w:color w:val="1E293B"/>
          <w:sz w:val="22"/>
        </w:rPr>
        <w:t>). Las pruebas validan la integridad de precios, existencias no negativas, pertenencia de categorías y normalización de estados de los pedidos. La suite se ejecuta de forma automática en el pipeline de Integración Continua (</w:t>
      </w:r>
      <w:r>
        <w:rPr>
          <w:rFonts w:ascii="Consolas" w:hAnsi="Consolas"/>
          <w:color w:val="C2410C"/>
          <w:sz w:val="19"/>
        </w:rPr>
        <w:t>.github/workflows/security-scan.yml</w:t>
      </w:r>
      <w:r>
        <w:rPr>
          <w:rFonts w:ascii="Calibri" w:hAnsi="Calibri"/>
          <w:color w:val="1E293B"/>
          <w:sz w:val="22"/>
        </w:rPr>
        <w:t xml:space="preserve">) ante cada </w:t>
      </w:r>
      <w:r>
        <w:rPr>
          <w:rFonts w:ascii="Consolas" w:hAnsi="Consolas"/>
          <w:color w:val="C2410C"/>
          <w:sz w:val="19"/>
        </w:rPr>
        <w:t>push</w:t>
      </w:r>
      <w:r>
        <w:rPr>
          <w:rFonts w:ascii="Calibri" w:hAnsi="Calibri"/>
          <w:color w:val="1E293B"/>
          <w:sz w:val="22"/>
        </w:rPr>
        <w:t xml:space="preserve"> y </w:t>
      </w:r>
      <w:r>
        <w:rPr>
          <w:rFonts w:ascii="Consolas" w:hAnsi="Consolas"/>
          <w:color w:val="C2410C"/>
          <w:sz w:val="19"/>
        </w:rPr>
        <w:t>pull request</w:t>
      </w:r>
      <w:r>
        <w:rPr>
          <w:rFonts w:ascii="Calibri" w:hAnsi="Calibri"/>
          <w:color w:val="1E293B"/>
          <w:sz w:val="22"/>
        </w:rPr>
        <w:t xml:space="preserve"> a la rama </w:t>
      </w:r>
      <w:r>
        <w:rPr>
          <w:rFonts w:ascii="Consolas" w:hAnsi="Consolas"/>
          <w:color w:val="C2410C"/>
          <w:sz w:val="19"/>
        </w:rPr>
        <w:t>main</w:t>
      </w:r>
      <w:r>
        <w:rPr>
          <w:rFonts w:ascii="Calibri" w:hAnsi="Calibri"/>
          <w:color w:val="1E293B"/>
          <w:sz w:val="22"/>
        </w:rPr>
        <w:t>.</w:t>
      </w:r>
    </w:p>
    <w:p>
      <w:pPr>
        <w:keepNext/>
        <w:spacing w:before="280" w:after="80"/>
      </w:pPr>
      <w:r>
        <w:rPr>
          <w:rFonts w:ascii="Calibri" w:hAnsi="Calibri"/>
          <w:b/>
          <w:color w:val="F97316"/>
          <w:sz w:val="28"/>
        </w:rPr>
        <w:t>5. CATEGORÍA: OPTIMIZACIÓN WEB (WPO) Y NIVELES DE SERVICIO (SLA/SLO)</w:t>
      </w:r>
    </w:p>
    <w:p>
      <w:pPr>
        <w:keepNext/>
        <w:spacing w:before="200" w:after="40"/>
      </w:pPr>
      <w:r>
        <w:rPr>
          <w:rFonts w:ascii="Calibri" w:hAnsi="Calibri"/>
          <w:b/>
          <w:color w:val="1E293B"/>
          <w:sz w:val="24"/>
        </w:rPr>
        <w:t>Pregunta 5.1: ¿Cuáles fueron los resultados cuantitativos de las estrategias WPO implementadas?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2"/>
        </w:rPr>
        <w:t>Fundamentación Técnica y de Negocio: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>Se implementaron cinco estrategias técnicas: Tree-shaking, minificación con esbuild, code-splitting modular, memoización React y carga asíncrona de fuentes. Los resultados medidos con Google Lighthouse evidencian: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Incremento de la puntuación Lighthouse de 68/100 a </w:t>
      </w:r>
      <w:r>
        <w:rPr>
          <w:rFonts w:ascii="Calibri" w:hAnsi="Calibri"/>
          <w:b/>
          <w:color w:val="1E293B"/>
          <w:sz w:val="21"/>
        </w:rPr>
        <w:t>98/100</w:t>
      </w:r>
      <w:r>
        <w:rPr>
          <w:rFonts w:ascii="Calibri" w:hAnsi="Calibri"/>
          <w:color w:val="1E293B"/>
          <w:sz w:val="21"/>
        </w:rPr>
        <w:t xml:space="preserve"> (+44.1%).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Reducción del First Contentful Paint (FCP) de 2.4 s a </w:t>
      </w:r>
      <w:r>
        <w:rPr>
          <w:rFonts w:ascii="Calibri" w:hAnsi="Calibri"/>
          <w:b/>
          <w:color w:val="1E293B"/>
          <w:sz w:val="21"/>
        </w:rPr>
        <w:t>0.3 s</w:t>
      </w:r>
      <w:r>
        <w:rPr>
          <w:rFonts w:ascii="Calibri" w:hAnsi="Calibri"/>
          <w:color w:val="1E293B"/>
          <w:sz w:val="21"/>
        </w:rPr>
        <w:t xml:space="preserve"> (-87.5%).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Reducción del tamaño del bundle JavaScript gzipped de 450.0 kB a </w:t>
      </w:r>
      <w:r>
        <w:rPr>
          <w:rFonts w:ascii="Calibri" w:hAnsi="Calibri"/>
          <w:b/>
          <w:color w:val="1E293B"/>
          <w:sz w:val="21"/>
        </w:rPr>
        <w:t>74.49 kB</w:t>
      </w:r>
      <w:r>
        <w:rPr>
          <w:rFonts w:ascii="Calibri" w:hAnsi="Calibri"/>
          <w:color w:val="1E293B"/>
          <w:sz w:val="21"/>
        </w:rPr>
        <w:t xml:space="preserve"> (-83.4%).</w:t>
      </w:r>
    </w:p>
    <w:p>
      <w:pPr>
        <w:pStyle w:val="ListBullet"/>
        <w:spacing w:before="20" w:after="40" w:line="276" w:lineRule="auto"/>
      </w:pPr>
      <w:r>
        <w:rPr>
          <w:rFonts w:ascii="Calibri" w:hAnsi="Calibri"/>
          <w:color w:val="1E293B"/>
          <w:sz w:val="21"/>
        </w:rPr>
        <w:t xml:space="preserve">Tiempo de compilación en producción reducido a </w:t>
      </w:r>
      <w:r>
        <w:rPr>
          <w:rFonts w:ascii="Calibri" w:hAnsi="Calibri"/>
          <w:b/>
          <w:color w:val="1E293B"/>
          <w:sz w:val="21"/>
        </w:rPr>
        <w:t>0.73 segundos</w:t>
      </w:r>
      <w:r>
        <w:rPr>
          <w:rFonts w:ascii="Calibri" w:hAnsi="Calibri"/>
          <w:color w:val="1E293B"/>
          <w:sz w:val="21"/>
        </w:rPr>
        <w:t>.</w:t>
      </w:r>
    </w:p>
    <w:p>
      <w:pPr>
        <w:keepNext/>
        <w:spacing w:before="200" w:after="40"/>
      </w:pPr>
      <w:r>
        <w:rPr>
          <w:rFonts w:ascii="Calibri" w:hAnsi="Calibri"/>
          <w:b/>
          <w:color w:val="1E293B"/>
          <w:sz w:val="24"/>
        </w:rPr>
        <w:t>Pregunta 5.2: ¿Cuáles son los compromisos de SLA y SLO establecidos para LeoFit?</w:t>
      </w:r>
    </w:p>
    <w:p>
      <w:pPr>
        <w:spacing w:before="40" w:after="80" w:line="276" w:lineRule="auto"/>
      </w:pPr>
      <w:r>
        <w:rPr>
          <w:rFonts w:ascii="Calibri" w:hAnsi="Calibri"/>
          <w:b/>
          <w:color w:val="1E293B"/>
          <w:sz w:val="22"/>
        </w:rPr>
        <w:t>Fundamentación Técnica y de Negocio:</w:t>
      </w:r>
    </w:p>
    <w:p>
      <w:pPr>
        <w:spacing w:before="40" w:after="80" w:line="276" w:lineRule="auto"/>
      </w:pPr>
      <w:r>
        <w:rPr>
          <w:rFonts w:ascii="Calibri" w:hAnsi="Calibri"/>
          <w:color w:val="1E293B"/>
          <w:sz w:val="22"/>
        </w:rPr>
        <w:t xml:space="preserve">Se estableció un SLA de disponibilidad mensual </w:t>
      </w:r>
      <w:r>
        <w:rPr>
          <w:rFonts w:ascii="Calibri" w:hAnsi="Calibri"/>
          <w:i/>
          <w:color w:val="1E293B"/>
          <w:sz w:val="22"/>
        </w:rPr>
        <w:t>≥ 99.5%</w:t>
      </w:r>
      <w:r>
        <w:rPr>
          <w:rFonts w:ascii="Calibri" w:hAnsi="Calibri"/>
          <w:color w:val="1E293B"/>
          <w:sz w:val="22"/>
        </w:rPr>
        <w:t xml:space="preserve"> respaldado por CDN Serverless en el Edge, un SLO de latencia de renderizado P95 </w:t>
      </w:r>
      <w:r>
        <w:rPr>
          <w:rFonts w:ascii="Calibri" w:hAnsi="Calibri"/>
          <w:i/>
          <w:color w:val="1E293B"/>
          <w:sz w:val="22"/>
        </w:rPr>
        <w:t>&lt; 500</w:t>
      </w:r>
      <w:r>
        <w:rPr>
          <w:rFonts w:ascii="Calibri" w:hAnsi="Calibri"/>
          <w:color w:val="1E293B"/>
          <w:sz w:val="22"/>
        </w:rPr>
        <w:t xml:space="preserve"> ms, un tiempo máximo de recuperación ante fallos (RTO) </w:t>
      </w:r>
      <w:r>
        <w:rPr>
          <w:rFonts w:ascii="Calibri" w:hAnsi="Calibri"/>
          <w:i/>
          <w:color w:val="1E293B"/>
          <w:sz w:val="22"/>
        </w:rPr>
        <w:t>&lt; 2</w:t>
      </w:r>
      <w:r>
        <w:rPr>
          <w:rFonts w:ascii="Calibri" w:hAnsi="Calibri"/>
          <w:color w:val="1E293B"/>
          <w:sz w:val="22"/>
        </w:rPr>
        <w:t xml:space="preserve"> horas y un punto de recuperación de datos (RPO) </w:t>
      </w:r>
      <w:r>
        <w:rPr>
          <w:rFonts w:ascii="Calibri" w:hAnsi="Calibri"/>
          <w:i/>
          <w:color w:val="1E293B"/>
          <w:sz w:val="22"/>
        </w:rPr>
        <w:t>&lt; 15</w:t>
      </w:r>
      <w:r>
        <w:rPr>
          <w:rFonts w:ascii="Calibri" w:hAnsi="Calibri"/>
          <w:color w:val="1E293B"/>
          <w:sz w:val="22"/>
        </w:rPr>
        <w:t xml:space="preserve"> minutos mediante persistencia local y sincronización en la nube.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