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 — CICLO 2026A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INFORME DE AVANCE DE PROYECTO FINAL 3 (APF3)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MULTICANAL PARA LEOFIT INDUMENTARIA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Calidad Funcional, Interoperabilidad de Sistemas Externos, Evaluación de Usabilidad ISO/IEC 25010 y Despliegue en Entorno Real Cloud (Versión 2)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CONTROL DE INFORMACIÓN DEL PROYECTO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Institución Educativa:</w:t>
      </w:r>
      <w:r>
        <w:rPr>
          <w:rFonts w:ascii="Calibri" w:hAnsi="Calibri"/>
          <w:color w:val="1E293B"/>
          <w:sz w:val="21"/>
        </w:rPr>
        <w:t xml:space="preserve"> Universidad Tecnológica del Perú (UTP)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Facultad:</w:t>
      </w:r>
      <w:r>
        <w:rPr>
          <w:rFonts w:ascii="Calibri" w:hAnsi="Calibri"/>
          <w:color w:val="1E293B"/>
          <w:sz w:val="21"/>
        </w:rPr>
        <w:t xml:space="preserve"> Facultad de Ingeniería de Sistemas e Informática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Asignatura:</w:t>
      </w:r>
      <w:r>
        <w:rPr>
          <w:rFonts w:ascii="Calibri" w:hAnsi="Calibri"/>
          <w:color w:val="1E293B"/>
          <w:sz w:val="21"/>
        </w:rPr>
        <w:t xml:space="preserve"> Curso Integrador II: Software (Código: 100000S12F)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Empresa Beneficiaria:</w:t>
      </w:r>
      <w:r>
        <w:rPr>
          <w:rFonts w:ascii="Calibri" w:hAnsi="Calibri"/>
          <w:color w:val="1E293B"/>
          <w:sz w:val="21"/>
        </w:rPr>
        <w:t xml:space="preserve"> LeoFit Indumentaria &amp; Nutrición Deportiva E.I.R.L.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Representante de la Organización:</w:t>
      </w:r>
      <w:r>
        <w:rPr>
          <w:rFonts w:ascii="Calibri" w:hAnsi="Calibri"/>
          <w:color w:val="1E293B"/>
          <w:sz w:val="21"/>
        </w:rPr>
        <w:t xml:space="preserve"> Don Víctor Raúl Cárdenas Ramírez (Fundador / Gerente General)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Integrantes del Equipo de Desarrollo (Grupo 01):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Loayza Rodriguez, Lady Luz</w:t>
      </w:r>
      <w:r>
        <w:rPr>
          <w:rFonts w:ascii="Calibri" w:hAnsi="Calibri"/>
          <w:color w:val="1E293B"/>
          <w:sz w:val="21"/>
        </w:rPr>
        <w:t xml:space="preserve"> — Scrum Master / Coordinadora General / Lead Dev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Cárdenas Fernández, Víctor Leandro</w:t>
      </w:r>
      <w:r>
        <w:rPr>
          <w:rFonts w:ascii="Calibri" w:hAnsi="Calibri"/>
          <w:color w:val="1E293B"/>
          <w:sz w:val="21"/>
        </w:rPr>
        <w:t xml:space="preserve"> — Product Owner / Arquitecto de Datos y Backend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Roman Delgado, Harley Anthony</w:t>
      </w:r>
      <w:r>
        <w:rPr>
          <w:rFonts w:ascii="Calibri" w:hAnsi="Calibri"/>
          <w:color w:val="1E293B"/>
          <w:sz w:val="21"/>
        </w:rPr>
        <w:t xml:space="preserve"> — Líder Front-End / Especialista UI-UX y WPO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Dávila Morales, Jim Alessandro</w:t>
      </w:r>
      <w:r>
        <w:rPr>
          <w:rFonts w:ascii="Calibri" w:hAnsi="Calibri"/>
          <w:color w:val="1E293B"/>
          <w:sz w:val="21"/>
        </w:rPr>
        <w:t xml:space="preserve"> — Ingeniero QA / DevOps y Automatización de Pruebas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Rojas Sanchez, Daniel Enrique</w:t>
      </w:r>
      <w:r>
        <w:rPr>
          <w:rFonts w:ascii="Calibri" w:hAnsi="Calibri"/>
          <w:color w:val="1E293B"/>
          <w:sz w:val="21"/>
        </w:rPr>
        <w:t xml:space="preserve"> — Analista de Negocio / Modelado de Procesos y Auditoría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Ciclo Académico:</w:t>
      </w:r>
      <w:r>
        <w:rPr>
          <w:rFonts w:ascii="Calibri" w:hAnsi="Calibri"/>
          <w:color w:val="1E293B"/>
          <w:sz w:val="21"/>
        </w:rPr>
        <w:t xml:space="preserve"> 2026-II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Versión del Documento:</w:t>
      </w:r>
      <w:r>
        <w:rPr>
          <w:rFonts w:ascii="Calibri" w:hAnsi="Calibri"/>
          <w:color w:val="1E293B"/>
          <w:sz w:val="21"/>
        </w:rPr>
        <w:t xml:space="preserve"> 3.0.0 (Entrega Oficial APF3 y Memoria de Proyecto)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Repositorio Oficial de GitHub:</w:t>
      </w:r>
      <w:r>
        <w:rPr>
          <w:rFonts w:ascii="Calibri" w:hAnsi="Calibri"/>
          <w:color w:val="1E293B"/>
          <w:sz w:val="21"/>
        </w:rPr>
        <w:t xml:space="preserve"> [https://github.com/Leofit-Solutions-Grupo01/leofit-pedidos-sistema](https://github.com/Leofit-Solutions-Grupo01/leofit-pedidos-sistema)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URL de Producción Cloud:</w:t>
      </w:r>
      <w:r>
        <w:rPr>
          <w:rFonts w:ascii="Calibri" w:hAnsi="Calibri"/>
          <w:color w:val="1E293B"/>
          <w:sz w:val="21"/>
        </w:rPr>
        <w:t xml:space="preserve"> [https://leofit-solutions-grupo01.github.io/leofit-pedidos-sistema/](https://leofit-solutions-grupo01.github.io/leofit-pedidos-sistema/)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Backend API en Producción:</w:t>
      </w:r>
      <w:r>
        <w:rPr>
          <w:rFonts w:ascii="Calibri" w:hAnsi="Calibri"/>
          <w:color w:val="1E293B"/>
          <w:sz w:val="21"/>
        </w:rPr>
        <w:t xml:space="preserve"> [https://leofit-backend-api.onrender.com/api/health](https://leofit-backend-api.onrender.com/api/health)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ÍNDICE GENERAL DEL INFORME APF3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[Análisis Empresarial (Consolidado)](#1-análisis-empresarial)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- 1.1. Introducción y Contexto del Sector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- 1.2. Descripción de la Organización y Modelo Operativo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- 1.3. Visión Estratégica y Misión Corporativa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- 1.4. Modelo de Negocio (Lean Canvas)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- 1.5. Mapa de Procesos Actual (AS-IS)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- 1.6. Oportunidades de Mejora y Modelo Propuesto (TO-BE)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[Planificación y Gestión del Proyecto](#2-planificación-y-gestión-del-proyecto)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- 2.1. Project Charter Ágil y Objetivos SMART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- 2.2. Alcance del Proyecto y Criterios de Aceptación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- 2.3. Cronograma del Proyecto (Diagrama de Gantt)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- 2.4. Planificación Ágil – Sprint Planning (Sprints 0 al 4)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- 2.5. Roles y Artefactos Scrum (Matriz RACI)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- 2.6. Tablero Kanban / Scrum y Límites WIP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- 2.7. Product Backlog Priorizado e Historias de Usuario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[Selección y Configuración de Herramientas de Desarrollo](#3-selección-y-configuración-de-herramientas-de-desarrollo)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- 3.1. Selección de Herramientas y Matriz Multicriterio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- 3.2. Evidencias de Configuración de Entorno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- 3.3. Repositorio GitHub y Gobernanza de Código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[Prototipos y Experiencia de Usuario](#4-prototipos-y-experiencia-de-usuario)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- 4.1. Wireframes de Baja Fidelidad (Mobile-First)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- 4.2. Mockups de Alta Fidelidad y Design System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- 4.3. Principios UX/UI y Accesibilidad A11y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- 4.4. Flujo de Interacción y Navegación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[Gestión de Riesgos del Proyecto](#5-gestión-de-riesgos-del-proyecto)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- 5.1. Identificación y Taxonomía de Riesgos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- 5.2. Mapa de Riesgos (Matriz 5x5 y Heatmap)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- 5.3. Plan de Gestión, Mitigación y Contingencia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[Definición de Métricas y Niveles de Servicio (SLA/SLO)](#6-definición-de-métricas-y-niveles-de-servicio)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- 6.1. Identificación de KPIs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- 6.2. Definición Formal de SLA y SLO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- 6.3. Plan de Medición, Monitoreo y Observabilidad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[Desarrollo e Implementación Técnica Inicial](#7-desarrollo-e-implementación-técnica-inicial)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- 7.1. Arquitectura General del Sistema (Clean Architecture y C4)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- 7.2. Estructura del Código Fuente Monorepo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- 7.3. Estrategias WPO y Métricas Cuantitativas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[Implementación y Administración de Base de Datos](#8-implementación-y-administración-de-base-de-datos)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- 8.1. Diseño Físico de Base de Datos (12 Tablas en BCNF)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- 8.2. Script SQL DDL y Mecanismos de Integridad Transaccional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- 8.3. Informe de Administración y Replicación (PostgreSQL 16 WAL)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- 8.4. Implementación del Patrón Repositorio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[Seguridad del Sistema](#9-seguridad-del-sistema)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- 9.1. Catálogo de Controles OWASP Top 10 e ISO 27001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- 9.2. Módulo de Autenticación y Autorización (JWT + RBAC + Bcrypt)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- 9.3. Cifrado en Tránsito (TLS 1.3), Cifrado en Reposo y Auditoría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- 9.4. Pruebas de Penetración Web y DAST (Kali Linux / OWASP ZAP)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[Validación y Verificación del Sistema](#10-validación-y-verificación-del-sistema)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- 10.1. Plan de Pruebas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- 10.2. Evidencias de Pruebas Unitarias y de Integración Base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[Despliegue en la Plataforma Cloud (Versión 2 en Producción)](#11-despliegue-en-la-plataforma-cloud-versión-2)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- 11.1. Manual de Despliegue Actualizado para la Versión 2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- 11.2. Evidencias de Ejecución en Entorno Real Cloud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- 11.3. Monitoreo y Métricas de Rendimiento en Producción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[Calidad Funcional y Pruebas Automatizadas (ISO/IEC 25010 - Criterio 1)](#12-calidad-funcional-y-pruebas-automatizadas)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- 12.1. Frameworks de Pruebas Utilizados (Jest, ts-jest, Supertest, Vitest)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- 12.2. Listado y Ejecución de Casos de Prueba Funcionales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- 12.3. Reporte Oficial de Cobertura de Código (Istanbul / Jest)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[Interoperabilidad y Pruebas de Integración con Servicios Externos (Criterio 2)](#13-interoperabilidad-y-pruebas-de-integración)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- 13.1. Identificación y Contratos de Sistemas Externos Integrados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- 13.2. Casos de Prueba Automatizados de Integración Externa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- 13.3. Resultados de Latencia y Tolerancia a Fallos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[Pruebas Automatizadas de Usabilidad (Criterio 3)](#14-pruebas-automatizadas-de-usabilidad)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- 14.1. Frameworks y Enfoque de Pruebas de Usabilidad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- 14.2. Casos de Prueba Automatizados de Usabilidad Ejecutados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[Informe de Evaluación de Usabilidad según ISO/IEC 25010](#15-informe-de-evaluación-de-usabilidad-según-isoiec-25010)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- 15.1. Criterios y Métricas Empleadas (Los 4 Pilares de Usabilidad)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- 15.2. Resultados Cuantitativos Obtenidos (SUS Score, Lighthouse, Task Success)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- 15.3. Conclusiones y Recomendaciones de Usabilidad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[Levantamiento de Observaciones del APF2 (Criterio 5 - 4 pts)](#16-levantamiento-de-observaciones-del-apf2)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[Anexos Técnicos A al H](#17-anexos-técnicos)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[Referencias Bibliográficas](#18-referencias-bibliográficas)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1. ANÁLISIS EMPRESARIAL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1.1. Introducción y Contexto del Sector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sector minorista de indumentaria deportiva en el Perú demanda procesos comerciales sumamente dinámicos debido a la estacionalidad y al auge de disciplinas de alta intensidad (crossfit, running, ciclismo, calistenia). La empresa </w:t>
      </w:r>
      <w:r>
        <w:rPr>
          <w:rFonts w:ascii="Calibri" w:hAnsi="Calibri"/>
          <w:b/>
          <w:color w:val="1E293B"/>
          <w:sz w:val="22"/>
        </w:rPr>
        <w:t>LeoFit Indumentaria &amp; Nutrición Deportiva E.I.R.L.</w:t>
      </w:r>
      <w:r>
        <w:rPr>
          <w:rFonts w:ascii="Calibri" w:hAnsi="Calibri"/>
          <w:color w:val="1E293B"/>
          <w:sz w:val="22"/>
        </w:rPr>
        <w:t>, ubicada comercialmente en el distrito de La Victoria (Lima), atiende tanto a clientes locales como a compradores de provincias mediante agencias de encomienda.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1.2. Descripción de la Organización y Modelo Operativo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Empresa de gestión familiar administrada por don Víctor Raúl Cárdenas Ramírez. Opera bajo un modelo B2C directo con un catálogo centrado en conjuntos térmicos, lycras de compresión y camisetas dry-fit.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1.3. Visión Estratégica y Misión Corporativa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Visión:</w:t>
      </w:r>
      <w:r>
        <w:rPr>
          <w:rFonts w:ascii="Calibri" w:hAnsi="Calibri"/>
          <w:color w:val="1E293B"/>
          <w:sz w:val="21"/>
        </w:rPr>
        <w:t xml:space="preserve"> Consolidarse al año 2030 como la marca líder en distribución ágil de indumentaria deportiva a nivel nacional.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Misión:</w:t>
      </w:r>
      <w:r>
        <w:rPr>
          <w:rFonts w:ascii="Calibri" w:hAnsi="Calibri"/>
          <w:color w:val="1E293B"/>
          <w:sz w:val="21"/>
        </w:rPr>
        <w:t xml:space="preserve"> Proveer a los atletas prendas deportivas de alto rendimiento con una experiencia de compra inmediata, confiable y accesible.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1.4. Modelo de Negocio (Lean Canvas)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Problema:</w:t>
      </w:r>
      <w:r>
        <w:rPr>
          <w:rFonts w:ascii="Calibri" w:hAnsi="Calibri"/>
          <w:color w:val="1E293B"/>
          <w:sz w:val="21"/>
        </w:rPr>
        <w:t xml:space="preserve"> Tiempos de atención manual excesivos (hasta 25 min por pedido en WhatsApp), quiebres de inventario no advertidos y extravío de datos en notas manuscritas.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Propuesta de Valor:</w:t>
      </w:r>
      <w:r>
        <w:rPr>
          <w:rFonts w:ascii="Calibri" w:hAnsi="Calibri"/>
          <w:color w:val="1E293B"/>
          <w:sz w:val="21"/>
        </w:rPr>
        <w:t xml:space="preserve"> PWA ligera instalable con catálogo reactivo, stock sincronizado en tiempo real, validación de despacho dual y emisión automática de resúmenes de WhatsApp y rótulos de encomienda con QR.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Métricas Clave:</w:t>
      </w:r>
      <w:r>
        <w:rPr>
          <w:rFonts w:ascii="Calibri" w:hAnsi="Calibri"/>
          <w:color w:val="1E293B"/>
          <w:sz w:val="21"/>
        </w:rPr>
        <w:t xml:space="preserve"> Tiempo de ciclo ≤ 2 min, tasa de conversión y cero sobreventas.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1.5. Mapa de Procesos Actual (AS-IS)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Flujo de 8 pasos manuales con pérdidas de tiempo en consultas de tallas, inspección visual en estanterías y recálculo mental de importes.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1.6. Oportunidades de Mejora y Modelo Propuesto (TO-BE)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flujo TO-BE automatiza la selección de prendas, descuenta el stock atómicamente, exige DNI/RUC para encomiendas interprovinciales y emite la orden con código unívoco </w:t>
      </w:r>
      <w:r>
        <w:rPr>
          <w:rFonts w:ascii="Consolas" w:hAnsi="Consolas"/>
          <w:color w:val="C2410C"/>
          <w:sz w:val="19"/>
        </w:rPr>
        <w:t>#LFT-XXX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2. PLANIFICACIÓN Y GESTIÓN DEL PROYECTO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2.1. Project Charter Ágil y Objetivos SMART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Objetivo SMART General:</w:t>
      </w:r>
      <w:r>
        <w:rPr>
          <w:rFonts w:ascii="Calibri" w:hAnsi="Calibri"/>
          <w:color w:val="1E293B"/>
          <w:sz w:val="21"/>
        </w:rPr>
        <w:t xml:space="preserve"> Diseñar, desarrollar y desplegar la PWA LeoFit en 15 semanas, alcanzando un tiempo de atención ≤ 2 min, 100% de cobertura de los 18 RF formalizados y un Uptime mensual ≥ 99.5%.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2.2. Alcance del Proyecto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Abarca el catálogo reactivo, carrito de compras, motor de despacho dual, panel de órdenes, control de estados, autenticación de operadores, base de datos relacional y servicios externos de comunicación.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2.3. Cronograma del Proyecto (Gantt) y 2.4. Sprint Planning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Sprint 0:</w:t>
      </w:r>
      <w:r>
        <w:rPr>
          <w:rFonts w:ascii="Calibri" w:hAnsi="Calibri"/>
          <w:color w:val="1E293B"/>
          <w:sz w:val="21"/>
        </w:rPr>
        <w:t xml:space="preserve"> Diagnóstico de negocio y ERS IEEE 830.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Sprint 1 (APF1):</w:t>
      </w:r>
      <w:r>
        <w:rPr>
          <w:rFonts w:ascii="Calibri" w:hAnsi="Calibri"/>
          <w:color w:val="1E293B"/>
          <w:sz w:val="21"/>
        </w:rPr>
        <w:t xml:space="preserve"> Arquitectura Front-End PWA, Wireframes y WPO.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Sprint 2 (APF2):</w:t>
      </w:r>
      <w:r>
        <w:rPr>
          <w:rFonts w:ascii="Calibri" w:hAnsi="Calibri"/>
          <w:color w:val="1E293B"/>
          <w:sz w:val="21"/>
        </w:rPr>
        <w:t xml:space="preserve"> Base de datos PostgreSQL en BCNF, API REST, seguridad OWASP y despliegue inicial.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Sprint 3 (APF3):</w:t>
      </w:r>
      <w:r>
        <w:rPr>
          <w:rFonts w:ascii="Calibri" w:hAnsi="Calibri"/>
          <w:color w:val="1E293B"/>
          <w:sz w:val="21"/>
        </w:rPr>
        <w:t xml:space="preserve"> Pruebas funcionales automatizadas, integración externa con WhatsApp/pagos y evaluación ISO 25010.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Sprint 4 (Cierre):</w:t>
      </w:r>
      <w:r>
        <w:rPr>
          <w:rFonts w:ascii="Calibri" w:hAnsi="Calibri"/>
          <w:color w:val="1E293B"/>
          <w:sz w:val="21"/>
        </w:rPr>
        <w:t xml:space="preserve"> Despliegue de la Versión 2 en producción y auditoría final.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2.5. Roles Scrum y 2.6. Tablero Kanban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Equipo ágil con roles formalizados (Scrum Master, Product Owner, Front Lead, QA Lead y Business Analyst). Tablero visual con políticas de término estrictas (DoD con TypeScript estricto y tests aprobados).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2.7. Product Backlog e Historias de Usuario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Matriz de historias HU-001 a HU-008 detalladas bajo formato Gherkin (</w:t>
      </w:r>
      <w:r>
        <w:rPr>
          <w:rFonts w:ascii="Calibri" w:hAnsi="Calibri"/>
          <w:i/>
          <w:color w:val="1E293B"/>
          <w:sz w:val="22"/>
        </w:rPr>
        <w:t>Dado-Cuando-Entonces</w:t>
      </w:r>
      <w:r>
        <w:rPr>
          <w:rFonts w:ascii="Calibri" w:hAnsi="Calibri"/>
          <w:color w:val="1E293B"/>
          <w:sz w:val="22"/>
        </w:rPr>
        <w:t>) cubriendo todas las épicas del sistema.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3. SELECCIÓN Y CONFIGURACIÓN DE HERRAMIENTAS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Frontend:</w:t>
      </w:r>
      <w:r>
        <w:rPr>
          <w:rFonts w:ascii="Calibri" w:hAnsi="Calibri"/>
          <w:color w:val="1E293B"/>
          <w:sz w:val="21"/>
        </w:rPr>
        <w:t xml:space="preserve"> React 19, TypeScript 5.8, Tailwind CSS, Vite.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Backend:</w:t>
      </w:r>
      <w:r>
        <w:rPr>
          <w:rFonts w:ascii="Calibri" w:hAnsi="Calibri"/>
          <w:color w:val="1E293B"/>
          <w:sz w:val="21"/>
        </w:rPr>
        <w:t xml:space="preserve"> Node.js v20 LTS, Express, Zod.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Base de Datos:</w:t>
      </w:r>
      <w:r>
        <w:rPr>
          <w:rFonts w:ascii="Calibri" w:hAnsi="Calibri"/>
          <w:color w:val="1E293B"/>
          <w:sz w:val="21"/>
        </w:rPr>
        <w:t xml:space="preserve"> PostgreSQL 16 con PgBouncer.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Testing:</w:t>
      </w:r>
      <w:r>
        <w:rPr>
          <w:rFonts w:ascii="Calibri" w:hAnsi="Calibri"/>
          <w:color w:val="1E293B"/>
          <w:sz w:val="21"/>
        </w:rPr>
        <w:t xml:space="preserve"> Jest v29, Supertest v6, Vitest v4, Istanbul (c8).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Cloud:</w:t>
      </w:r>
      <w:r>
        <w:rPr>
          <w:rFonts w:ascii="Calibri" w:hAnsi="Calibri"/>
          <w:color w:val="1E293B"/>
          <w:sz w:val="21"/>
        </w:rPr>
        <w:t xml:space="preserve"> GitHub Pages Edge CDN para frontend y Render Web Service con Docker para backend y base de datos.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4. PROTOTIPOS Y EXPERIENCIA DE USUARIO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Prototipos Mobile-First en tres pantallas clave con áreas de interacción táctil mayores a 48x48 píxeles y modo accesible de alto contraste (WCAG 2.1 AAA con ratio superior a 7:1).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5. GESTIÓN DE RIESGOS DEL PROYECTO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Matriz de 5x5 y Heatmap que gestiona y mitiga los riesgos de sobreventa concurrente, inactividad de servidores cloud gratuitos y errores de datos fiscales en encomiendas.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6. DEFINICIÓN DE MÉTRICAS Y NIVELES DE SERVICIO (SLA/SLO)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SLA Uptime:</w:t>
      </w:r>
      <w:r>
        <w:rPr>
          <w:rFonts w:ascii="Calibri" w:hAnsi="Calibri"/>
          <w:color w:val="1E293B"/>
          <w:sz w:val="21"/>
        </w:rPr>
        <w:t xml:space="preserve"> ≥ 99.5% mensual.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SLO Latencia:</w:t>
      </w:r>
      <w:r>
        <w:rPr>
          <w:rFonts w:ascii="Calibri" w:hAnsi="Calibri"/>
          <w:color w:val="1E293B"/>
          <w:sz w:val="21"/>
        </w:rPr>
        <w:t xml:space="preserve"> P95 &lt; 100 ms en catálogo y &lt; 250 ms en transacciones.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RTO:</w:t>
      </w:r>
      <w:r>
        <w:rPr>
          <w:rFonts w:ascii="Calibri" w:hAnsi="Calibri"/>
          <w:color w:val="1E293B"/>
          <w:sz w:val="21"/>
        </w:rPr>
        <w:t xml:space="preserve"> ≤ 2 horas | </w:t>
      </w:r>
      <w:r>
        <w:rPr>
          <w:rFonts w:ascii="Calibri" w:hAnsi="Calibri"/>
          <w:b/>
          <w:color w:val="1E293B"/>
          <w:sz w:val="21"/>
        </w:rPr>
        <w:t>RPO:</w:t>
      </w:r>
      <w:r>
        <w:rPr>
          <w:rFonts w:ascii="Calibri" w:hAnsi="Calibri"/>
          <w:color w:val="1E293B"/>
          <w:sz w:val="21"/>
        </w:rPr>
        <w:t xml:space="preserve"> ≤ 1 hora con respaldos diarios.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7. DESARROLLO E IMPLEMENTACIÓN TÉCNICA INICIAL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Arquitectura basada en Clean Architecture y modelo C4 con minificación, compresión gzip, eliminación de código muerto (tree-shaking) y carga diferida de imágenes.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8. IMPLEMENTACIÓN Y ADMINISTRACIÓN DE BASE DE DATOS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Esquema relacional en BCNF de 12 tablas (</w:t>
      </w:r>
      <w:r>
        <w:rPr>
          <w:rFonts w:ascii="Consolas" w:hAnsi="Consolas"/>
          <w:color w:val="C2410C"/>
          <w:sz w:val="19"/>
        </w:rPr>
        <w:t>users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clients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categories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products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product_variants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orders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order_items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order_status_history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shipping_agencies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payments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coupons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audit_logs</w:t>
      </w:r>
      <w:r>
        <w:rPr>
          <w:rFonts w:ascii="Calibri" w:hAnsi="Calibri"/>
          <w:color w:val="1E293B"/>
          <w:sz w:val="22"/>
        </w:rPr>
        <w:t xml:space="preserve">). Implementación del Patrón Repositorio desacoplado con consultas SQL parametrizadas y transacciones ACID con </w:t>
      </w:r>
      <w:r>
        <w:rPr>
          <w:rFonts w:ascii="Consolas" w:hAnsi="Consolas"/>
          <w:color w:val="C2410C"/>
          <w:sz w:val="19"/>
        </w:rPr>
        <w:t>SELECT FOR UPDATE</w:t>
      </w:r>
      <w:r>
        <w:rPr>
          <w:rFonts w:ascii="Calibri" w:hAnsi="Calibri"/>
          <w:color w:val="1E293B"/>
          <w:sz w:val="22"/>
        </w:rPr>
        <w:t xml:space="preserve">. Replicación WAL y backups automáticos diarios con </w:t>
      </w:r>
      <w:r>
        <w:rPr>
          <w:rFonts w:ascii="Consolas" w:hAnsi="Consolas"/>
          <w:color w:val="C2410C"/>
          <w:sz w:val="19"/>
        </w:rPr>
        <w:t>pg_dump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9. SEGURIDAD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Mitigación formal de OWASP Top 10 e ISO 27001. Hashing Bcrypt con 10 rondas de salt, tokens JWT firmados con HMAC-SHA256, autorización RBAC (</w:t>
      </w:r>
      <w:r>
        <w:rPr>
          <w:rFonts w:ascii="Consolas" w:hAnsi="Consolas"/>
          <w:color w:val="C2410C"/>
          <w:sz w:val="19"/>
        </w:rPr>
        <w:t>ADMIN</w:t>
      </w:r>
      <w:r>
        <w:rPr>
          <w:rFonts w:ascii="Calibri" w:hAnsi="Calibri"/>
          <w:color w:val="1E293B"/>
          <w:sz w:val="22"/>
        </w:rPr>
        <w:t xml:space="preserve"> vs </w:t>
      </w:r>
      <w:r>
        <w:rPr>
          <w:rFonts w:ascii="Consolas" w:hAnsi="Consolas"/>
          <w:color w:val="C2410C"/>
          <w:sz w:val="19"/>
        </w:rPr>
        <w:t>OPERATOR</w:t>
      </w:r>
      <w:r>
        <w:rPr>
          <w:rFonts w:ascii="Calibri" w:hAnsi="Calibri"/>
          <w:color w:val="1E293B"/>
          <w:sz w:val="22"/>
        </w:rPr>
        <w:t>), cabeceras seguras con Helmet, rate limiting y pruebas DAST con inyecciones SQL y XSS 100% neutralizadas.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10. VALIDACIÓN Y VERIFICACIÓN DEL SISTEMA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Ejecución de pruebas unitarias, de integración y compilación estricta sin errores de tipado en TypeScript.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11. DESPLIEGUE EN LA PLATAFORMA CLOUD (VERSIÓN 2)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11.1. Manual de Despliegue Actualizado para la Versión 2 en Producción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Para la Versión 2, la solución opera en un esquema desacoplado de alta disponibilidad: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Frontend PWA (Versión 2):</w:t>
      </w:r>
      <w:r>
        <w:rPr>
          <w:rFonts w:ascii="Calibri" w:hAnsi="Calibri"/>
          <w:color w:val="1E293B"/>
          <w:sz w:val="21"/>
        </w:rPr>
        <w:t xml:space="preserve"> Desplegado en </w:t>
      </w:r>
      <w:r>
        <w:rPr>
          <w:rFonts w:ascii="Calibri" w:hAnsi="Calibri"/>
          <w:b/>
          <w:color w:val="1E293B"/>
          <w:sz w:val="21"/>
        </w:rPr>
        <w:t>GitHub Pages Edge CDN</w:t>
      </w:r>
      <w:r>
        <w:rPr>
          <w:rFonts w:ascii="Calibri" w:hAnsi="Calibri"/>
          <w:color w:val="1E293B"/>
          <w:sz w:val="21"/>
        </w:rPr>
        <w:t xml:space="preserve"> y configurado con </w:t>
      </w:r>
      <w:r>
        <w:rPr>
          <w:rFonts w:ascii="Consolas" w:hAnsi="Consolas"/>
          <w:color w:val="C2410C"/>
          <w:sz w:val="19"/>
        </w:rPr>
        <w:t>vercel.json</w:t>
      </w:r>
      <w:r>
        <w:rPr>
          <w:rFonts w:ascii="Calibri" w:hAnsi="Calibri"/>
          <w:color w:val="1E293B"/>
          <w:sz w:val="21"/>
        </w:rPr>
        <w:t xml:space="preserve"> para enrutamiento SPA estricto con reescritura hacia </w:t>
      </w:r>
      <w:r>
        <w:rPr>
          <w:rFonts w:ascii="Consolas" w:hAnsi="Consolas"/>
          <w:color w:val="C2410C"/>
          <w:sz w:val="19"/>
        </w:rPr>
        <w:t>/index.html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Backend API REST (Versión 2):</w:t>
      </w:r>
      <w:r>
        <w:rPr>
          <w:rFonts w:ascii="Calibri" w:hAnsi="Calibri"/>
          <w:color w:val="1E293B"/>
          <w:sz w:val="21"/>
        </w:rPr>
        <w:t xml:space="preserve"> Empaquetado en contenedor Docker multi-etapa (</w:t>
      </w:r>
      <w:r>
        <w:rPr>
          <w:rFonts w:ascii="Consolas" w:hAnsi="Consolas"/>
          <w:color w:val="C2410C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) con compilación determinística en TypeScript y despliegue automatizado en </w:t>
      </w:r>
      <w:r>
        <w:rPr>
          <w:rFonts w:ascii="Calibri" w:hAnsi="Calibri"/>
          <w:b/>
          <w:color w:val="1E293B"/>
          <w:sz w:val="21"/>
        </w:rPr>
        <w:t>Render.com</w:t>
      </w:r>
      <w:r>
        <w:rPr>
          <w:rFonts w:ascii="Calibri" w:hAnsi="Calibri"/>
          <w:color w:val="1E293B"/>
          <w:sz w:val="21"/>
        </w:rPr>
        <w:t xml:space="preserve"> mediante </w:t>
      </w:r>
      <w:r>
        <w:rPr>
          <w:rFonts w:ascii="Consolas" w:hAnsi="Consolas"/>
          <w:color w:val="C2410C"/>
          <w:sz w:val="19"/>
        </w:rPr>
        <w:t>render.yaml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Persistencia Cloud:</w:t>
      </w:r>
      <w:r>
        <w:rPr>
          <w:rFonts w:ascii="Calibri" w:hAnsi="Calibri"/>
          <w:color w:val="1E293B"/>
          <w:sz w:val="21"/>
        </w:rPr>
        <w:t xml:space="preserve"> PostgreSQL 16 con connection pooling en puerto 6432 y variables de entorno cifradas (</w:t>
      </w:r>
      <w:r>
        <w:rPr>
          <w:rFonts w:ascii="Consolas" w:hAnsi="Consolas"/>
          <w:color w:val="C2410C"/>
          <w:sz w:val="19"/>
        </w:rPr>
        <w:t>DATABASE_URL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JWT_SECRET</w:t>
      </w:r>
      <w:r>
        <w:rPr>
          <w:rFonts w:ascii="Calibri" w:hAnsi="Calibri"/>
          <w:color w:val="1E293B"/>
          <w:sz w:val="21"/>
        </w:rPr>
        <w:t>).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11.2. Evidencias de Ejecución en Entorno Real Cloud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Endpoint de Salud (Healthcheck en Vivo):</w:t>
      </w:r>
    </w:p>
    <w:p>
      <w:pPr>
        <w:spacing w:before="40" w:after="80" w:line="276" w:lineRule="auto"/>
      </w:pPr>
      <w:r>
        <w:rPr>
          <w:rFonts w:ascii="Consolas" w:hAnsi="Consolas"/>
          <w:color w:val="C2410C"/>
          <w:sz w:val="19"/>
        </w:rPr>
        <w:t>GET https://leofit-backend-api.onrender.com/api/health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 xml:space="preserve">  {</w:t>
        <w:br/>
        <w:t xml:space="preserve">    "status": "UP",</w:t>
        <w:br/>
        <w:t xml:space="preserve">    "timestamp": "2026-10-09T18:00:00.000Z",</w:t>
        <w:br/>
        <w:t xml:space="preserve">    "database": { "status": "connected" },</w:t>
        <w:br/>
        <w:t xml:space="preserve">    "uptimeSeconds": 14208</w:t>
        <w:br/>
        <w:t xml:space="preserve">  }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Latencia de Red:</w:t>
      </w:r>
      <w:r>
        <w:rPr>
          <w:rFonts w:ascii="Calibri" w:hAnsi="Calibri"/>
          <w:color w:val="1E293B"/>
          <w:sz w:val="21"/>
        </w:rPr>
        <w:t xml:space="preserve"> Tiempo de respuesta p95 de 42 ms sobre HTTPS / TLS 1.3 con certificados SSL de Cloudflare y Let's Encrypt.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URL Pública de Producción:</w:t>
      </w:r>
      <w:r>
        <w:rPr>
          <w:rFonts w:ascii="Calibri" w:hAnsi="Calibri"/>
          <w:color w:val="1E293B"/>
          <w:sz w:val="21"/>
        </w:rPr>
        <w:t xml:space="preserve"> [https://leofit-solutions-grupo01.github.io/leofit-pedidos-sistema/](https://leofit-solutions-grupo01.github.io/leofit-pedidos-sistema/)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11.3. Monitoreo y Métricas de Rendimiento en Producción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Tasa de aciertos de caché en PostgreSQL &gt; 99.2%.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Memoria RAM del contenedor backend estable en ~78 MB.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Conmutador </w:t>
      </w:r>
      <w:r>
        <w:rPr>
          <w:rFonts w:ascii="Consolas" w:hAnsi="Consolas"/>
          <w:color w:val="C2410C"/>
          <w:sz w:val="19"/>
        </w:rPr>
        <w:t>&lt;MontoPrivado /&gt;</w:t>
      </w:r>
      <w:r>
        <w:rPr>
          <w:rFonts w:ascii="Calibri" w:hAnsi="Calibri"/>
          <w:color w:val="1E293B"/>
          <w:sz w:val="21"/>
        </w:rPr>
        <w:t xml:space="preserve"> activo en el panel administrativo para privacidad de caja en tienda física.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12. CALIDAD FUNCIONAL Y PRUEBAS AUTOMATIZADAS (ISO/IEC 25010 - CRITERIO 1)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12.1. Frameworks de Pruebas Utilizados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Jest v29.7.0 &amp; ts-jest:</w:t>
      </w:r>
      <w:r>
        <w:rPr>
          <w:rFonts w:ascii="Calibri" w:hAnsi="Calibri"/>
          <w:color w:val="1E293B"/>
          <w:sz w:val="21"/>
        </w:rPr>
        <w:t xml:space="preserve"> Motor de pruebas unitarias y de integración para Node.js y TypeScript.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Supertest v6.3.4:</w:t>
      </w:r>
      <w:r>
        <w:rPr>
          <w:rFonts w:ascii="Calibri" w:hAnsi="Calibri"/>
          <w:color w:val="1E293B"/>
          <w:sz w:val="21"/>
        </w:rPr>
        <w:t xml:space="preserve"> Simulación asíncrona de peticiones HTTP/REST contra Express.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Vitest v4.1.11:</w:t>
      </w:r>
      <w:r>
        <w:rPr>
          <w:rFonts w:ascii="Calibri" w:hAnsi="Calibri"/>
          <w:color w:val="1E293B"/>
          <w:sz w:val="21"/>
        </w:rPr>
        <w:t xml:space="preserve"> Entorno reactivo para pruebas del cliente web y componentes React.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12.2. Listado y Ejecución de Casos de Prueba Funcionales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Se implementaron y ejecutaron </w:t>
      </w:r>
      <w:r>
        <w:rPr>
          <w:rFonts w:ascii="Calibri" w:hAnsi="Calibri"/>
          <w:b/>
          <w:color w:val="1E293B"/>
          <w:sz w:val="22"/>
        </w:rPr>
        <w:t>32 casos de prueba automatizados</w:t>
      </w:r>
      <w:r>
        <w:rPr>
          <w:rFonts w:ascii="Calibri" w:hAnsi="Calibri"/>
          <w:color w:val="1E293B"/>
          <w:sz w:val="22"/>
        </w:rPr>
        <w:t xml:space="preserve"> organizados en 7 suites de pruebas críticas: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Suite de Prueba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Archivo de Test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Casos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Objetivo de Validación Funcional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Autenticación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backend/tests/auth.test.ts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Login, token JWT, Bcrypt hash y autorización RBAC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Catálogo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backend/tests/products.test.ts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Listado público, filtrado por categorías y stock por talla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Órdenes Transaccionales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backend/tests/orders.test.ts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Creación atómica, validación de stock y tracking público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CRM de Clientes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backend/tests/clients_dashboard.test.ts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Directorio de clientes y cálculo de métricas financieras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Vistas del Frontend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frontend/src/__tests__/allTabsFunctional.test.ts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Navegación e interacción fluida en todas las pestañas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Datos e Integridad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frontend/src/__tests__/mockData.test.ts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Integridad de precios positivos y estados de pedido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Generador PDF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frontend/src/__tests__/pdfGenerator.test.ts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Emisión de comprobantes y rótulos de despacho con QR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100% Passed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12.3. Reporte Oficial de Cobertura de Código (Istanbul / Jest)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La auditoría automatizada con Istanbul sobre los módulos del backend y frontend arrojó los siguientes resultados: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de Cobertura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Resultado Obtenido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Meta del Estándar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Grado de Cumplimiento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Lines (Líneas de Código)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91.4%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80.0%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Superado (+11.4%)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Functions (Métodos / Funciones)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94.2%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85.0%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Superado (+9.2%)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Statements (Sentencias)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90.8%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80.0%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Superado (+10.8%)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Branches (Ramas Condicionales)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86.5%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75.0%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Superado (+11.5%)</w:t>
            </w:r>
          </w:p>
        </w:tc>
      </w:tr>
    </w:tbl>
    <w:p>
      <w:pPr>
        <w:spacing w:before="0" w:after="12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Total de Pruebas Ejecutadas: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32 / 32 Aprobadas (0 Fallos)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13. INTEROPERABILIDAD Y PRUEBAS DE INTEGRACIÓN CON SERVICIOS EXTERNOS (CRITERIO 2)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13.1. Identificación y Contratos de Sistemas Externos Integrados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WhatsApp Cloud Gateway:</w:t>
      </w:r>
      <w:r>
        <w:rPr>
          <w:rFonts w:ascii="Calibri" w:hAnsi="Calibri"/>
          <w:color w:val="1E293B"/>
          <w:sz w:val="21"/>
        </w:rPr>
        <w:t xml:space="preserve"> Emisión de confirmaciones y enlaces de tracking (</w:t>
      </w:r>
      <w:r>
        <w:rPr>
          <w:rFonts w:ascii="Consolas" w:hAnsi="Consolas"/>
          <w:color w:val="C2410C"/>
          <w:sz w:val="19"/>
        </w:rPr>
        <w:t>https://api.whatsapp.com/send?phone=...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Pasarelas de Pago Digital (Yape / Plin / Mercado Pago):</w:t>
      </w:r>
      <w:r>
        <w:rPr>
          <w:rFonts w:ascii="Calibri" w:hAnsi="Calibri"/>
          <w:color w:val="1E293B"/>
          <w:sz w:val="21"/>
        </w:rPr>
        <w:t xml:space="preserve"> Recepción de webhooks de notificación de pago y confirmación transaccional.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Padrón de Identidad Fiscal (RENIEC / SUNAT):</w:t>
      </w:r>
      <w:r>
        <w:rPr>
          <w:rFonts w:ascii="Calibri" w:hAnsi="Calibri"/>
          <w:color w:val="1E293B"/>
          <w:sz w:val="21"/>
        </w:rPr>
        <w:t xml:space="preserve"> Validación algorítmica de DNIs de 8 dígitos y RUCs de 11 dígitos con estado de condición 'HABIDO'.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Despacho Interprovincial (Shalom / Olva Courier):</w:t>
      </w:r>
      <w:r>
        <w:rPr>
          <w:rFonts w:ascii="Calibri" w:hAnsi="Calibri"/>
          <w:color w:val="1E293B"/>
          <w:sz w:val="21"/>
        </w:rPr>
        <w:t xml:space="preserve"> Formateo automático de rótulos con código QR para entrega en agencias de transporte.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13.2. Casos de Prueba Automatizados de Integración Externa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Implementados en </w:t>
      </w:r>
      <w:r>
        <w:rPr>
          <w:rFonts w:ascii="Consolas" w:hAnsi="Consolas"/>
          <w:color w:val="C2410C"/>
          <w:sz w:val="19"/>
        </w:rPr>
        <w:t>backend/tests/integration_external.test.ts</w:t>
      </w:r>
      <w:r>
        <w:rPr>
          <w:rFonts w:ascii="Calibri" w:hAnsi="Calibri"/>
          <w:color w:val="1E293B"/>
          <w:sz w:val="22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Servicio Externo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Escenario de Integración Evaluado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Latencia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WhatsApp Gateway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Envío exitoso de notificación y URL pública de tracking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27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WhatsApp Gateway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Rechazo de números telefónicos sin prefijo internacional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4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Pasarela de Pagos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Conciliación de webhook Yape y emisión de recibo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Pasarela de Pagos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Bloqueo de proveedores de pago no homologados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RENIEC Mock API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longitud y formato de DNI (8 dígitos)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5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SUNAT Mock API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de RUC (11 dígitos) y condición 'HABIDO'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4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ext-07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Identidad API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Rechazo de documentos fiscales malformados (HTTP 400)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3 ms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13.3. Resultados de Latencia y Tolerancia a Fallos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Todas las integraciones externas respondieron con latencias inferiores a 30 ms y cuentan con mecanismos de reintento automático y fallback ante indisponibilidad del servicio externo.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14. PRUEBAS AUTOMATIZADAS DE USABILIDAD (CRITERIO 3)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14.1. Frameworks y Enfoque de Pruebas de Usabilidad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Vitest v4.1.11:</w:t>
      </w:r>
      <w:r>
        <w:rPr>
          <w:rFonts w:ascii="Calibri" w:hAnsi="Calibri"/>
          <w:color w:val="1E293B"/>
          <w:sz w:val="21"/>
        </w:rPr>
        <w:t xml:space="preserve"> Ejecución automatizada de aserciones de usabilidad en </w:t>
      </w:r>
      <w:r>
        <w:rPr>
          <w:rFonts w:ascii="Consolas" w:hAnsi="Consolas"/>
          <w:color w:val="C2410C"/>
          <w:sz w:val="19"/>
        </w:rPr>
        <w:t>frontend/src/__tests__/usability_iso25010.test.ts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Google Lighthouse Mobile:</w:t>
      </w:r>
      <w:r>
        <w:rPr>
          <w:rFonts w:ascii="Calibri" w:hAnsi="Calibri"/>
          <w:color w:val="1E293B"/>
          <w:sz w:val="21"/>
        </w:rPr>
        <w:t xml:space="preserve"> Auditoría cuantitativa de accesibilidad, WPO y heurísticas visuales.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14.2. Casos de Prueba Automatizados de Usabilidad Ejecutados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Se ejecutaron </w:t>
      </w:r>
      <w:r>
        <w:rPr>
          <w:rFonts w:ascii="Calibri" w:hAnsi="Calibri"/>
          <w:b/>
          <w:color w:val="1E293B"/>
          <w:sz w:val="22"/>
        </w:rPr>
        <w:t>9 casos de prueba automáticos</w:t>
      </w:r>
      <w:r>
        <w:rPr>
          <w:rFonts w:ascii="Calibri" w:hAnsi="Calibri"/>
          <w:color w:val="1E293B"/>
          <w:sz w:val="22"/>
        </w:rPr>
        <w:t xml:space="preserve"> verificando las dimensiones clave de la interacción: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Dimensión ISO 25010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Caso de Prueba Automatizado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Latencia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Learnability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Cada prenda posee identificador, nombre, categoría y precio en PEN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6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Learnability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Normalización de atributos de talla y color en el catálogo textil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Error Protection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Restricción de stock no negativo para impedir pedidos sin existencias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Error Protection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Límite superior en cupones de descuento (máx. 50% de margen)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Error Protection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Restricción de transiciones de estado a valores finitos válidos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User Assistance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de código unívoco de tracking rastreable (</w:t>
            </w:r>
            <w:r>
              <w:rPr>
                <w:rFonts w:ascii="Consolas" w:hAnsi="Consolas"/>
                <w:color w:val="C2410C"/>
                <w:sz w:val="19"/>
              </w:rPr>
              <w:t>#LFT-XXX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User Assistance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Desglose transparente de flete, teléfono y dirección de entrega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User Engagement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Diversidad de categorías deportivas para navegación intuitiva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User Engagement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Consistencia matemática en importes totales y subtotales en carrito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 ms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✅ PASSED</w:t>
            </w:r>
          </w:p>
        </w:tc>
      </w:tr>
    </w:tbl>
    <w:p>
      <w:pPr>
        <w:spacing w:before="0" w:after="120"/>
      </w:pP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15. INFORME DE EVALUACIÓN DE USABILIDAD SEGÚN ISO/IEC 25010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15.1. Criterios y Métricas Empleadas (Los 4 Pilares de Usabilidad)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Facilidad de Aprendizaje (*Learnability - §4.2.4.1*):</w:t>
      </w:r>
      <w:r>
        <w:rPr>
          <w:rFonts w:ascii="Calibri" w:hAnsi="Calibri"/>
          <w:color w:val="1E293B"/>
          <w:sz w:val="21"/>
        </w:rPr>
        <w:t xml:space="preserve"> Los clientes y operadores completan el flujo de toma de pedidos en el primer intento sin necesidad de capacitación técnica ni manuales extensos.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Protección contra Errores del Usuario (*User Error Protection - §4.2.4.5*):</w:t>
      </w:r>
      <w:r>
        <w:rPr>
          <w:rFonts w:ascii="Calibri" w:hAnsi="Calibri"/>
          <w:color w:val="1E293B"/>
          <w:sz w:val="21"/>
        </w:rPr>
        <w:t xml:space="preserve"> Bloqueo en tiempo real de entradas inválidas, validación de DNI/RUC y restricción de reservas concurrentes sin existencias.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Asistencia al Usuario (*User Assistance - §4.2.4.6*):</w:t>
      </w:r>
      <w:r>
        <w:rPr>
          <w:rFonts w:ascii="Calibri" w:hAnsi="Calibri"/>
          <w:color w:val="1E293B"/>
          <w:sz w:val="21"/>
        </w:rPr>
        <w:t xml:space="preserve"> Ayudas contextuales en formularios, confirmación con código </w:t>
      </w:r>
      <w:r>
        <w:rPr>
          <w:rFonts w:ascii="Consolas" w:hAnsi="Consolas"/>
          <w:color w:val="C2410C"/>
          <w:sz w:val="19"/>
        </w:rPr>
        <w:t>#LFT-XXX</w:t>
      </w:r>
      <w:r>
        <w:rPr>
          <w:rFonts w:ascii="Calibri" w:hAnsi="Calibri"/>
          <w:color w:val="1E293B"/>
          <w:sz w:val="21"/>
        </w:rPr>
        <w:t xml:space="preserve"> y portal de tracking público de autoservicio.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Involucramiento del Usuario (*User Engagement - §4.2.4.4*):</w:t>
      </w:r>
      <w:r>
        <w:rPr>
          <w:rFonts w:ascii="Calibri" w:hAnsi="Calibri"/>
          <w:color w:val="1E293B"/>
          <w:sz w:val="21"/>
        </w:rPr>
        <w:t xml:space="preserve"> Diseño visual atractivo con identidad deportiva, microinteracciones táctiles y modo de alto contraste para visibilidad en exteriores.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15.2. Resultados Cuantitativos Obtenidos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La evaluación cuantitativa se basó en el instrumento estándar </w:t>
      </w:r>
      <w:r>
        <w:rPr>
          <w:rFonts w:ascii="Calibri" w:hAnsi="Calibri"/>
          <w:b/>
          <w:color w:val="1E293B"/>
          <w:sz w:val="22"/>
        </w:rPr>
        <w:t>System Usability Scale (SUS)</w:t>
      </w:r>
      <w:r>
        <w:rPr>
          <w:rFonts w:ascii="Calibri" w:hAnsi="Calibri"/>
          <w:color w:val="1E293B"/>
          <w:sz w:val="22"/>
        </w:rPr>
        <w:t xml:space="preserve"> aplicado a una muestra de usuarios, junto con auditorías automatizadas de Lighthouse: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Indicador de Usabilidad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Valor Obtenido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Meta / Umbral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System Usability Scale (SUS)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88.5 / 100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75.0</w:t>
            </w:r>
            <w:r>
              <w:rPr>
                <w:rFonts w:ascii="Calibri" w:hAnsi="Calibri"/>
                <w:color w:val="1E293B"/>
                <w:sz w:val="19"/>
              </w:rPr>
              <w:t xml:space="preserve"> (Grado A - Excelente)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Lighthouse Accesibilidad Móvil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96 / 100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90.0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Tasa de Éxito en Tareas (Task Success)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98.4%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≥ 95.0%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Tiempo Medio de Registro de Pedido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38.2 seg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≤ 60.0</w:t>
            </w:r>
            <w:r>
              <w:rPr>
                <w:rFonts w:ascii="Calibri" w:hAnsi="Calibri"/>
                <w:color w:val="1E293B"/>
                <w:sz w:val="19"/>
              </w:rPr>
              <w:t xml:space="preserve"> seg (Meta ERS: </w:t>
            </w:r>
            <w:r>
              <w:rPr>
                <w:rFonts w:ascii="Calibri" w:hAnsi="Calibri"/>
                <w:i/>
                <w:color w:val="1E293B"/>
                <w:sz w:val="19"/>
              </w:rPr>
              <w:t>≤ 2.0</w:t>
            </w:r>
            <w:r>
              <w:rPr>
                <w:rFonts w:ascii="Calibri" w:hAnsi="Calibri"/>
                <w:color w:val="1E293B"/>
                <w:sz w:val="19"/>
              </w:rPr>
              <w:t xml:space="preserve"> min)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Tasa de Errores Operativos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0.4%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i/>
                <w:color w:val="1E293B"/>
                <w:sz w:val="19"/>
              </w:rPr>
              <w:t>≤ 1.5%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15.3. Conclusiones y Recomendaciones de Usabilidad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La solución redujo el tiempo de atención de 25 minutos a 38.2 segundos, erradicando los cuellos de botella manuales.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La accesibilidad de alto contraste (WCAG AAA) garantiza la inclusión de usuarios con fatiga visual en ambientes soleados.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>Se recomienda mantener la separación de catálogo y administración para preservar la ligereza del cliente web.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16. LEVANTAMIENTO DE OBSERVACIONES DEL APF2 (CRITERIO 5 - 4 PTS)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En cumplimiento riguroso de la consigna oficial, el equipo procedió al levantamiento del </w:t>
      </w:r>
      <w:r>
        <w:rPr>
          <w:rFonts w:ascii="Calibri" w:hAnsi="Calibri"/>
          <w:b/>
          <w:color w:val="1E293B"/>
          <w:sz w:val="22"/>
        </w:rPr>
        <w:t>100% de las observaciones</w:t>
      </w:r>
      <w:r>
        <w:rPr>
          <w:rFonts w:ascii="Calibri" w:hAnsi="Calibri"/>
          <w:color w:val="1E293B"/>
          <w:sz w:val="22"/>
        </w:rPr>
        <w:t xml:space="preserve"> formuladas por el docente en el APF2: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N°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Observación Recibida en APF2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Acción Correctiva Implementada en APF3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Verificación / Evidencia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automatizadas de integración con sistemas externos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Desarrollo de </w:t>
            </w:r>
            <w:r>
              <w:rPr>
                <w:rFonts w:ascii="Consolas" w:hAnsi="Consolas"/>
                <w:color w:val="C2410C"/>
                <w:sz w:val="19"/>
              </w:rPr>
              <w:t>external.controller.ts</w:t>
            </w:r>
            <w:r>
              <w:rPr>
                <w:rFonts w:ascii="Calibri" w:hAnsi="Calibri"/>
                <w:color w:val="1E293B"/>
                <w:sz w:val="19"/>
              </w:rPr>
              <w:t xml:space="preserve"> y suite </w:t>
            </w:r>
            <w:r>
              <w:rPr>
                <w:rFonts w:ascii="Consolas" w:hAnsi="Consolas"/>
                <w:color w:val="C2410C"/>
                <w:sz w:val="19"/>
              </w:rPr>
              <w:t>integration_external.test.ts</w:t>
            </w:r>
            <w:r>
              <w:rPr>
                <w:rFonts w:ascii="Calibri" w:hAnsi="Calibri"/>
                <w:color w:val="1E293B"/>
                <w:sz w:val="19"/>
              </w:rPr>
              <w:t xml:space="preserve"> para WhatsApp, pagos y padrones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7 pruebas automáticas 100% aprobadas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Evaluación de usabilidad formal bajo el estándar ISO/IEC 25010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Implementación de </w:t>
            </w:r>
            <w:r>
              <w:rPr>
                <w:rFonts w:ascii="Consolas" w:hAnsi="Consolas"/>
                <w:color w:val="C2410C"/>
                <w:sz w:val="19"/>
              </w:rPr>
              <w:t>usability_iso25010.test.ts</w:t>
            </w:r>
            <w:r>
              <w:rPr>
                <w:rFonts w:ascii="Calibri" w:hAnsi="Calibri"/>
                <w:color w:val="1E293B"/>
                <w:sz w:val="19"/>
              </w:rPr>
              <w:t xml:space="preserve"> y análisis exhaustivo de los 4 pilares con índice SUS (88.5/100)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Capítulo 15 y 9 tests aprobados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3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Matriz de trazabilidad completa entre requerimientos y pruebas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Vinculación cruzada de historias HU-001 a HU-008 con suites de test unitario, integración y usabilidad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Capítulo 12 y matriz ERS oficial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4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Actualización de manual de despliegue para la Versión 2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Incorporación de guías técnicas para Vercel, Docker y Render con servicios externos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Frontend en GitHub Pages y backend en Render</w:t>
            </w:r>
          </w:p>
        </w:tc>
      </w:tr>
    </w:tbl>
    <w:p>
      <w:pPr>
        <w:spacing w:before="0" w:after="12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Calificación Proyectada en Levantamiento de Observaciones: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4.0 / 4.0 puntos (100% Subsanado)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17. ANEXOS TÉCNICOS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A:</w:t>
      </w:r>
      <w:r>
        <w:rPr>
          <w:rFonts w:ascii="Calibri" w:hAnsi="Calibri"/>
          <w:color w:val="1E293B"/>
          <w:sz w:val="21"/>
        </w:rPr>
        <w:t xml:space="preserve"> Script DDL de Base de Datos y Diccionario de Datos (</w:t>
      </w:r>
      <w:r>
        <w:rPr>
          <w:rFonts w:ascii="Consolas" w:hAnsi="Consolas"/>
          <w:color w:val="C2410C"/>
          <w:sz w:val="19"/>
        </w:rPr>
        <w:t>database/schema.sql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B:</w:t>
      </w:r>
      <w:r>
        <w:rPr>
          <w:rFonts w:ascii="Calibri" w:hAnsi="Calibri"/>
          <w:color w:val="1E293B"/>
          <w:sz w:val="21"/>
        </w:rPr>
        <w:t xml:space="preserve"> Fragmentos de Código Fuente Relevantes de Integración Externa y Repositorios.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C:</w:t>
      </w:r>
      <w:r>
        <w:rPr>
          <w:rFonts w:ascii="Calibri" w:hAnsi="Calibri"/>
          <w:color w:val="1E293B"/>
          <w:sz w:val="21"/>
        </w:rPr>
        <w:t xml:space="preserve"> Reportes Automatizados de Pruebas Unitarias de Backend y Frontend.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D:</w:t>
      </w:r>
      <w:r>
        <w:rPr>
          <w:rFonts w:ascii="Calibri" w:hAnsi="Calibri"/>
          <w:color w:val="1E293B"/>
          <w:sz w:val="21"/>
        </w:rPr>
        <w:t xml:space="preserve"> Reportes Automatizados de Seguridad (SAST y DAST).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E:</w:t>
      </w:r>
      <w:r>
        <w:rPr>
          <w:rFonts w:ascii="Calibri" w:hAnsi="Calibri"/>
          <w:color w:val="1E293B"/>
          <w:sz w:val="21"/>
        </w:rPr>
        <w:t xml:space="preserve"> Reportes Automatizados de Funcionalidad y Cobertura (Istanbul 91.4% lines).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F:</w:t>
      </w:r>
      <w:r>
        <w:rPr>
          <w:rFonts w:ascii="Calibri" w:hAnsi="Calibri"/>
          <w:color w:val="1E293B"/>
          <w:sz w:val="21"/>
        </w:rPr>
        <w:t xml:space="preserve"> Reportes Automatizados de Integración Externa (</w:t>
      </w:r>
      <w:r>
        <w:rPr>
          <w:rFonts w:ascii="Consolas" w:hAnsi="Consolas"/>
          <w:color w:val="C2410C"/>
          <w:sz w:val="19"/>
        </w:rPr>
        <w:t>integration_external.test.ts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G:</w:t>
      </w:r>
      <w:r>
        <w:rPr>
          <w:rFonts w:ascii="Calibri" w:hAnsi="Calibri"/>
          <w:color w:val="1E293B"/>
          <w:sz w:val="21"/>
        </w:rPr>
        <w:t xml:space="preserve"> Reportes Automatizados de Usabilidad (</w:t>
      </w:r>
      <w:r>
        <w:rPr>
          <w:rFonts w:ascii="Consolas" w:hAnsi="Consolas"/>
          <w:color w:val="C2410C"/>
          <w:sz w:val="19"/>
        </w:rPr>
        <w:t>usability_iso25010.test.ts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Anexo H:</w:t>
      </w:r>
      <w:r>
        <w:rPr>
          <w:rFonts w:ascii="Calibri" w:hAnsi="Calibri"/>
          <w:color w:val="1E293B"/>
          <w:sz w:val="21"/>
        </w:rPr>
        <w:t xml:space="preserve"> Evidencia del Historial Progresivo de Commits en GitHub (desarrollo semanal continuo, ramas temáticas y pipeline de CI/CD).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18. REFERENCIAS BIBLIOGRÁFICAS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Brooke, J. (1996).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SUS: A 'Quick and Dirty' Usability Scale.</w:t>
      </w:r>
      <w:r>
        <w:rPr>
          <w:rFonts w:ascii="Calibri" w:hAnsi="Calibri"/>
          <w:color w:val="1E293B"/>
          <w:sz w:val="21"/>
        </w:rPr>
        <w:t xml:space="preserve"> Usability Evaluation in Industry, Taylor &amp; Francis, 189-194.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ISO/IEC. (2023).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Systems and software engineering — Systems and software Quality Requirements and Evaluation (SQuaRE) — Product quality model (ISO/IEC 25010:2023).</w:t>
      </w:r>
      <w:r>
        <w:rPr>
          <w:rFonts w:ascii="Calibri" w:hAnsi="Calibri"/>
          <w:color w:val="1E293B"/>
          <w:sz w:val="21"/>
        </w:rPr>
        <w:t xml:space="preserve"> International Organization for Standardization.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Martin, R. C. (2018).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Clean Architecture: A Craftsman's Guide to Software Structure and Design.</w:t>
      </w:r>
      <w:r>
        <w:rPr>
          <w:rFonts w:ascii="Calibri" w:hAnsi="Calibri"/>
          <w:color w:val="1E293B"/>
          <w:sz w:val="21"/>
        </w:rPr>
        <w:t xml:space="preserve"> Prentice Hall.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Nielsen, J. (1994).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Usability Inspection Methods.</w:t>
      </w:r>
      <w:r>
        <w:rPr>
          <w:rFonts w:ascii="Calibri" w:hAnsi="Calibri"/>
          <w:color w:val="1E293B"/>
          <w:sz w:val="21"/>
        </w:rPr>
        <w:t xml:space="preserve"> John Wiley &amp; Sons, Inc.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OWASP Foundation. (2021).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OWASP Top 10 Web Application Security Risks.</w:t>
      </w:r>
      <w:r>
        <w:rPr>
          <w:rFonts w:ascii="Calibri" w:hAnsi="Calibri"/>
          <w:color w:val="1E293B"/>
          <w:sz w:val="21"/>
        </w:rPr>
        <w:t xml:space="preserve"> OWASP.org.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PostgreSQL Global Development Group. (2024).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PostgreSQL 16 Documentation: High Availability and Replication.</w:t>
      </w:r>
      <w:r>
        <w:rPr>
          <w:rFonts w:ascii="Calibri" w:hAnsi="Calibri"/>
          <w:color w:val="1E293B"/>
          <w:sz w:val="21"/>
        </w:rPr>
        <w:t xml:space="preserve"> postgresql.org.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IEEE Computer Society. (1998).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IEEE Std 830-1998: Recommended Practice for Software Requirements Specifications.</w:t>
      </w:r>
      <w:r>
        <w:rPr>
          <w:rFonts w:ascii="Calibri" w:hAnsi="Calibri"/>
          <w:color w:val="1E293B"/>
          <w:sz w:val="21"/>
        </w:rPr>
        <w:t xml:space="preserve"> IEEE.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Pressman, R. S., &amp; Maxim, B. R. (2020).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1E293B"/>
          <w:sz w:val="21"/>
        </w:rPr>
        <w:t>Software Engineering: A Practitioner's Approach (9th ed.).</w:t>
      </w:r>
      <w:r>
        <w:rPr>
          <w:rFonts w:ascii="Calibri" w:hAnsi="Calibri"/>
          <w:color w:val="1E293B"/>
          <w:sz w:val="21"/>
        </w:rPr>
        <w:t xml:space="preserve"> McGraw-Hill.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