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  <w:jc w:val="center"/>
      </w:pPr>
      <w:r>
        <w:rPr>
          <w:rFonts w:ascii="Calibri" w:hAnsi="Calibri"/>
          <w:b/>
          <w:color w:val="0F172A"/>
          <w:sz w:val="40"/>
        </w:rPr>
        <w:t>UNIVERSIDAD TECNOLÓGICA DEL PERÚ</w:t>
      </w:r>
    </w:p>
    <w:p>
      <w:pPr>
        <w:spacing w:after="360"/>
        <w:jc w:val="center"/>
      </w:pPr>
      <w:r>
        <w:rPr>
          <w:rFonts w:ascii="Calibri" w:hAnsi="Calibri"/>
          <w:b/>
          <w:color w:val="475569"/>
          <w:sz w:val="26"/>
        </w:rPr>
        <w:t>FACULTAD DE INGENIERÍA DE SISTEMAS E INFORMÁTICA</w:t>
      </w:r>
    </w:p>
    <w:p>
      <w:pPr>
        <w:spacing w:after="200"/>
        <w:jc w:val="center"/>
      </w:pPr>
      <w:r>
        <w:rPr>
          <w:b/>
          <w:color w:val="C2410C"/>
          <w:sz w:val="24"/>
        </w:rPr>
        <w:t>CURSO INTEGRADOR II: SOFTWARE (100000S12F)</w:t>
      </w:r>
    </w:p>
    <w:p>
      <w:pPr>
        <w:spacing w:before="280" w:after="120"/>
        <w:jc w:val="center"/>
      </w:pPr>
      <w:r>
        <w:rPr>
          <w:b/>
          <w:color w:val="0F172A"/>
          <w:sz w:val="31"/>
        </w:rPr>
        <w:t>SISTEMA DE GESTIÓN DE PEDIDOS Y CONTROL DE INVENTARIO MULTICANAL PARA LA EMPRESA LEOFIT</w:t>
      </w:r>
    </w:p>
    <w:p>
      <w:pPr>
        <w:spacing w:after="360"/>
        <w:jc w:val="center"/>
      </w:pPr>
      <w:r>
        <w:rPr>
          <w:b/>
          <w:color w:val="2563EB"/>
          <w:sz w:val="25"/>
        </w:rPr>
        <w:t>INFORME OFICIAL DE AVANCE DE PROYECTO FINAL 2 (APF2)</w:t>
      </w:r>
    </w:p>
    <w:p>
      <w:pPr>
        <w:spacing w:after="80"/>
        <w:jc w:val="center"/>
      </w:pPr>
      <w:r>
        <w:rPr>
          <w:b/>
          <w:sz w:val="22"/>
        </w:rPr>
        <w:t>INTEGRANTES (GRUPO 01):</w:t>
      </w:r>
    </w:p>
    <w:p>
      <w:pPr>
        <w:spacing w:after="40"/>
        <w:jc w:val="center"/>
      </w:pPr>
      <w:r>
        <w:rPr>
          <w:color w:val="334155"/>
          <w:sz w:val="20"/>
        </w:rPr>
        <w:t>Loayza Rodriguez, Lady Luz — Código: U22221489 (Scrum Master / DevSecOps)</w:t>
      </w:r>
    </w:p>
    <w:p>
      <w:pPr>
        <w:spacing w:after="40"/>
        <w:jc w:val="center"/>
      </w:pPr>
      <w:r>
        <w:rPr>
          <w:color w:val="334155"/>
          <w:sz w:val="20"/>
        </w:rPr>
        <w:t>Cárdenas Fernández, Víctor Leandro — Código: U19217414 (Product Owner / Data Architect)</w:t>
      </w:r>
    </w:p>
    <w:p>
      <w:pPr>
        <w:spacing w:after="40"/>
        <w:jc w:val="center"/>
      </w:pPr>
      <w:r>
        <w:rPr>
          <w:color w:val="334155"/>
          <w:sz w:val="20"/>
        </w:rPr>
        <w:t>Roman Delgado, Harley Anthony — Código: U21313032 (Frontend Lead / PWA Specialist)</w:t>
      </w:r>
    </w:p>
    <w:p>
      <w:pPr>
        <w:spacing w:after="40"/>
        <w:jc w:val="center"/>
      </w:pPr>
      <w:r>
        <w:rPr>
          <w:color w:val="334155"/>
          <w:sz w:val="20"/>
        </w:rPr>
        <w:t>Dávila Morales, Jim Alessandro — Código: U18206081 (QA Engineer Lead / Backend)</w:t>
      </w:r>
    </w:p>
    <w:p>
      <w:pPr>
        <w:spacing w:after="40"/>
        <w:jc w:val="center"/>
      </w:pPr>
      <w:r>
        <w:rPr>
          <w:color w:val="334155"/>
          <w:sz w:val="20"/>
        </w:rPr>
        <w:t>Rojas Sanchez, Daniel Enrique — Código: U21214627 (Business Analyst / Cloud DevOps)</w:t>
      </w:r>
    </w:p>
    <w:p>
      <w:pPr>
        <w:spacing w:before="360"/>
        <w:jc w:val="center"/>
      </w:pPr>
      <w:r>
        <w:rPr>
          <w:b/>
          <w:sz w:val="20"/>
        </w:rPr>
        <w:t>LIMA – PERÚ | CICLO 2026-I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0F172A"/>
          <w:sz w:val="28"/>
        </w:rPr>
        <w:t>LEVANTAMIENTO DE OBSERVACIONES DEL AVANCE DE PROYECTO FINAL 1 (APF1)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El equipo presenta el levantamiento formal y detallado del </w:t>
      </w:r>
      <w:r>
        <w:rPr>
          <w:rFonts w:ascii="Calibri" w:hAnsi="Calibri"/>
          <w:b/>
          <w:color w:val="1E293B"/>
          <w:sz w:val="22"/>
        </w:rPr>
        <w:t>100% de las observaciones</w:t>
      </w:r>
      <w:r>
        <w:rPr>
          <w:rFonts w:ascii="Calibri" w:hAnsi="Calibri"/>
          <w:color w:val="1E293B"/>
          <w:sz w:val="22"/>
        </w:rPr>
        <w:t xml:space="preserve"> de la entrega APF1 previa (calificada con 18/20), consolidando el estándar máximo exigido por la rúbrica institucional: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Criterio Evaluado en APF1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Acción de Mejora y Subsanación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Ubicación en el Presente Documento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Análisis Empresarial y Artefactos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Se incorporaron los 6 artefactos completos: Lean Canvas, BPMN AS-IS, BPMN TO-BE, Backlog MoSCoW, Project Charter y Tablero Kanban.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Capítulo 1 (Figuras 1, 2, 3) y Capítulo 2.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Gestión de Riesgos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Se refinó la matriz 5x5 con categorización cuantitativa de probabilidad/impacto y planes de mitigación/contingencia específicos.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Capítulo 5 (Figura 8 y tablas de contingencia).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Definición de Niveles SLA/SLO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Se definieron métricas contractuales (99.9% disponibilidad, latencia p95 &lt; 200ms) y sondas automatizadas de observabilidad.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 xml:space="preserve">Capítulo 6 y Endpoint </w:t>
            </w:r>
            <w:r>
              <w:rPr>
                <w:rFonts w:ascii="Consolas" w:hAnsi="Consolas"/>
                <w:color w:val="C2410C"/>
                <w:sz w:val="19"/>
              </w:rPr>
              <w:t>/api/health</w:t>
            </w:r>
            <w:r>
              <w:rPr>
                <w:rFonts w:ascii="Calibri" w:hAnsi="Calibri"/>
                <w:color w:val="334155"/>
                <w:sz w:val="19"/>
              </w:rPr>
              <w:t>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Optimización WPO en Frontend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Se cuantificó la reducción del bundle de 1.8MB a 245KB (86%) y LCP &lt; 1.2s aplicando Code-Splitting y Tree-Shaking.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Capítulo 7 (Sección 7.d y métricas).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Estructura Unificada Oficial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Se estructuró el informe siguiendo estrictamente el esquema de 11 capítulos y 4 anexos de la directiva UTP.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Capítulos 1 al 11 y Anexos A al D.</w:t>
            </w:r>
          </w:p>
        </w:tc>
      </w:tr>
    </w:tbl>
    <w:p>
      <w:pPr>
        <w:keepNext/>
        <w:spacing w:before="360" w:after="120"/>
      </w:pPr>
      <w:r>
        <w:rPr>
          <w:b/>
          <w:color w:val="0F172A"/>
          <w:sz w:val="28"/>
        </w:rPr>
        <w:t>1. ANÁLISIS EMPRESARIAL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a. Introducción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En el emporio comercial de Gamarra (La Victoria, Lima), el auge del comercio electrónico a través de canales conversacionales como WhatsApp, TikTok e Instagram ha transformado la comercialización de indumentaria deportiva. No obstante, las microempresas como </w:t>
      </w:r>
      <w:r>
        <w:rPr>
          <w:rFonts w:ascii="Calibri" w:hAnsi="Calibri"/>
          <w:b/>
          <w:color w:val="1E293B"/>
          <w:sz w:val="22"/>
        </w:rPr>
        <w:t>LeoFit</w:t>
      </w:r>
      <w:r>
        <w:rPr>
          <w:rFonts w:ascii="Calibri" w:hAnsi="Calibri"/>
          <w:color w:val="1E293B"/>
          <w:sz w:val="22"/>
        </w:rPr>
        <w:t xml:space="preserve"> enfrentan serios cuellos de botella al gestionar sus pedidos manualmente con libretas y hojas de cálculo desarticuladas, generando retrasos de hasta 4 horas en los despachos y errores recurrentes de rotura de stock.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b. Descripción de la Empresa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2"/>
        </w:rPr>
        <w:t>LeoFit</w:t>
      </w:r>
      <w:r>
        <w:rPr>
          <w:rFonts w:ascii="Calibri" w:hAnsi="Calibri"/>
          <w:color w:val="1E293B"/>
          <w:sz w:val="22"/>
        </w:rPr>
        <w:t xml:space="preserve"> es una microempresa textil peruana enfocada en el diseño, confección y comercialización de ropa deportiva masculina y unisex de corte técnico y </w:t>
      </w:r>
      <w:r>
        <w:rPr>
          <w:rFonts w:ascii="Calibri" w:hAnsi="Calibri"/>
          <w:i/>
          <w:color w:val="1E293B"/>
          <w:sz w:val="22"/>
        </w:rPr>
        <w:t>oversize</w:t>
      </w:r>
      <w:r>
        <w:rPr>
          <w:rFonts w:ascii="Calibri" w:hAnsi="Calibri"/>
          <w:color w:val="1E293B"/>
          <w:sz w:val="22"/>
        </w:rPr>
        <w:t xml:space="preserve"> (polos Dry-Fit, shorts 2 en 1 con lycra de compresión y joggers cargo). Su taller y centro de operaciones se ubican en Jr. Antonio Bazo, La Victoria, Lima.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c. Visión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Consolidarse para el año 2028 como la marca independiente líder de ropa deportiva en el canal digital peruano, destacando por su calidad textil, innovación en diseño ergonómico y entregas el mismo día (</w:t>
      </w:r>
      <w:r>
        <w:rPr>
          <w:rFonts w:ascii="Calibri" w:hAnsi="Calibri"/>
          <w:i/>
          <w:color w:val="1E293B"/>
          <w:sz w:val="22"/>
        </w:rPr>
        <w:t>same-day delivery</w:t>
      </w:r>
      <w:r>
        <w:rPr>
          <w:rFonts w:ascii="Calibri" w:hAnsi="Calibri"/>
          <w:color w:val="1E293B"/>
          <w:sz w:val="22"/>
        </w:rPr>
        <w:t>).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d. Misión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Brindar a la comunidad fitness prendas deportivas duraderas, funcionales y vanguardistas, ofreciendo una experiencia de compra omnicanal rápida, transparente y personalizada.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e. Análisis de Negocio (Lean Canvas)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Se diseñó el lienzo Lean Canvas para estructurar la propuesta de valor, los segmentos de clientes, la estructura de costos y las fuentes de ingresos: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ean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1: Lienzo Lean Canvas del Sistema LeoFit Solutions.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f. Mapa de Procesos (AS-IS)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El mapeo del proceso actual (AS-IS) refleja las ineficiencias de la atención manual por chat, validaciones físicas en almacén y demoras en la coordinación con couriers: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1344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PMN_AS-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2: Diagrama BPMN del Proceso de Ventas y Despacho Actual (AS-IS).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g. Oportunidades de Mejora y Modelo Propuesto (TO-BE)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El proceso propuesto (TO-BE) automatiza la reserva atómica de stock, genera guías de tracking digital y reduce el tiempo de atención a menos de 15 minutos: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157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PMN_TO-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3: Diagrama BPMN del Proceso Automatizado y Optimizado (TO-BE).</w:t>
      </w:r>
    </w:p>
    <w:p>
      <w:pPr>
        <w:keepNext/>
        <w:spacing w:before="360" w:after="120"/>
      </w:pPr>
      <w:r>
        <w:rPr>
          <w:b/>
          <w:color w:val="0F172A"/>
          <w:sz w:val="28"/>
        </w:rPr>
        <w:t>2. PLANIFICACIÓN Y GESTIÓN DEL PROYECTO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a. Project Charter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El Acta de Constitución del Proyecto formaliza el desarrollo de la solución integral (Frontend PWA + Backend API REST + Base de Datos PostgreSQL) con un equipo de 5 ingenieros bajo metodología Scrum.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b. Alcance y Objetivos del Proyecto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• </w:t>
      </w:r>
      <w:r>
        <w:rPr>
          <w:rFonts w:ascii="Calibri" w:hAnsi="Calibri"/>
          <w:b/>
          <w:color w:val="1E293B"/>
          <w:sz w:val="22"/>
        </w:rPr>
        <w:t>Objetivo SMART 1:</w:t>
      </w:r>
      <w:r>
        <w:rPr>
          <w:rFonts w:ascii="Calibri" w:hAnsi="Calibri"/>
          <w:color w:val="1E293B"/>
          <w:sz w:val="22"/>
        </w:rPr>
        <w:t xml:space="preserve"> Reducir el tiempo promedio de despacho de pedidos de 240 minutos a menos de 15 minutos en el primer mes de despliegue.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• </w:t>
      </w:r>
      <w:r>
        <w:rPr>
          <w:rFonts w:ascii="Calibri" w:hAnsi="Calibri"/>
          <w:b/>
          <w:color w:val="1E293B"/>
          <w:sz w:val="22"/>
        </w:rPr>
        <w:t>Objetivo SMART 2:</w:t>
      </w:r>
      <w:r>
        <w:rPr>
          <w:rFonts w:ascii="Calibri" w:hAnsi="Calibri"/>
          <w:color w:val="1E293B"/>
          <w:sz w:val="22"/>
        </w:rPr>
        <w:t xml:space="preserve"> Alcanzar un 0% de errores de sobreventa mediante control de concurrencia y transacciones ACID en base de datos.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• </w:t>
      </w:r>
      <w:r>
        <w:rPr>
          <w:rFonts w:ascii="Calibri" w:hAnsi="Calibri"/>
          <w:b/>
          <w:color w:val="1E293B"/>
          <w:sz w:val="22"/>
        </w:rPr>
        <w:t>Objetivo SMART 3:</w:t>
      </w:r>
      <w:r>
        <w:rPr>
          <w:rFonts w:ascii="Calibri" w:hAnsi="Calibri"/>
          <w:color w:val="1E293B"/>
          <w:sz w:val="22"/>
        </w:rPr>
        <w:t xml:space="preserve"> Garantizar una disponibilidad del sistema del 99.9% durante la campaña comercial.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c. Cronograma del Proyecto (Diagrama de Gantt)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ronograma_Gant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4: Cronograma Maestro de Sprints e Hitos de Entrega (Gantt).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d. Planificación Ágil – Sprint Planning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• </w:t>
      </w:r>
      <w:r>
        <w:rPr>
          <w:rFonts w:ascii="Calibri" w:hAnsi="Calibri"/>
          <w:b/>
          <w:color w:val="1E293B"/>
          <w:sz w:val="22"/>
        </w:rPr>
        <w:t>Sprint 0 (Semanas 1-2):</w:t>
      </w:r>
      <w:r>
        <w:rPr>
          <w:rFonts w:ascii="Calibri" w:hAnsi="Calibri"/>
          <w:color w:val="1E293B"/>
          <w:sz w:val="22"/>
        </w:rPr>
        <w:t xml:space="preserve"> Levantamiento de procesos, arquitectura Clean Architecture, modelado relacional.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• </w:t>
      </w:r>
      <w:r>
        <w:rPr>
          <w:rFonts w:ascii="Calibri" w:hAnsi="Calibri"/>
          <w:b/>
          <w:color w:val="1E293B"/>
          <w:sz w:val="22"/>
        </w:rPr>
        <w:t>Sprint 1 (Semanas 3-5):</w:t>
      </w:r>
      <w:r>
        <w:rPr>
          <w:rFonts w:ascii="Calibri" w:hAnsi="Calibri"/>
          <w:color w:val="1E293B"/>
          <w:sz w:val="22"/>
        </w:rPr>
        <w:t xml:space="preserve"> Desarrollo del Frontend PWA, diseño responsivo y entrega de APF1.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• </w:t>
      </w:r>
      <w:r>
        <w:rPr>
          <w:rFonts w:ascii="Calibri" w:hAnsi="Calibri"/>
          <w:b/>
          <w:color w:val="1E293B"/>
          <w:sz w:val="22"/>
        </w:rPr>
        <w:t>Sprint 2 (Semanas 6-7):</w:t>
      </w:r>
      <w:r>
        <w:rPr>
          <w:rFonts w:ascii="Calibri" w:hAnsi="Calibri"/>
          <w:color w:val="1E293B"/>
          <w:sz w:val="22"/>
        </w:rPr>
        <w:t xml:space="preserve"> Construcción de API REST Backend, Patrón Repositorio y conexión PostgreSQL.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• </w:t>
      </w:r>
      <w:r>
        <w:rPr>
          <w:rFonts w:ascii="Calibri" w:hAnsi="Calibri"/>
          <w:b/>
          <w:color w:val="1E293B"/>
          <w:sz w:val="22"/>
        </w:rPr>
        <w:t>Sprint 3 (Semanas 8-9):</w:t>
      </w:r>
      <w:r>
        <w:rPr>
          <w:rFonts w:ascii="Calibri" w:hAnsi="Calibri"/>
          <w:color w:val="1E293B"/>
          <w:sz w:val="22"/>
        </w:rPr>
        <w:t xml:space="preserve"> Módulo de Seguridad JWT/RBAC, Pruebas Automatizadas y Despliegue Cloud (APF2).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• </w:t>
      </w:r>
      <w:r>
        <w:rPr>
          <w:rFonts w:ascii="Calibri" w:hAnsi="Calibri"/>
          <w:b/>
          <w:color w:val="1E293B"/>
          <w:sz w:val="22"/>
        </w:rPr>
        <w:t>Sprint 4 (Semanas 10-18):</w:t>
      </w:r>
      <w:r>
        <w:rPr>
          <w:rFonts w:ascii="Calibri" w:hAnsi="Calibri"/>
          <w:color w:val="1E293B"/>
          <w:sz w:val="22"/>
        </w:rPr>
        <w:t xml:space="preserve"> Evaluación de Calidad ISO 25010, Optimización y Entrega Final.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e. Roles y Artefactos Scrum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 Scrum Asignado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Responsabilidades y Artefactos a Cargo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Loayza Rodriguez, Lady Luz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Scrum Master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Facilitación ágil, gestión de riesgos, DevSecOps y seguridad.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Cárdenas Fernández, Víctor Leandro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Product Owner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Product Backlog, historias de usuario y diseño físico de base de datos.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Roman Delgado, Harley Anthony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Frontend Lead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Desarrollo PWA UI/UX, Service Workers y optimización WPO.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Dávila Morales, Jim Alessandro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QA Engineer Lead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Backend API REST, patrón repositorio y suite de pruebas Jest/Supertest.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Rojas Sanchez, Daniel Enrique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Business Analyst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Requisitos, observabilidad, métricas SLA/SLO y despliegue Cloud.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3"/>
        </w:rPr>
        <w:t>f. Tablero Kanban/Scrum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ablero_Kanb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5: Tablero Kanban de Flujo de Trabajo con Políticas y Límites WIP.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g. Product Backlog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El Product Backlog se estructuró mediante priorización MoSCoW, asegurando la entrega temprana de valor funcional en cada incremento.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h. Historias de Usuario y Matriz de Requisitos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Código RF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 Funcional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Prioridad MoSCoW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RF-001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Autenticación segura con JWT y roles de usuario (ADMIN / OPERATOR).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MUST HAVE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RF-002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Gestión de catálogo de prendas deportivas y fichas técnicas.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MUST HAVE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RF-003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Control de inventario por variantes de talla y color con stock en tiempo real.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MUST HAVE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RF-004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Registro de órdenes de compra con cálculo automático de delivery.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MUST HAVE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RF-005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Transacciones ACID con reserva atómica de stock y reversión en cancelaciones.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MUST HAVE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RF-006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Consulta pública y seguimiento de estado de pedidos mediante código de tracking.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SHOULD HAVE</w:t>
            </w:r>
          </w:p>
        </w:tc>
      </w:tr>
    </w:tbl>
    <w:p>
      <w:pPr>
        <w:keepNext/>
        <w:spacing w:before="360" w:after="120"/>
      </w:pPr>
      <w:r>
        <w:rPr>
          <w:b/>
          <w:color w:val="0F172A"/>
          <w:sz w:val="28"/>
        </w:rPr>
        <w:t>3. SELECCIÓN Y CONFIGURACIÓN DE HERRAMIENTAS DE DESARROLLO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a. Selección de Herramientas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Se eligió un stack basado en Node.js v20 LTS, Express, TypeScript, PostgreSQL 16, React + Vite y Docker por su madurez, rendimiento y tipado estricto.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b. Evidencias de Configuración de Herramientas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Se implementaron linters (</w:t>
      </w:r>
      <w:r>
        <w:rPr>
          <w:rFonts w:ascii="Consolas" w:hAnsi="Consolas"/>
          <w:color w:val="C2410C"/>
          <w:sz w:val="19"/>
        </w:rPr>
        <w:t>tsc --noEmit</w:t>
      </w:r>
      <w:r>
        <w:rPr>
          <w:rFonts w:ascii="Calibri" w:hAnsi="Calibri"/>
          <w:color w:val="1E293B"/>
          <w:sz w:val="22"/>
        </w:rPr>
        <w:t xml:space="preserve">), suites de pruebas con </w:t>
      </w:r>
      <w:r>
        <w:rPr>
          <w:rFonts w:ascii="Consolas" w:hAnsi="Consolas"/>
          <w:color w:val="C2410C"/>
          <w:sz w:val="19"/>
        </w:rPr>
        <w:t>ts-jest</w:t>
      </w:r>
      <w:r>
        <w:rPr>
          <w:rFonts w:ascii="Calibri" w:hAnsi="Calibri"/>
          <w:color w:val="1E293B"/>
          <w:sz w:val="22"/>
        </w:rPr>
        <w:t xml:space="preserve"> y contenedores Docker multi-stage para garantizar paridad entre desarrollo y producción.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c. Repositorio GitHub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i. Estructura del Repositorio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Estructura monorepo organizada con módulos </w:t>
      </w:r>
      <w:r>
        <w:rPr>
          <w:rFonts w:ascii="Consolas" w:hAnsi="Consolas"/>
          <w:color w:val="C2410C"/>
          <w:sz w:val="19"/>
        </w:rPr>
        <w:t>/frontend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19"/>
        </w:rPr>
        <w:t>/backend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19"/>
        </w:rPr>
        <w:t>/database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19"/>
        </w:rPr>
        <w:t>/docs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19"/>
        </w:rPr>
        <w:t>/diagrams</w:t>
      </w:r>
      <w:r>
        <w:rPr>
          <w:rFonts w:ascii="Calibri" w:hAnsi="Calibri"/>
          <w:color w:val="1E293B"/>
          <w:sz w:val="22"/>
        </w:rPr>
        <w:t xml:space="preserve"> y pipelines en </w:t>
      </w:r>
      <w:r>
        <w:rPr>
          <w:rFonts w:ascii="Consolas" w:hAnsi="Consolas"/>
          <w:color w:val="C2410C"/>
          <w:sz w:val="19"/>
        </w:rPr>
        <w:t>.github/workflows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ii. Archivo README.md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El archivo </w:t>
      </w:r>
      <w:r>
        <w:rPr>
          <w:rFonts w:ascii="Consolas" w:hAnsi="Consolas"/>
          <w:color w:val="C2410C"/>
          <w:sz w:val="19"/>
        </w:rPr>
        <w:t>README.md</w:t>
      </w:r>
      <w:r>
        <w:rPr>
          <w:rFonts w:ascii="Calibri" w:hAnsi="Calibri"/>
          <w:color w:val="1E293B"/>
          <w:sz w:val="22"/>
        </w:rPr>
        <w:t xml:space="preserve"> documenta los comandos de instalación, variables de entorno y arquitectura del sistema.</w:t>
      </w:r>
    </w:p>
    <w:p>
      <w:pPr>
        <w:keepNext/>
        <w:spacing w:before="360" w:after="120"/>
      </w:pPr>
      <w:r>
        <w:rPr>
          <w:b/>
          <w:color w:val="0F172A"/>
          <w:sz w:val="28"/>
        </w:rPr>
        <w:t>4. PROTOTIPOS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a. Wireframes de Baja Fidelidad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Wireframes_Baja_Fidel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6: Wireframes de Baja Fidelidad Mobile-First para Toma de Pedidos.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b. Mockups de Alta Fidelidad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Se diseñaron interfaces interactivas de alta fidelidad con componentes visuales modernos, paleta cromática deportiva y modo oscuro nativo.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c. Principios y Buenas Prácticas UX/UI Aplicadas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Aplicación de las 10 Heurísticas de Nielsen (visibilidad del estado del sistema, correspondencia con el mundo real, prevención de errores mediante validación Zod en tiempo real) y estándares WCAG 2.1 nivel AA.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d. Navegación y Flujo de Interacción del Usuario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154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ser_Flow_Naveg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7: Diagrama de Flujo de Navegación del Usuario (User Flow).</w:t>
      </w:r>
    </w:p>
    <w:p>
      <w:pPr>
        <w:keepNext/>
        <w:spacing w:before="360" w:after="120"/>
      </w:pPr>
      <w:r>
        <w:rPr>
          <w:b/>
          <w:color w:val="0F172A"/>
          <w:sz w:val="28"/>
        </w:rPr>
        <w:t>5. GESTIÓN DE RIESGOS DEL PROYECTO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a. Identificación de Riesgos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Se identificaron 4 riesgos principales: R-01 (Inconsistencias de stock por concurrencia), R-02 (Interrupción del servicio de base de datos), R-03 (Ataques de fuerza bruta), R-04 (Pérdida de conectividad en taller).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b. Mapa de Riesgos (Matriz 5x5 + Heatmap)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2762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pa_Riesg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8: Matriz de Probabilidad e Impacto 5x5 y Heatmap de Riesgos.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c. Plan de Gestión de Riesgos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i. Estrategias de Mitigación y Respuesta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Uso de bloqueos </w:t>
      </w:r>
      <w:r>
        <w:rPr>
          <w:rFonts w:ascii="Consolas" w:hAnsi="Consolas"/>
          <w:color w:val="C2410C"/>
          <w:sz w:val="19"/>
        </w:rPr>
        <w:t>FOR UPDATE</w:t>
      </w:r>
      <w:r>
        <w:rPr>
          <w:rFonts w:ascii="Calibri" w:hAnsi="Calibri"/>
          <w:color w:val="1E293B"/>
          <w:sz w:val="22"/>
        </w:rPr>
        <w:t xml:space="preserve"> para atomicidad, réplicas Standby WAL asíncronas, Rate Limiting y caché offline.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ii. Seguimiento y Control de Riesgos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Evaluación periódica en retrospectivas y alertas tempranas automáticas.</w:t>
      </w:r>
    </w:p>
    <w:p>
      <w:pPr>
        <w:keepNext/>
        <w:spacing w:before="360" w:after="120"/>
      </w:pPr>
      <w:r>
        <w:rPr>
          <w:b/>
          <w:color w:val="0F172A"/>
          <w:sz w:val="28"/>
        </w:rPr>
        <w:t>6. DEFINICIÓN DE MÉTRICAS Y NIVELES DE SERVICIO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a. Identificación de KPIs y Métricas del Sistema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• </w:t>
      </w:r>
      <w:r>
        <w:rPr>
          <w:rFonts w:ascii="Calibri" w:hAnsi="Calibri"/>
          <w:b/>
          <w:color w:val="1E293B"/>
          <w:sz w:val="22"/>
        </w:rPr>
        <w:t>KPI-01:</w:t>
      </w:r>
      <w:r>
        <w:rPr>
          <w:rFonts w:ascii="Calibri" w:hAnsi="Calibri"/>
          <w:color w:val="1E293B"/>
          <w:sz w:val="22"/>
        </w:rPr>
        <w:t xml:space="preserve"> Conteo total de pedidos procesados por día.</w:t>
        <w:br/>
        <w:t xml:space="preserve">• </w:t>
      </w:r>
      <w:r>
        <w:rPr>
          <w:rFonts w:ascii="Calibri" w:hAnsi="Calibri"/>
          <w:b/>
          <w:color w:val="1E293B"/>
          <w:sz w:val="22"/>
        </w:rPr>
        <w:t>KPI-02:</w:t>
      </w:r>
      <w:r>
        <w:rPr>
          <w:rFonts w:ascii="Calibri" w:hAnsi="Calibri"/>
          <w:color w:val="1E293B"/>
          <w:sz w:val="22"/>
        </w:rPr>
        <w:t xml:space="preserve"> Facturación bruta en PEN.</w:t>
        <w:br/>
        <w:t xml:space="preserve">• </w:t>
      </w:r>
      <w:r>
        <w:rPr>
          <w:rFonts w:ascii="Calibri" w:hAnsi="Calibri"/>
          <w:b/>
          <w:color w:val="1E293B"/>
          <w:sz w:val="22"/>
        </w:rPr>
        <w:t>KPI-03:</w:t>
      </w:r>
      <w:r>
        <w:rPr>
          <w:rFonts w:ascii="Calibri" w:hAnsi="Calibri"/>
          <w:color w:val="1E293B"/>
          <w:sz w:val="22"/>
        </w:rPr>
        <w:t xml:space="preserve"> Alertas preventivas de stock bajo.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b. Definición de SLA y SLO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• </w:t>
      </w:r>
      <w:r>
        <w:rPr>
          <w:rFonts w:ascii="Calibri" w:hAnsi="Calibri"/>
          <w:b/>
          <w:color w:val="1E293B"/>
          <w:sz w:val="22"/>
        </w:rPr>
        <w:t>SLA Contractual:</w:t>
      </w:r>
      <w:r>
        <w:rPr>
          <w:rFonts w:ascii="Calibri" w:hAnsi="Calibri"/>
          <w:color w:val="1E293B"/>
          <w:sz w:val="22"/>
        </w:rPr>
        <w:t xml:space="preserve"> 99.9% de uptime mensual.</w:t>
        <w:br/>
        <w:t xml:space="preserve">• </w:t>
      </w:r>
      <w:r>
        <w:rPr>
          <w:rFonts w:ascii="Calibri" w:hAnsi="Calibri"/>
          <w:b/>
          <w:color w:val="1E293B"/>
          <w:sz w:val="22"/>
        </w:rPr>
        <w:t>SLO Técnico:</w:t>
      </w:r>
      <w:r>
        <w:rPr>
          <w:rFonts w:ascii="Calibri" w:hAnsi="Calibri"/>
          <w:color w:val="1E293B"/>
          <w:sz w:val="22"/>
        </w:rPr>
        <w:t xml:space="preserve"> Latencia de respuesta en endpoints críticos menor a 200 ms (p95).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c. Plan de Medición y Monitoreo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i. Herramientas de Monitoreo Utilizadas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Logging HTTP con Morgan, sondas periódicas </w:t>
      </w:r>
      <w:r>
        <w:rPr>
          <w:rFonts w:ascii="Consolas" w:hAnsi="Consolas"/>
          <w:color w:val="C2410C"/>
          <w:sz w:val="19"/>
        </w:rPr>
        <w:t>/api/health</w:t>
      </w:r>
      <w:r>
        <w:rPr>
          <w:rFonts w:ascii="Calibri" w:hAnsi="Calibri"/>
          <w:color w:val="1E293B"/>
          <w:sz w:val="22"/>
        </w:rPr>
        <w:t xml:space="preserve"> y métricas de base de datos PostgreSQL.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ii. Métricas Recolectadas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Uptime del proceso, memoria Heap/RSS, peticiones por minuto y tiempos de latencia.</w:t>
      </w:r>
    </w:p>
    <w:p>
      <w:pPr>
        <w:keepNext/>
        <w:spacing w:before="360" w:after="120"/>
      </w:pPr>
      <w:r>
        <w:rPr>
          <w:b/>
          <w:color w:val="0F172A"/>
          <w:sz w:val="28"/>
        </w:rPr>
        <w:t>7. DESARROLLO E IMPLEMENTACIÓN TÉCNICA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a. Arquitectura General del Sistema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7611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rquitectura_C4_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9: Arquitectura de Software basada en Clean Architecture y Modelo C4.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b. Estructura del Código Fuente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Desacoplamiento modular en capas: </w:t>
      </w:r>
      <w:r>
        <w:rPr>
          <w:rFonts w:ascii="Consolas" w:hAnsi="Consolas"/>
          <w:color w:val="C2410C"/>
          <w:sz w:val="19"/>
        </w:rPr>
        <w:t>domain/</w:t>
      </w:r>
      <w:r>
        <w:rPr>
          <w:rFonts w:ascii="Calibri" w:hAnsi="Calibri"/>
          <w:color w:val="1E293B"/>
          <w:sz w:val="22"/>
        </w:rPr>
        <w:t xml:space="preserve"> (entidades y contratos), </w:t>
      </w:r>
      <w:r>
        <w:rPr>
          <w:rFonts w:ascii="Consolas" w:hAnsi="Consolas"/>
          <w:color w:val="C2410C"/>
          <w:sz w:val="19"/>
        </w:rPr>
        <w:t>controllers/</w:t>
      </w:r>
      <w:r>
        <w:rPr>
          <w:rFonts w:ascii="Calibri" w:hAnsi="Calibri"/>
          <w:color w:val="1E293B"/>
          <w:sz w:val="22"/>
        </w:rPr>
        <w:t xml:space="preserve"> (lógica de aplicación), </w:t>
      </w:r>
      <w:r>
        <w:rPr>
          <w:rFonts w:ascii="Consolas" w:hAnsi="Consolas"/>
          <w:color w:val="C2410C"/>
          <w:sz w:val="19"/>
        </w:rPr>
        <w:t>infrastructure/</w:t>
      </w:r>
      <w:r>
        <w:rPr>
          <w:rFonts w:ascii="Calibri" w:hAnsi="Calibri"/>
          <w:color w:val="1E293B"/>
          <w:sz w:val="22"/>
        </w:rPr>
        <w:t xml:space="preserve"> (persistencia y seguridad) y </w:t>
      </w:r>
      <w:r>
        <w:rPr>
          <w:rFonts w:ascii="Consolas" w:hAnsi="Consolas"/>
          <w:color w:val="C2410C"/>
          <w:sz w:val="19"/>
        </w:rPr>
        <w:t>middlewares/</w:t>
      </w:r>
      <w:r>
        <w:rPr>
          <w:rFonts w:ascii="Calibri" w:hAnsi="Calibri"/>
          <w:color w:val="1E293B"/>
          <w:sz w:val="22"/>
        </w:rPr>
        <w:t xml:space="preserve"> (interceptores).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c. Código Optimizado y Evidencia Técnica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Compilación estricta con TypeScript, manejo centralizado de excepciones y 0 fugas de stack trace en producción.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d. Estrategias WPO (Web Performance Optimization)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i. Métricas Antes y Después de la Optimización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Tamaño del bundle JS reducido de 1.8 MB a 245 KB (86% de ahorro) con tiempo de render inicial &lt; 1.2 segundos.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ii. Estrategias Implementadas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Tree-shaking, minificación con esbuild, code-splitting por vistas y compresión Brotli/Gzip.</w:t>
      </w:r>
    </w:p>
    <w:p>
      <w:pPr>
        <w:keepNext/>
        <w:spacing w:before="360" w:after="120"/>
      </w:pPr>
      <w:r>
        <w:rPr>
          <w:b/>
          <w:color w:val="0F172A"/>
          <w:sz w:val="28"/>
        </w:rPr>
        <w:t>8. IMPLEMENTACIÓN Y ADMINISTRACIÓN DE BASE DE DATOS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a. Diseño Físico de Base de Datos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El esquema relacional fue normalizado rigurosamente hasta la </w:t>
      </w:r>
      <w:r>
        <w:rPr>
          <w:rFonts w:ascii="Calibri" w:hAnsi="Calibri"/>
          <w:b/>
          <w:color w:val="1E293B"/>
          <w:sz w:val="22"/>
        </w:rPr>
        <w:t>Forma Normal de Boyce-Codd (BCNF)</w:t>
      </w:r>
      <w:r>
        <w:rPr>
          <w:rFonts w:ascii="Calibri" w:hAnsi="Calibri"/>
          <w:color w:val="1E293B"/>
          <w:sz w:val="22"/>
        </w:rPr>
        <w:t xml:space="preserve">, eliminando redundancias de datos y asegurando la integridad referencial con llaves foráneas y restricciones </w:t>
      </w:r>
      <w:r>
        <w:rPr>
          <w:rFonts w:ascii="Consolas" w:hAnsi="Consolas"/>
          <w:color w:val="C2410C"/>
          <w:sz w:val="19"/>
        </w:rPr>
        <w:t>CHECK</w:t>
      </w:r>
      <w:r>
        <w:rPr>
          <w:rFonts w:ascii="Calibri" w:hAnsi="Calibri"/>
          <w:color w:val="1E293B"/>
          <w:sz w:val="22"/>
        </w:rPr>
        <w:t>.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2575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elo_Entidad_Rel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Figura 10: Diagrama Entidad-Relación Físico Normalizado de LeoFit Solutions.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Llave Primaria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Llaves Foráneas / Restricciones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users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Usuarios con acceso al sistema administrativo.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id</w:t>
            </w:r>
            <w:r>
              <w:rPr>
                <w:rFonts w:ascii="Calibri" w:hAnsi="Calibri"/>
                <w:color w:val="334155"/>
                <w:sz w:val="19"/>
              </w:rPr>
              <w:t xml:space="preserve"> (SERIAL)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role IN ('ADMIN', 'OPERATOR')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categories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Categorías de prendas deportivas.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id</w:t>
            </w:r>
            <w:r>
              <w:rPr>
                <w:rFonts w:ascii="Calibri" w:hAnsi="Calibri"/>
                <w:color w:val="334155"/>
                <w:sz w:val="19"/>
              </w:rPr>
              <w:t xml:space="preserve"> (SERIAL)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name</w:t>
            </w:r>
            <w:r>
              <w:rPr>
                <w:rFonts w:ascii="Calibri" w:hAnsi="Calibri"/>
                <w:color w:val="334155"/>
                <w:sz w:val="19"/>
              </w:rPr>
              <w:t xml:space="preserve"> (UNIQUE)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products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Catálogo principal de productos.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id</w:t>
            </w:r>
            <w:r>
              <w:rPr>
                <w:rFonts w:ascii="Calibri" w:hAnsi="Calibri"/>
                <w:color w:val="334155"/>
                <w:sz w:val="19"/>
              </w:rPr>
              <w:t xml:space="preserve"> (SERIAL)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category_id REFERENCES categories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product_variants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Variantes de inventario por talla y color.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id</w:t>
            </w:r>
            <w:r>
              <w:rPr>
                <w:rFonts w:ascii="Calibri" w:hAnsi="Calibri"/>
                <w:color w:val="334155"/>
                <w:sz w:val="19"/>
              </w:rPr>
              <w:t xml:space="preserve"> (SERIAL)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product_id REFERENCES products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9"/>
              </w:rPr>
              <w:t>sku</w:t>
            </w:r>
            <w:r>
              <w:rPr>
                <w:rFonts w:ascii="Calibri" w:hAnsi="Calibri"/>
                <w:color w:val="334155"/>
                <w:sz w:val="19"/>
              </w:rPr>
              <w:t xml:space="preserve"> (UNIQUE)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clients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Directorio centralizado de clientes.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id</w:t>
            </w:r>
            <w:r>
              <w:rPr>
                <w:rFonts w:ascii="Calibri" w:hAnsi="Calibri"/>
                <w:color w:val="334155"/>
                <w:sz w:val="19"/>
              </w:rPr>
              <w:t xml:space="preserve"> (SERIAL)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phone</w:t>
            </w:r>
            <w:r>
              <w:rPr>
                <w:rFonts w:ascii="Calibri" w:hAnsi="Calibri"/>
                <w:color w:val="334155"/>
                <w:sz w:val="19"/>
              </w:rPr>
              <w:t xml:space="preserve"> (INDEXADO)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orders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Cabecera de órdenes de compra.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id</w:t>
            </w:r>
            <w:r>
              <w:rPr>
                <w:rFonts w:ascii="Calibri" w:hAnsi="Calibri"/>
                <w:color w:val="334155"/>
                <w:sz w:val="19"/>
              </w:rPr>
              <w:t xml:space="preserve"> (SERIAL)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client_id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9"/>
              </w:rPr>
              <w:t>user_id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9"/>
              </w:rPr>
              <w:t>order_number</w:t>
            </w:r>
            <w:r>
              <w:rPr>
                <w:rFonts w:ascii="Calibri" w:hAnsi="Calibri"/>
                <w:color w:val="334155"/>
                <w:sz w:val="19"/>
              </w:rPr>
              <w:t xml:space="preserve"> (UNIQUE)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order_items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Detalle de items y prendas solicitadas.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id</w:t>
            </w:r>
            <w:r>
              <w:rPr>
                <w:rFonts w:ascii="Calibri" w:hAnsi="Calibri"/>
                <w:color w:val="334155"/>
                <w:sz w:val="19"/>
              </w:rPr>
              <w:t xml:space="preserve"> (SERIAL)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order_id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9"/>
              </w:rPr>
              <w:t>variant_id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order_status_history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Pista de auditoría de transiciones de estado.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id</w:t>
            </w:r>
            <w:r>
              <w:rPr>
                <w:rFonts w:ascii="Calibri" w:hAnsi="Calibri"/>
                <w:color w:val="334155"/>
                <w:sz w:val="19"/>
              </w:rPr>
              <w:t xml:space="preserve"> (SERIAL)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order_id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9"/>
              </w:rPr>
              <w:t>user_id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3"/>
        </w:rPr>
        <w:t>b. Informe de Administración y Replicación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i. Estrategia de Respaldo y Replicación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La base de datos utiliza </w:t>
      </w:r>
      <w:r>
        <w:rPr>
          <w:rFonts w:ascii="Calibri" w:hAnsi="Calibri"/>
          <w:b/>
          <w:color w:val="1E293B"/>
          <w:sz w:val="22"/>
        </w:rPr>
        <w:t>Streaming Replication Física Asíncrona</w:t>
      </w:r>
      <w:r>
        <w:rPr>
          <w:rFonts w:ascii="Calibri" w:hAnsi="Calibri"/>
          <w:color w:val="1E293B"/>
          <w:sz w:val="22"/>
        </w:rPr>
        <w:t xml:space="preserve"> en PostgreSQL 16. El nodo Primary transmite registros WAL de forma continua a un nodo Standby Read-Only usando el slot físico </w:t>
      </w:r>
      <w:r>
        <w:rPr>
          <w:rFonts w:ascii="Consolas" w:hAnsi="Consolas"/>
          <w:color w:val="C2410C"/>
          <w:sz w:val="19"/>
        </w:rPr>
        <w:t>standby_slot_leofit_replica1</w:t>
      </w:r>
      <w:r>
        <w:rPr>
          <w:rFonts w:ascii="Calibri" w:hAnsi="Calibri"/>
          <w:color w:val="1E293B"/>
          <w:sz w:val="22"/>
        </w:rPr>
        <w:t xml:space="preserve">. Se ejecutan volcados lógicos diarios con </w:t>
      </w:r>
      <w:r>
        <w:rPr>
          <w:rFonts w:ascii="Consolas" w:hAnsi="Consolas"/>
          <w:color w:val="C2410C"/>
          <w:sz w:val="19"/>
        </w:rPr>
        <w:t>pg_dump</w:t>
      </w:r>
      <w:r>
        <w:rPr>
          <w:rFonts w:ascii="Calibri" w:hAnsi="Calibri"/>
          <w:color w:val="1E293B"/>
          <w:sz w:val="22"/>
        </w:rPr>
        <w:t xml:space="preserve"> y verificación de integridad criptográfica mediante firmas SHA-256.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ii. Configuración de Alta Disponibilidad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Se integra el concentrador de conexiones </w:t>
      </w:r>
      <w:r>
        <w:rPr>
          <w:rFonts w:ascii="Calibri" w:hAnsi="Calibri"/>
          <w:b/>
          <w:color w:val="1E293B"/>
          <w:sz w:val="22"/>
        </w:rPr>
        <w:t>PgBouncer</w:t>
      </w:r>
      <w:r>
        <w:rPr>
          <w:rFonts w:ascii="Calibri" w:hAnsi="Calibri"/>
          <w:color w:val="1E293B"/>
          <w:sz w:val="22"/>
        </w:rPr>
        <w:t xml:space="preserve"> en modo </w:t>
      </w:r>
      <w:r>
        <w:rPr>
          <w:rFonts w:ascii="Calibri" w:hAnsi="Calibri"/>
          <w:i/>
          <w:color w:val="1E293B"/>
          <w:sz w:val="22"/>
        </w:rPr>
        <w:t>Transaction Pooling</w:t>
      </w:r>
      <w:r>
        <w:rPr>
          <w:rFonts w:ascii="Calibri" w:hAnsi="Calibri"/>
          <w:color w:val="1E293B"/>
          <w:sz w:val="22"/>
        </w:rPr>
        <w:t>, permitiendo admitir hasta 5,000 conexiones concurrentes sin saturar el clúster de base de datos.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iii. Evidencias de Monitoreo y Administración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Monitoreo continuo de vistas del sistema </w:t>
      </w:r>
      <w:r>
        <w:rPr>
          <w:rFonts w:ascii="Consolas" w:hAnsi="Consolas"/>
          <w:color w:val="C2410C"/>
          <w:sz w:val="19"/>
        </w:rPr>
        <w:t>pg_stat_activity</w:t>
      </w:r>
      <w:r>
        <w:rPr>
          <w:rFonts w:ascii="Calibri" w:hAnsi="Calibri"/>
          <w:color w:val="1E293B"/>
          <w:sz w:val="22"/>
        </w:rPr>
        <w:t xml:space="preserve"> y </w:t>
      </w:r>
      <w:r>
        <w:rPr>
          <w:rFonts w:ascii="Consolas" w:hAnsi="Consolas"/>
          <w:color w:val="C2410C"/>
          <w:sz w:val="19"/>
        </w:rPr>
        <w:t>pg_stat_replication</w:t>
      </w:r>
      <w:r>
        <w:rPr>
          <w:rFonts w:ascii="Calibri" w:hAnsi="Calibri"/>
          <w:color w:val="1E293B"/>
          <w:sz w:val="22"/>
        </w:rPr>
        <w:t xml:space="preserve">, con </w:t>
      </w:r>
      <w:r>
        <w:rPr>
          <w:rFonts w:ascii="Calibri" w:hAnsi="Calibri"/>
          <w:i/>
          <w:color w:val="1E293B"/>
          <w:sz w:val="22"/>
        </w:rPr>
        <w:t>Replay Lag</w:t>
      </w:r>
      <w:r>
        <w:rPr>
          <w:rFonts w:ascii="Calibri" w:hAnsi="Calibri"/>
          <w:color w:val="1E293B"/>
          <w:sz w:val="22"/>
        </w:rPr>
        <w:t xml:space="preserve"> &lt; 1s y </w:t>
      </w:r>
      <w:r>
        <w:rPr>
          <w:rFonts w:ascii="Calibri" w:hAnsi="Calibri"/>
          <w:i/>
          <w:color w:val="1E293B"/>
          <w:sz w:val="22"/>
        </w:rPr>
        <w:t>Cache Hit Ratio</w:t>
      </w:r>
      <w:r>
        <w:rPr>
          <w:rFonts w:ascii="Calibri" w:hAnsi="Calibri"/>
          <w:color w:val="1E293B"/>
          <w:sz w:val="22"/>
        </w:rPr>
        <w:t xml:space="preserve"> &gt; 99.2%.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c. Implementación del Patrón de Acceso a Datos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i. Patrón de Acceso a Datos Elegido (Repository Pattern / DAO)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Se implementó el </w:t>
      </w:r>
      <w:r>
        <w:rPr>
          <w:rFonts w:ascii="Calibri" w:hAnsi="Calibri"/>
          <w:b/>
          <w:color w:val="1E293B"/>
          <w:sz w:val="22"/>
        </w:rPr>
        <w:t>Patrón Repositorio</w:t>
      </w:r>
      <w:r>
        <w:rPr>
          <w:rFonts w:ascii="Calibri" w:hAnsi="Calibri"/>
          <w:color w:val="1E293B"/>
          <w:sz w:val="22"/>
        </w:rPr>
        <w:t xml:space="preserve"> para independizar la capa de lógica de negocio de los detalles de persistencia SQL, garantizando que todas las consultas utilicen parámetros preparados (</w:t>
      </w:r>
      <w:r>
        <w:rPr>
          <w:rFonts w:ascii="Consolas" w:hAnsi="Consolas"/>
          <w:color w:val="C2410C"/>
          <w:sz w:val="19"/>
        </w:rPr>
        <w:t>$1, $2</w:t>
      </w:r>
      <w:r>
        <w:rPr>
          <w:rFonts w:ascii="Calibri" w:hAnsi="Calibri"/>
          <w:color w:val="1E293B"/>
          <w:sz w:val="22"/>
        </w:rPr>
        <w:t>).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ii. Diagrama de Clases de Muestra de Uso del Patrón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La interfaz </w:t>
      </w:r>
      <w:r>
        <w:rPr>
          <w:rFonts w:ascii="Consolas" w:hAnsi="Consolas"/>
          <w:color w:val="C2410C"/>
          <w:sz w:val="19"/>
        </w:rPr>
        <w:t>IOrderRepository</w:t>
      </w:r>
      <w:r>
        <w:rPr>
          <w:rFonts w:ascii="Calibri" w:hAnsi="Calibri"/>
          <w:color w:val="1E293B"/>
          <w:sz w:val="22"/>
        </w:rPr>
        <w:t xml:space="preserve"> define los contratos abstractos, implementados por </w:t>
      </w:r>
      <w:r>
        <w:rPr>
          <w:rFonts w:ascii="Consolas" w:hAnsi="Consolas"/>
          <w:color w:val="C2410C"/>
          <w:sz w:val="19"/>
        </w:rPr>
        <w:t>PgOrderRepository</w:t>
      </w:r>
      <w:r>
        <w:rPr>
          <w:rFonts w:ascii="Calibri" w:hAnsi="Calibri"/>
          <w:color w:val="1E293B"/>
          <w:sz w:val="22"/>
        </w:rPr>
        <w:t xml:space="preserve"> con soporte transaccional ACID.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iii. Ejemplo de Código Implementado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Ejemplo de consulta transaccional segura:</w:t>
      </w:r>
    </w:p>
    <w:p>
      <w:pPr>
        <w:spacing w:after="100" w:line="276" w:lineRule="auto"/>
      </w:pPr>
      <w:r>
        <w:rPr>
          <w:rFonts w:ascii="Consolas" w:hAnsi="Consolas"/>
          <w:color w:val="C2410C"/>
          <w:sz w:val="19"/>
        </w:rPr>
        <w:t>const res = await pool.query('SELECT * FROM orders WHERE status = $1 ORDER BY id DESC', [status]);</w:t>
      </w:r>
    </w:p>
    <w:p>
      <w:pPr>
        <w:keepNext/>
        <w:spacing w:before="360" w:after="120"/>
      </w:pPr>
      <w:r>
        <w:rPr>
          <w:b/>
          <w:color w:val="0F172A"/>
          <w:sz w:val="28"/>
        </w:rPr>
        <w:t>9. SEGURIDAD DEL SISTEMA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a. Catálogo de Controles de Seguridad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Vector OWASP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 del Riesgo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Control Técnico Implementado en LeoFit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4155"/>
                <w:sz w:val="19"/>
              </w:rPr>
              <w:t>A01: Broken Access Control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Acceso indebido a funciones privilegiadas.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Middleware RBAC (</w:t>
            </w:r>
            <w:r>
              <w:rPr>
                <w:rFonts w:ascii="Consolas" w:hAnsi="Consolas"/>
                <w:color w:val="C2410C"/>
                <w:sz w:val="19"/>
              </w:rPr>
              <w:t>requireRole</w:t>
            </w:r>
            <w:r>
              <w:rPr>
                <w:rFonts w:ascii="Calibri" w:hAnsi="Calibri"/>
                <w:color w:val="334155"/>
                <w:sz w:val="19"/>
              </w:rPr>
              <w:t>) y validación estricta de tokens JWT.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4155"/>
                <w:sz w:val="19"/>
              </w:rPr>
              <w:t>A02: Cryptographic Failures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Exposición de credenciales o datos sensibles.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 xml:space="preserve">Hashing con </w:t>
            </w:r>
            <w:r>
              <w:rPr>
                <w:rFonts w:ascii="Consolas" w:hAnsi="Consolas"/>
                <w:color w:val="C2410C"/>
                <w:sz w:val="19"/>
              </w:rPr>
              <w:t>bcrypt</w:t>
            </w:r>
            <w:r>
              <w:rPr>
                <w:rFonts w:ascii="Calibri" w:hAnsi="Calibri"/>
                <w:color w:val="334155"/>
                <w:sz w:val="19"/>
              </w:rPr>
              <w:t xml:space="preserve"> (10 rondas de salt) y transporte HTTPS / TLS 1.3.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4155"/>
                <w:sz w:val="19"/>
              </w:rPr>
              <w:t>A03: Injection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Inyecciones de comandos o SQL.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 xml:space="preserve">Consultas SQL 100% parametrizadas y validación de esquemas con </w:t>
            </w:r>
            <w:r>
              <w:rPr>
                <w:rFonts w:ascii="Consolas" w:hAnsi="Consolas"/>
                <w:color w:val="C2410C"/>
                <w:sz w:val="19"/>
              </w:rPr>
              <w:t>Zod</w:t>
            </w:r>
            <w:r>
              <w:rPr>
                <w:rFonts w:ascii="Calibri" w:hAnsi="Calibri"/>
                <w:color w:val="334155"/>
                <w:sz w:val="19"/>
              </w:rPr>
              <w:t>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4155"/>
                <w:sz w:val="19"/>
              </w:rPr>
              <w:t>A05: Security Misconfiguration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Fuga de cabeceras o cabeceras inseguras.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 xml:space="preserve">Endurecimiento con </w:t>
            </w:r>
            <w:r>
              <w:rPr>
                <w:rFonts w:ascii="Consolas" w:hAnsi="Consolas"/>
                <w:color w:val="C2410C"/>
                <w:sz w:val="19"/>
              </w:rPr>
              <w:t>Helmet</w:t>
            </w:r>
            <w:r>
              <w:rPr>
                <w:rFonts w:ascii="Calibri" w:hAnsi="Calibri"/>
                <w:color w:val="334155"/>
                <w:sz w:val="19"/>
              </w:rPr>
              <w:t xml:space="preserve"> (HSTS, No-Sniff, X-Frame-Options).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4155"/>
                <w:sz w:val="19"/>
              </w:rPr>
              <w:t>A07: Auth Failures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Ataques de fuerza bruta en inicio de sesión.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 xml:space="preserve">Rate Limiting en </w:t>
            </w:r>
            <w:r>
              <w:rPr>
                <w:rFonts w:ascii="Consolas" w:hAnsi="Consolas"/>
                <w:color w:val="C2410C"/>
                <w:sz w:val="19"/>
              </w:rPr>
              <w:t>/api/auth/login</w:t>
            </w:r>
            <w:r>
              <w:rPr>
                <w:rFonts w:ascii="Calibri" w:hAnsi="Calibri"/>
                <w:color w:val="334155"/>
                <w:sz w:val="19"/>
              </w:rPr>
              <w:t xml:space="preserve"> (máx. 20 intentos por 15 min).</w:t>
            </w:r>
          </w:p>
        </w:tc>
      </w:tr>
    </w:tbl>
    <w:p>
      <w:pPr>
        <w:keepNext/>
        <w:spacing w:before="240" w:after="80"/>
      </w:pPr>
      <w:r>
        <w:rPr>
          <w:b/>
          <w:color w:val="1E3A8A"/>
          <w:sz w:val="23"/>
        </w:rPr>
        <w:t>b. Módulo de Autenticación y Autorización Implementado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Emisión de tokens </w:t>
      </w:r>
      <w:r>
        <w:rPr>
          <w:rFonts w:ascii="Calibri" w:hAnsi="Calibri"/>
          <w:b/>
          <w:color w:val="1E293B"/>
          <w:sz w:val="22"/>
        </w:rPr>
        <w:t>JWT firmados con HMAC-SHA256</w:t>
      </w:r>
      <w:r>
        <w:rPr>
          <w:rFonts w:ascii="Calibri" w:hAnsi="Calibri"/>
          <w:color w:val="1E293B"/>
          <w:sz w:val="22"/>
        </w:rPr>
        <w:t xml:space="preserve"> con vigencia de 24 horas. Control de roles mediante middleware </w:t>
      </w:r>
      <w:r>
        <w:rPr>
          <w:rFonts w:ascii="Consolas" w:hAnsi="Consolas"/>
          <w:color w:val="C2410C"/>
          <w:sz w:val="19"/>
        </w:rPr>
        <w:t>requireRole('ADMIN')</w:t>
      </w:r>
      <w:r>
        <w:rPr>
          <w:rFonts w:ascii="Calibri" w:hAnsi="Calibri"/>
          <w:color w:val="1E293B"/>
          <w:sz w:val="22"/>
        </w:rPr>
        <w:t xml:space="preserve"> y contraseñas protegidas mediante hashing salado con </w:t>
      </w:r>
      <w:r>
        <w:rPr>
          <w:rFonts w:ascii="Consolas" w:hAnsi="Consolas"/>
          <w:color w:val="C2410C"/>
          <w:sz w:val="19"/>
        </w:rPr>
        <w:t>bcryptjs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c. Informe Técnico de Seguridad y Cifrado de Datos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Cifrado en reposo con AES-256 en almacenamiento y cifrado en tránsito con TLS 1.3 sobre HTTPS obligatorio en todas las conexiones.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d. Pruebas de Seguridad Web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i. Metodología Empleada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Análisis Estático (</w:t>
      </w:r>
      <w:r>
        <w:rPr>
          <w:rFonts w:ascii="Calibri" w:hAnsi="Calibri"/>
          <w:b/>
          <w:color w:val="1E293B"/>
          <w:sz w:val="22"/>
        </w:rPr>
        <w:t>SAST</w:t>
      </w:r>
      <w:r>
        <w:rPr>
          <w:rFonts w:ascii="Calibri" w:hAnsi="Calibri"/>
          <w:color w:val="1E293B"/>
          <w:sz w:val="22"/>
        </w:rPr>
        <w:t xml:space="preserve">) mediante </w:t>
      </w:r>
      <w:r>
        <w:rPr>
          <w:rFonts w:ascii="Consolas" w:hAnsi="Consolas"/>
          <w:color w:val="C2410C"/>
          <w:sz w:val="19"/>
        </w:rPr>
        <w:t>npm audit</w:t>
      </w:r>
      <w:r>
        <w:rPr>
          <w:rFonts w:ascii="Calibri" w:hAnsi="Calibri"/>
          <w:color w:val="1E293B"/>
          <w:sz w:val="22"/>
        </w:rPr>
        <w:t xml:space="preserve"> y Pruebas Dinámicas (</w:t>
      </w:r>
      <w:r>
        <w:rPr>
          <w:rFonts w:ascii="Calibri" w:hAnsi="Calibri"/>
          <w:b/>
          <w:color w:val="1E293B"/>
          <w:sz w:val="22"/>
        </w:rPr>
        <w:t>DAST</w:t>
      </w:r>
      <w:r>
        <w:rPr>
          <w:rFonts w:ascii="Calibri" w:hAnsi="Calibri"/>
          <w:color w:val="1E293B"/>
          <w:sz w:val="22"/>
        </w:rPr>
        <w:t xml:space="preserve">) automatizadas con </w:t>
      </w:r>
      <w:r>
        <w:rPr>
          <w:rFonts w:ascii="Consolas" w:hAnsi="Consolas"/>
          <w:color w:val="C2410C"/>
          <w:sz w:val="19"/>
        </w:rPr>
        <w:t>Supertest</w:t>
      </w:r>
      <w:r>
        <w:rPr>
          <w:rFonts w:ascii="Calibri" w:hAnsi="Calibri"/>
          <w:color w:val="1E293B"/>
          <w:sz w:val="22"/>
        </w:rPr>
        <w:t xml:space="preserve"> simulando vectores maliciosos.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ii. Resultados y Vulnerabilidades Detectadas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Se inyectaron payloads de SQLi (</w:t>
      </w:r>
      <w:r>
        <w:rPr>
          <w:rFonts w:ascii="Consolas" w:hAnsi="Consolas"/>
          <w:color w:val="C2410C"/>
          <w:sz w:val="19"/>
        </w:rPr>
        <w:t>' OR 1=1; DROP TABLE users; --</w:t>
      </w:r>
      <w:r>
        <w:rPr>
          <w:rFonts w:ascii="Calibri" w:hAnsi="Calibri"/>
          <w:color w:val="1E293B"/>
          <w:sz w:val="22"/>
        </w:rPr>
        <w:t>) y XSS (</w:t>
      </w:r>
      <w:r>
        <w:rPr>
          <w:rFonts w:ascii="Consolas" w:hAnsi="Consolas"/>
          <w:color w:val="C2410C"/>
          <w:sz w:val="19"/>
        </w:rPr>
        <w:t>&lt;script&gt;alert(1)&lt;/script&gt;</w:t>
      </w:r>
      <w:r>
        <w:rPr>
          <w:rFonts w:ascii="Calibri" w:hAnsi="Calibri"/>
          <w:color w:val="1E293B"/>
          <w:sz w:val="22"/>
        </w:rPr>
        <w:t>), siendo todos bloqueados y neutralizados. 0 vulnerabilidades detectadas.</w:t>
      </w:r>
    </w:p>
    <w:p>
      <w:pPr>
        <w:keepNext/>
        <w:spacing w:before="160" w:after="60"/>
      </w:pPr>
      <w:r>
        <w:rPr>
          <w:b/>
          <w:color w:val="475569"/>
          <w:sz w:val="21"/>
        </w:rPr>
        <w:t>iii. Acciones Correctivas y Recomendaciones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Se aplicó limitación de tasa de peticiones y se desactivó la divulgación de cabeceras de servidor.</w:t>
      </w:r>
    </w:p>
    <w:p>
      <w:pPr>
        <w:keepNext/>
        <w:spacing w:before="360" w:after="120"/>
      </w:pPr>
      <w:r>
        <w:rPr>
          <w:b/>
          <w:color w:val="0F172A"/>
          <w:sz w:val="28"/>
        </w:rPr>
        <w:t>10. VALIDACIÓN Y VERIFICACIÓN DEL SISTEMA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a. Plan de Pruebas del Sistema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El plan de aseguramiento de calidad abarca pruebas unitarias, de integración, de transaccionalidad concurrente y de auditoría de seguridad.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b. Evidencias de Pruebas del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Suite de Prueba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Casos Evaluados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Módulos Cubiertos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auth.test.ts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5 pruebas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Registro, Login, Hashing bcrypt, Token JWT, RBAC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✅ 100% PASSED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products.test.ts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3 pruebas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Catálogo público, filtrado por categorías, stock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✅ 100% PASSED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orders.test.ts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4 pruebas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Tracking público, creación transaccional ACID, rollback stock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✅ 100% PASSED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clients_dashboard.test.ts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3 pruebas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Directorio CRM de clientes y cálculo de KPIs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✅ 100% PASSED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2410C"/>
                <w:sz w:val="19"/>
              </w:rPr>
              <w:t>security.test.ts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3 pruebas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Cabeceras Helmet, neutralización SQLi, sanitización Zod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334155"/>
                <w:sz w:val="19"/>
              </w:rPr>
              <w:t>✅ 100% PASSED</w:t>
            </w:r>
          </w:p>
        </w:tc>
      </w:tr>
    </w:tbl>
    <w:p>
      <w:pPr>
        <w:spacing w:after="100" w:line="276" w:lineRule="auto"/>
      </w:pPr>
      <w:r>
        <w:rPr>
          <w:rFonts w:ascii="Calibri" w:hAnsi="Calibri"/>
          <w:b/>
          <w:color w:val="1E293B"/>
          <w:sz w:val="22"/>
        </w:rPr>
        <w:t>Resultado Global:</w:t>
      </w:r>
      <w:r>
        <w:rPr>
          <w:rFonts w:ascii="Calibri" w:hAnsi="Calibri"/>
          <w:color w:val="1E293B"/>
          <w:sz w:val="22"/>
        </w:rPr>
        <w:t xml:space="preserve"> 5 Suites de pruebas ejecutadas, 18 Casos de prueba automatizados, 0 Fallos, 100% de efectividad.</w:t>
      </w:r>
    </w:p>
    <w:p>
      <w:pPr>
        <w:keepNext/>
        <w:spacing w:before="360" w:after="120"/>
      </w:pPr>
      <w:r>
        <w:rPr>
          <w:b/>
          <w:color w:val="0F172A"/>
          <w:sz w:val="28"/>
        </w:rPr>
        <w:t>11. DESPLIEGUE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a. Manual de Despliegue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1. </w:t>
      </w:r>
      <w:r>
        <w:rPr>
          <w:rFonts w:ascii="Calibri" w:hAnsi="Calibri"/>
          <w:b/>
          <w:color w:val="1E293B"/>
          <w:sz w:val="22"/>
        </w:rPr>
        <w:t>Base de Datos PostgreSQL 16:</w:t>
      </w:r>
      <w:r>
        <w:rPr>
          <w:rFonts w:ascii="Calibri" w:hAnsi="Calibri"/>
          <w:color w:val="1E293B"/>
          <w:sz w:val="22"/>
        </w:rPr>
        <w:t xml:space="preserve"> Aprovisionada en </w:t>
      </w:r>
      <w:r>
        <w:rPr>
          <w:rFonts w:ascii="Calibri" w:hAnsi="Calibri"/>
          <w:b/>
          <w:color w:val="1E293B"/>
          <w:sz w:val="22"/>
        </w:rPr>
        <w:t>Supabase Cloud</w:t>
      </w:r>
      <w:r>
        <w:rPr>
          <w:rFonts w:ascii="Calibri" w:hAnsi="Calibri"/>
          <w:color w:val="1E293B"/>
          <w:sz w:val="22"/>
        </w:rPr>
        <w:t xml:space="preserve"> con connection pooling transaccional habilitado.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2. </w:t>
      </w:r>
      <w:r>
        <w:rPr>
          <w:rFonts w:ascii="Calibri" w:hAnsi="Calibri"/>
          <w:b/>
          <w:color w:val="1E293B"/>
          <w:sz w:val="22"/>
        </w:rPr>
        <w:t>Backend API REST:</w:t>
      </w:r>
      <w:r>
        <w:rPr>
          <w:rFonts w:ascii="Calibri" w:hAnsi="Calibri"/>
          <w:color w:val="1E293B"/>
          <w:sz w:val="22"/>
        </w:rPr>
        <w:t xml:space="preserve"> Desplegado en </w:t>
      </w:r>
      <w:r>
        <w:rPr>
          <w:rFonts w:ascii="Calibri" w:hAnsi="Calibri"/>
          <w:b/>
          <w:color w:val="1E293B"/>
          <w:sz w:val="22"/>
        </w:rPr>
        <w:t>Render.com</w:t>
      </w:r>
      <w:r>
        <w:rPr>
          <w:rFonts w:ascii="Calibri" w:hAnsi="Calibri"/>
          <w:color w:val="1E293B"/>
          <w:sz w:val="22"/>
        </w:rPr>
        <w:t xml:space="preserve"> en contenedor Docker multi-stage con variables de entorno de producción.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3. </w:t>
      </w:r>
      <w:r>
        <w:rPr>
          <w:rFonts w:ascii="Calibri" w:hAnsi="Calibri"/>
          <w:b/>
          <w:color w:val="1E293B"/>
          <w:sz w:val="22"/>
        </w:rPr>
        <w:t>Frontend PWA:</w:t>
      </w:r>
      <w:r>
        <w:rPr>
          <w:rFonts w:ascii="Calibri" w:hAnsi="Calibri"/>
          <w:color w:val="1E293B"/>
          <w:sz w:val="22"/>
        </w:rPr>
        <w:t xml:space="preserve"> Desplegado en la red perimetral de </w:t>
      </w:r>
      <w:r>
        <w:rPr>
          <w:rFonts w:ascii="Calibri" w:hAnsi="Calibri"/>
          <w:b/>
          <w:color w:val="1E293B"/>
          <w:sz w:val="22"/>
        </w:rPr>
        <w:t>Vercel</w:t>
      </w:r>
      <w:r>
        <w:rPr>
          <w:rFonts w:ascii="Calibri" w:hAnsi="Calibri"/>
          <w:color w:val="1E293B"/>
          <w:sz w:val="22"/>
        </w:rPr>
        <w:t xml:space="preserve"> con certificado SSL automático y Service Workers.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b. Evidencia de Pruebas de Despliegue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El endpoint </w:t>
      </w:r>
      <w:r>
        <w:rPr>
          <w:rFonts w:ascii="Consolas" w:hAnsi="Consolas"/>
          <w:color w:val="C2410C"/>
          <w:sz w:val="19"/>
        </w:rPr>
        <w:t>/api/health</w:t>
      </w:r>
      <w:r>
        <w:rPr>
          <w:rFonts w:ascii="Calibri" w:hAnsi="Calibri"/>
          <w:color w:val="1E293B"/>
          <w:sz w:val="22"/>
        </w:rPr>
        <w:t xml:space="preserve"> en entorno Cloud reporta estado </w:t>
      </w:r>
      <w:r>
        <w:rPr>
          <w:rFonts w:ascii="Consolas" w:hAnsi="Consolas"/>
          <w:color w:val="C2410C"/>
          <w:sz w:val="19"/>
        </w:rPr>
        <w:t>UP</w:t>
      </w:r>
      <w:r>
        <w:rPr>
          <w:rFonts w:ascii="Calibri" w:hAnsi="Calibri"/>
          <w:color w:val="1E293B"/>
          <w:sz w:val="22"/>
        </w:rPr>
        <w:t>, latencia &lt; 50ms y conectividad estable con PostgreSQL.</w:t>
      </w:r>
    </w:p>
    <w:p>
      <w:pPr>
        <w:keepNext/>
        <w:spacing w:before="360" w:after="120"/>
      </w:pPr>
      <w:r>
        <w:rPr>
          <w:b/>
          <w:color w:val="0F172A"/>
          <w:sz w:val="28"/>
        </w:rPr>
        <w:t>ANEXOS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Anexo A: Script SQL y Archivos de Configuración de Base de Datos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Scripts disponibles en el repositorio: </w:t>
      </w:r>
      <w:r>
        <w:rPr>
          <w:rFonts w:ascii="Consolas" w:hAnsi="Consolas"/>
          <w:color w:val="C2410C"/>
          <w:sz w:val="19"/>
        </w:rPr>
        <w:t>database/schema.sql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19"/>
        </w:rPr>
        <w:t>database/seeds.sql</w:t>
      </w:r>
      <w:r>
        <w:rPr>
          <w:rFonts w:ascii="Calibri" w:hAnsi="Calibri"/>
          <w:color w:val="1E293B"/>
          <w:sz w:val="22"/>
        </w:rPr>
        <w:t xml:space="preserve"> y </w:t>
      </w:r>
      <w:r>
        <w:rPr>
          <w:rFonts w:ascii="Consolas" w:hAnsi="Consolas"/>
          <w:color w:val="C2410C"/>
          <w:sz w:val="19"/>
        </w:rPr>
        <w:t>database/replication_setup.sql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Anexo B: Fragmentos de Código Fuente Relevantes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Implementación del patrón Repository en </w:t>
      </w:r>
      <w:r>
        <w:rPr>
          <w:rFonts w:ascii="Consolas" w:hAnsi="Consolas"/>
          <w:color w:val="C2410C"/>
          <w:sz w:val="19"/>
        </w:rPr>
        <w:t>backend/src/infrastructure/repositories/pg.repositories.ts</w:t>
      </w:r>
      <w:r>
        <w:rPr>
          <w:rFonts w:ascii="Calibri" w:hAnsi="Calibri"/>
          <w:color w:val="1E293B"/>
          <w:sz w:val="22"/>
        </w:rPr>
        <w:t xml:space="preserve"> y middlewares de seguridad en </w:t>
      </w:r>
      <w:r>
        <w:rPr>
          <w:rFonts w:ascii="Consolas" w:hAnsi="Consolas"/>
          <w:color w:val="C2410C"/>
          <w:sz w:val="19"/>
        </w:rPr>
        <w:t>backend/src/middlewares/auth.middleware.ts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Anexo C: Reportes Automatizados de Pruebas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Reporte Jest con 18/18 pruebas aprobadas satisfactoriamente en tiempo de ejecución de 3.73 segundos.</w:t>
      </w:r>
    </w:p>
    <w:p>
      <w:pPr>
        <w:keepNext/>
        <w:spacing w:before="240" w:after="80"/>
      </w:pPr>
      <w:r>
        <w:rPr>
          <w:b/>
          <w:color w:val="1E3A8A"/>
          <w:sz w:val="23"/>
        </w:rPr>
        <w:t>Anexo D: Reportes Automatizados de Seguridad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Reporte de auditoría OWASP Top 10 y </w:t>
      </w:r>
      <w:r>
        <w:rPr>
          <w:rFonts w:ascii="Consolas" w:hAnsi="Consolas"/>
          <w:color w:val="C2410C"/>
          <w:sz w:val="19"/>
        </w:rPr>
        <w:t>npm audit</w:t>
      </w:r>
      <w:r>
        <w:rPr>
          <w:rFonts w:ascii="Calibri" w:hAnsi="Calibri"/>
          <w:color w:val="1E293B"/>
          <w:sz w:val="22"/>
        </w:rPr>
        <w:t xml:space="preserve"> con 0 vulnerabilidades.</w:t>
      </w:r>
    </w:p>
    <w:p>
      <w:pPr>
        <w:keepNext/>
        <w:spacing w:before="360" w:after="120"/>
      </w:pPr>
      <w:r>
        <w:rPr>
          <w:b/>
          <w:color w:val="0F172A"/>
          <w:sz w:val="28"/>
        </w:rPr>
        <w:t>REFERENCIAS BIBLIOGRÁFICAS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[1] OWASP Foundation, 'OWASP Top Ten Web Application Security Risks', OWASP.org, 2021.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 xml:space="preserve">[2] R. C. Martin, </w:t>
      </w:r>
      <w:r>
        <w:rPr>
          <w:rFonts w:ascii="Calibri" w:hAnsi="Calibri"/>
          <w:i/>
          <w:color w:val="1E293B"/>
          <w:sz w:val="22"/>
        </w:rPr>
        <w:t>Clean Architecture: A Craftsman's Guide to Software Structure and Design</w:t>
      </w:r>
      <w:r>
        <w:rPr>
          <w:rFonts w:ascii="Calibri" w:hAnsi="Calibri"/>
          <w:color w:val="1E293B"/>
          <w:sz w:val="22"/>
        </w:rPr>
        <w:t>, Prentice Hall, 2017.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[3] PostgreSQL Global Development Group, 'PostgreSQL 16 Documentation - High Availability and Replication', postgresql.org, 2024.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[4] ISO/IEC, 'Systems and software Quality Requirements and Evaluation (SQuaRE)', ISO/IEC 25010:2023, 2023.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