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Calibri" w:hAnsi="Calibri"/>
          <w:b/>
          <w:color w:val="0F172A"/>
          <w:sz w:val="36"/>
        </w:rPr>
        <w:t>Catálogo de Controles de Seguridad del Proyecto (OWASP Top 10)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Sistema de Gestión de Pedidos - Leofit Solutions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1. Matriz de Mitigación de Riesgos OWASP Top 10 (2021-2026)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280"/>
        </w:trP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Código OWASP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Categoría de Vulnerabilidad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Control Implementado en Leofit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Componente / Archivo de Implementación</w:t>
            </w:r>
          </w:p>
        </w:tc>
      </w:tr>
      <w:tr>
        <w:trPr>
          <w:trHeight w:val="280"/>
        </w:trP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A01:2021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Broken Access Control</w:t>
            </w:r>
            <w:r>
              <w:rPr>
                <w:rFonts w:ascii="Calibri" w:hAnsi="Calibri"/>
                <w:color w:val="1E293B"/>
                <w:sz w:val="19"/>
              </w:rPr>
              <w:t xml:space="preserve"> (Pérdida de Control de Acceso)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Middleware de verificación de roles RBAC estricto (</w:t>
            </w:r>
            <w:r>
              <w:rPr>
                <w:rFonts w:ascii="Consolas" w:hAnsi="Consolas"/>
                <w:color w:val="C2410C"/>
                <w:sz w:val="19"/>
              </w:rPr>
              <w:t>requireRole('ADMIN')</w:t>
            </w:r>
            <w:r>
              <w:rPr>
                <w:rFonts w:ascii="Calibri" w:hAnsi="Calibri"/>
                <w:color w:val="1E293B"/>
                <w:sz w:val="19"/>
              </w:rPr>
              <w:t>) en rutas mutables de pedidos, stock y usuarios.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backend/src/middlewares/role.middleware.ts</w:t>
            </w:r>
          </w:p>
        </w:tc>
      </w:tr>
      <w:tr>
        <w:trPr>
          <w:trHeight w:val="280"/>
        </w:trP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A02:2021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Cryptographic Failures</w:t>
            </w:r>
            <w:r>
              <w:rPr>
                <w:rFonts w:ascii="Calibri" w:hAnsi="Calibri"/>
                <w:color w:val="1E293B"/>
                <w:sz w:val="19"/>
              </w:rPr>
              <w:t xml:space="preserve"> (Fallas Criptográficas)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Cifrado unidireccional de contraseñas con </w:t>
            </w:r>
            <w:r>
              <w:rPr>
                <w:rFonts w:ascii="Consolas" w:hAnsi="Consolas"/>
                <w:color w:val="C2410C"/>
                <w:sz w:val="19"/>
              </w:rPr>
              <w:t>bcrypt</w:t>
            </w:r>
            <w:r>
              <w:rPr>
                <w:rFonts w:ascii="Calibri" w:hAnsi="Calibri"/>
                <w:color w:val="1E293B"/>
                <w:sz w:val="19"/>
              </w:rPr>
              <w:t xml:space="preserve"> (10 rondas de salt). Transmisión 100% cifrada bajo TLS 1.3 (HTTPS) y tokens JWT con firma HMAC-SHA256.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backend/src/infrastructure/security/</w:t>
            </w:r>
          </w:p>
        </w:tc>
      </w:tr>
      <w:tr>
        <w:trPr>
          <w:trHeight w:val="280"/>
        </w:trP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A03:2021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Injection</w:t>
            </w:r>
            <w:r>
              <w:rPr>
                <w:rFonts w:ascii="Calibri" w:hAnsi="Calibri"/>
                <w:color w:val="1E293B"/>
                <w:sz w:val="19"/>
              </w:rPr>
              <w:t xml:space="preserve"> (Inyecciones SQL / Command)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Uso estricto del Patrón Repositorio con consultas parametrizadas </w:t>
            </w:r>
            <w:r>
              <w:rPr>
                <w:rFonts w:ascii="Consolas" w:hAnsi="Consolas"/>
                <w:color w:val="C2410C"/>
                <w:sz w:val="19"/>
              </w:rPr>
              <w:t>$1, $2, ...</w:t>
            </w:r>
            <w:r>
              <w:rPr>
                <w:rFonts w:ascii="Calibri" w:hAnsi="Calibri"/>
                <w:color w:val="1E293B"/>
                <w:sz w:val="19"/>
              </w:rPr>
              <w:t xml:space="preserve"> en </w:t>
            </w:r>
            <w:r>
              <w:rPr>
                <w:rFonts w:ascii="Consolas" w:hAnsi="Consolas"/>
                <w:color w:val="C2410C"/>
                <w:sz w:val="19"/>
              </w:rPr>
              <w:t>pg</w:t>
            </w:r>
            <w:r>
              <w:rPr>
                <w:rFonts w:ascii="Calibri" w:hAnsi="Calibri"/>
                <w:color w:val="1E293B"/>
                <w:sz w:val="19"/>
              </w:rPr>
              <w:t xml:space="preserve"> (evita concatenación directa de strings) y validación de esquemas Zod.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backend/src/infrastructure/repositories/pg.repositories.ts</w:t>
            </w:r>
          </w:p>
        </w:tc>
      </w:tr>
      <w:tr>
        <w:trPr>
          <w:trHeight w:val="280"/>
        </w:trP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A04:2021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Insecure Design</w:t>
            </w:r>
            <w:r>
              <w:rPr>
                <w:rFonts w:ascii="Calibri" w:hAnsi="Calibri"/>
                <w:color w:val="1E293B"/>
                <w:sz w:val="19"/>
              </w:rPr>
              <w:t xml:space="preserve"> (Diseño Inseguro)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Validación atómica de inventario con bloqueos transaccionales </w:t>
            </w:r>
            <w:r>
              <w:rPr>
                <w:rFonts w:ascii="Consolas" w:hAnsi="Consolas"/>
                <w:color w:val="C2410C"/>
                <w:sz w:val="19"/>
              </w:rPr>
              <w:t>FOR UPDATE</w:t>
            </w:r>
            <w:r>
              <w:rPr>
                <w:rFonts w:ascii="Calibri" w:hAnsi="Calibri"/>
                <w:color w:val="1E293B"/>
                <w:sz w:val="19"/>
              </w:rPr>
              <w:t xml:space="preserve"> para impedir condiciones de carrera (</w:t>
            </w:r>
            <w:r>
              <w:rPr>
                <w:rFonts w:ascii="Calibri" w:hAnsi="Calibri"/>
                <w:i/>
                <w:color w:val="1E293B"/>
                <w:sz w:val="19"/>
              </w:rPr>
              <w:t>race conditions</w:t>
            </w:r>
            <w:r>
              <w:rPr>
                <w:rFonts w:ascii="Calibri" w:hAnsi="Calibri"/>
                <w:color w:val="1E293B"/>
                <w:sz w:val="19"/>
              </w:rPr>
              <w:t xml:space="preserve"> / </w:t>
            </w:r>
            <w:r>
              <w:rPr>
                <w:rFonts w:ascii="Calibri" w:hAnsi="Calibri"/>
                <w:i/>
                <w:color w:val="1E293B"/>
                <w:sz w:val="19"/>
              </w:rPr>
              <w:t>over-selling</w:t>
            </w:r>
            <w:r>
              <w:rPr>
                <w:rFonts w:ascii="Calibri" w:hAnsi="Calibri"/>
                <w:color w:val="1E293B"/>
                <w:sz w:val="19"/>
              </w:rPr>
              <w:t>).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backend/src/infrastructure/repositories/pg.repositories.ts</w:t>
            </w:r>
          </w:p>
        </w:tc>
      </w:tr>
      <w:tr>
        <w:trPr>
          <w:trHeight w:val="280"/>
        </w:trP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A05:2021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Security Misconfiguration</w:t>
            </w:r>
            <w:r>
              <w:rPr>
                <w:rFonts w:ascii="Calibri" w:hAnsi="Calibri"/>
                <w:color w:val="1E293B"/>
                <w:sz w:val="19"/>
              </w:rPr>
              <w:t xml:space="preserve"> (Configuración Errónea)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Cabeceras HTTP endurecidas vía </w:t>
            </w:r>
            <w:r>
              <w:rPr>
                <w:rFonts w:ascii="Consolas" w:hAnsi="Consolas"/>
                <w:color w:val="C2410C"/>
                <w:sz w:val="19"/>
              </w:rPr>
              <w:t>helmet</w:t>
            </w:r>
            <w:r>
              <w:rPr>
                <w:rFonts w:ascii="Calibri" w:hAnsi="Calibri"/>
                <w:color w:val="1E293B"/>
                <w:sz w:val="19"/>
              </w:rPr>
              <w:t xml:space="preserve"> (HSTS, No-Sniff, Frameguard, X-XSS-Protection) y desactivación de divulgación de versiones (</w:t>
            </w:r>
            <w:r>
              <w:rPr>
                <w:rFonts w:ascii="Consolas" w:hAnsi="Consolas"/>
                <w:color w:val="C2410C"/>
                <w:sz w:val="19"/>
              </w:rPr>
              <w:t>X-Powered-By</w:t>
            </w:r>
            <w:r>
              <w:rPr>
                <w:rFonts w:ascii="Calibri" w:hAnsi="Calibri"/>
                <w:color w:val="1E293B"/>
                <w:sz w:val="19"/>
              </w:rPr>
              <w:t>).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backend/src/app.ts</w:t>
            </w:r>
          </w:p>
        </w:tc>
      </w:tr>
      <w:tr>
        <w:trPr>
          <w:trHeight w:val="280"/>
        </w:trP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A06:2021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Vulnerable and Outdated Components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Análisis automatizado de dependencias mediante </w:t>
            </w:r>
            <w:r>
              <w:rPr>
                <w:rFonts w:ascii="Consolas" w:hAnsi="Consolas"/>
                <w:color w:val="C2410C"/>
                <w:sz w:val="19"/>
              </w:rPr>
              <w:t>npm audit</w:t>
            </w:r>
            <w:r>
              <w:rPr>
                <w:rFonts w:ascii="Calibri" w:hAnsi="Calibri"/>
                <w:color w:val="1E293B"/>
                <w:sz w:val="19"/>
              </w:rPr>
              <w:t xml:space="preserve"> y pipelines de CI/CD en GitHub Actions.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.github/workflows/ci-cd.yml</w:t>
            </w:r>
          </w:p>
        </w:tc>
      </w:tr>
      <w:tr>
        <w:trPr>
          <w:trHeight w:val="280"/>
        </w:trP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A07:2021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Identification and Auth Failures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Límite de intentos de autenticación (</w:t>
            </w:r>
            <w:r>
              <w:rPr>
                <w:rFonts w:ascii="Calibri" w:hAnsi="Calibri"/>
                <w:i/>
                <w:color w:val="1E293B"/>
                <w:sz w:val="19"/>
              </w:rPr>
              <w:t>Rate Limiting</w:t>
            </w:r>
            <w:r>
              <w:rPr>
                <w:rFonts w:ascii="Calibri" w:hAnsi="Calibri"/>
                <w:color w:val="1E293B"/>
                <w:sz w:val="19"/>
              </w:rPr>
              <w:t xml:space="preserve"> de 20 intentos cada 15 min), expiración forzada de tokens JWT a las 24 horas.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backend/src/middlewares/rateLimit.middleware.ts</w:t>
            </w:r>
          </w:p>
        </w:tc>
      </w:tr>
      <w:tr>
        <w:trPr>
          <w:trHeight w:val="280"/>
        </w:trP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A08:2021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Software and Data Integrity Failures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Integridad de respaldos mediante firmas SHA-256 e inmutabilidad de logs de auditoría de estados.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database/backup_strategy.sh</w:t>
            </w:r>
          </w:p>
        </w:tc>
      </w:tr>
      <w:tr>
        <w:trPr>
          <w:trHeight w:val="280"/>
        </w:trP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A09:2021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Security Logging and Monitoring Failures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Registro estructurado de eventos HTTP mediante </w:t>
            </w:r>
            <w:r>
              <w:rPr>
                <w:rFonts w:ascii="Consolas" w:hAnsi="Consolas"/>
                <w:color w:val="C2410C"/>
                <w:sz w:val="19"/>
              </w:rPr>
              <w:t>morgan</w:t>
            </w:r>
            <w:r>
              <w:rPr>
                <w:rFonts w:ascii="Calibri" w:hAnsi="Calibri"/>
                <w:color w:val="1E293B"/>
                <w:sz w:val="19"/>
              </w:rPr>
              <w:t xml:space="preserve"> y tabla de auditoría dedicada </w:t>
            </w:r>
            <w:r>
              <w:rPr>
                <w:rFonts w:ascii="Consolas" w:hAnsi="Consolas"/>
                <w:color w:val="C2410C"/>
                <w:sz w:val="19"/>
              </w:rPr>
              <w:t>order_status_history</w:t>
            </w:r>
            <w:r>
              <w:rPr>
                <w:rFonts w:ascii="Calibri" w:hAnsi="Calibri"/>
                <w:color w:val="1E293B"/>
                <w:sz w:val="19"/>
              </w:rPr>
              <w:t xml:space="preserve"> con marcas temporales y usuarios responsables.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database/schema.sql</w:t>
            </w:r>
          </w:p>
        </w:tc>
      </w:tr>
      <w:tr>
        <w:trPr>
          <w:trHeight w:val="280"/>
        </w:trP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A10:2021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Server-Side Request Forgery (SSRF)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Restricción de URLs externas en el catálogo a dominios de confianza validados por esquemas Zod.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backend/src/infrastructure/validators/schemas.ts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