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120"/>
      </w:pPr>
      <w:r>
        <w:rPr>
          <w:rFonts w:ascii="Calibri" w:hAnsi="Calibri"/>
          <w:b/>
          <w:color w:val="0F172A"/>
          <w:sz w:val="36"/>
        </w:rPr>
        <w:t>UNIVERSIDAD TECNOLÓGICA DEL PERÚ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FACULTAD DE INGENIERÍA DE SISTEMAS E INFORMÁTICA</w:t>
      </w:r>
    </w:p>
    <w:p>
      <w:pPr>
        <w:spacing w:before="160" w:after="40"/>
      </w:pPr>
      <w:r>
        <w:rPr>
          <w:rFonts w:ascii="Calibri" w:hAnsi="Calibri"/>
          <w:b/>
          <w:color w:val="1E293B"/>
          <w:sz w:val="24"/>
        </w:rPr>
        <w:t>CURSO INTEGRADOR II: SOFTWARE (100000S12F)</w:t>
      </w:r>
    </w:p>
    <w:p>
      <w:pPr>
        <w:spacing w:before="320" w:after="120"/>
      </w:pPr>
      <w:r>
        <w:rPr>
          <w:rFonts w:ascii="Calibri" w:hAnsi="Calibri"/>
          <w:b/>
          <w:color w:val="0F172A"/>
          <w:sz w:val="36"/>
        </w:rPr>
        <w:t>GLOSARIO FORMAL DE TÉRMINOS TÉCNICOS Y DE NEGOCIO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PROYECTO: SISTEMA WEB PWA DE GESTIÓN Y TOMA DE PEDIDOS MULTICANAL PARA LEOFIT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1. TÉRMINOS DE NEGOCIO Y MODELADO DE PROCESOS</w:t>
      </w:r>
    </w:p>
    <w:p>
      <w:pPr>
        <w:pStyle w:val="ListBullet"/>
        <w:spacing w:after="40"/>
      </w:pPr>
      <w:r>
        <w:t>AS-IS (Estado Actual): Metodología de modelado que describe el flujo operativo y los procedimientos de una organización tal como se ejecutan en el presente, permitiendo identificar ineficiencias, cuellos de botella y costos ocultos.</w:t>
      </w:r>
    </w:p>
    <w:p>
      <w:pPr>
        <w:pStyle w:val="ListBullet"/>
        <w:spacing w:after="40"/>
      </w:pPr>
      <w:r>
        <w:t>BPMN 2.0 (Business Process Model and Notation): Estándar internacional gráfico para el modelado formal de procesos de negocio mediante eventos, actividades, compuertas lógicas y carriles de responsabilidad.</w:t>
      </w:r>
    </w:p>
    <w:p>
      <w:pPr>
        <w:pStyle w:val="ListBullet"/>
        <w:spacing w:after="40"/>
      </w:pPr>
      <w:r>
        <w:t>Ciclo de Pedido (Order Lead Time): Intervalo de tiempo total transcurrido desde que el cliente inicia la interacción de compra hasta que la orden es entregada físicamente en su domicilio.</w:t>
      </w:r>
    </w:p>
    <w:p>
      <w:pPr>
        <w:pStyle w:val="ListBullet"/>
        <w:spacing w:after="40"/>
      </w:pPr>
      <w:r>
        <w:t>Flete / Costo de Delivery: Importe monetario cobrado por el servicio logístico motorizado para trasladar los paquetes desde el almacén hasta la dirección del cliente.</w:t>
      </w:r>
    </w:p>
    <w:p>
      <w:pPr>
        <w:pStyle w:val="ListBullet"/>
        <w:spacing w:after="40"/>
      </w:pPr>
      <w:r>
        <w:t>Inventario Crítico: Nivel de existencias de un producto que se encuentra por debajo del umbral de seguridad (en LeoFit, $&lt; 5$ unidades), requiriendo reabastecimiento prioritario.</w:t>
      </w:r>
    </w:p>
    <w:p>
      <w:pPr>
        <w:pStyle w:val="ListBullet"/>
        <w:spacing w:after="40"/>
      </w:pPr>
      <w:r>
        <w:t>Lean Canvas: Herramienta estratégica de modelado de negocios creada por Ash Maurya, compuesta por 9 bloques enfocados en la resolución de problemas para startups y productos innovadores.</w:t>
      </w:r>
    </w:p>
    <w:p>
      <w:pPr>
        <w:pStyle w:val="ListBullet"/>
        <w:spacing w:after="40"/>
      </w:pPr>
      <w:r>
        <w:t>MoSCoW: Técnica ágil de priorización de requerimientos basada en cuatro categorías: Must have (Imprescindible), Should have (Debería tener), Could have (Podría tener) y Won't have (No tendrá en esta iteración).</w:t>
      </w:r>
    </w:p>
    <w:p>
      <w:pPr>
        <w:pStyle w:val="ListBullet"/>
        <w:spacing w:after="40"/>
      </w:pPr>
      <w:r>
        <w:t>MVP (Producto Mínimo Viable): Versión funcional de un producto de software que incluye el conjunto mínimo indispensable de características requeridas para validar hipótesis de valor con usuarios reales.</w:t>
      </w:r>
    </w:p>
    <w:p>
      <w:pPr>
        <w:pStyle w:val="ListBullet"/>
        <w:spacing w:after="40"/>
      </w:pPr>
      <w:r>
        <w:t>Quiebre de Stock (Stockout): Situación operativa en la que la demanda de un producto no puede ser satisfecha debido al agotamiento no previsto de las existencias en inventario.</w:t>
      </w:r>
    </w:p>
    <w:p>
      <w:pPr>
        <w:pStyle w:val="ListBullet"/>
        <w:spacing w:after="40"/>
      </w:pPr>
      <w:r>
        <w:t>SKU (Stock Keeping Unit): Identificador alfanumérico único asignado a un producto y sus variantes específicas (tipo de prenda, talla, color) para su control y seguimiento en almacén.</w:t>
      </w:r>
    </w:p>
    <w:p>
      <w:pPr>
        <w:pStyle w:val="ListBullet"/>
        <w:spacing w:after="40"/>
      </w:pPr>
      <w:r>
        <w:t>TO-BE (Estado Propuesto): Representación del flujo de procesos rediseñado y optimizado mediante la integración de la solución de software, orientada a eliminar las ineficiencias del modelo AS-IS.</w:t>
      </w:r>
    </w:p>
    <w:p>
      <w:pPr>
        <w:spacing w:before="240" w:after="80"/>
      </w:pPr>
      <w:r>
        <w:rPr>
          <w:rFonts w:ascii="Calibri" w:hAnsi="Calibri"/>
          <w:b/>
          <w:color w:val="F97316"/>
          <w:sz w:val="28"/>
        </w:rPr>
        <w:t>2. TÉRMINOS TÉCNICOS, ARQUITECTURA Y DESARROLLO DE SOFTWARE</w:t>
      </w:r>
    </w:p>
    <w:p>
      <w:pPr>
        <w:pStyle w:val="ListBullet"/>
        <w:spacing w:after="40"/>
      </w:pPr>
      <w:r>
        <w:t>Bundle: Archivo o conjunto de archivos compilados y minificados que contienen el código JavaScript, CSS y recursos estáticos de una aplicación web listos para su distribución a producción.</w:t>
      </w:r>
    </w:p>
    <w:p>
      <w:pPr>
        <w:pStyle w:val="ListBullet"/>
        <w:spacing w:after="40"/>
      </w:pPr>
      <w:r>
        <w:t>Clean Architecture (Arquitectura Limpia): Patrón arquitectónico propuesto por Robert C. Martin que promueve la separación de responsabilidades en capas concéntricas desacopladas, haciendo la lógica de negocio independiente de frameworks, interfaces y bases de datos.</w:t>
      </w:r>
    </w:p>
    <w:p>
      <w:pPr>
        <w:pStyle w:val="ListBullet"/>
        <w:spacing w:after="40"/>
      </w:pPr>
      <w:r>
        <w:t>Code-Splitting (División de Código): Técnica de optimización que fragmenta el paquete de código fuente en chunks independientes que se descargan de forma asíncrona únicamente cuando la vista o componente es requerido.</w:t>
      </w:r>
    </w:p>
    <w:p>
      <w:pPr>
        <w:pStyle w:val="ListBullet"/>
        <w:spacing w:after="40"/>
      </w:pPr>
      <w:r>
        <w:t>Core Web Vitals: Conjunto de métricas estandarizadas por Google para evaluar la experiencia de usuario en la web: First Contentful Paint (FCP), Largest Contentful Paint (LCP), Cumulative Layout Shift (CLS) e Interaction to Next Paint (INP).</w:t>
      </w:r>
    </w:p>
    <w:p>
      <w:pPr>
        <w:pStyle w:val="ListBullet"/>
        <w:spacing w:after="40"/>
      </w:pPr>
      <w:r>
        <w:t>Gherkin: Lenguaje formal y legible para el ser humano utilizado en el desarrollo guiado por comportamiento (BDD), estructurado mediante cláusulas Given-When-Then (Dado-Cuando-Entonces) para definir criterios de aceptación.</w:t>
      </w:r>
    </w:p>
    <w:p>
      <w:pPr>
        <w:pStyle w:val="ListBullet"/>
        <w:spacing w:after="40"/>
      </w:pPr>
      <w:r>
        <w:t>Hot Module Replacement (HMR): Característica de los empaquetadores modernos (como Vite) que actualiza módulos en el navegador en tiempo real durante el desarrollo sin necesidad de recargar la página completa ni perder el estado.</w:t>
      </w:r>
    </w:p>
    <w:p>
      <w:pPr>
        <w:pStyle w:val="ListBullet"/>
        <w:spacing w:after="40"/>
      </w:pPr>
      <w:r>
        <w:t>PWA (Progressive Web App): Aplicación web construida con tecnologías estándar que ofrece capacidades avanzadas similares a las aplicaciones móviles nativas, tales como funcionamiento offline, instalación en pantalla de inicio y alto rendimiento de carga.</w:t>
      </w:r>
    </w:p>
    <w:p>
      <w:pPr>
        <w:pStyle w:val="ListBullet"/>
        <w:spacing w:after="40"/>
      </w:pPr>
      <w:r>
        <w:t>Service Worker: Script en JavaScript que el navegador ejecuta en segundo plano, independiente de la página web, permitiendo interceptar peticiones de red, gestionar estrategias de caché offline y recibir notificaciones.</w:t>
      </w:r>
    </w:p>
    <w:p>
      <w:pPr>
        <w:pStyle w:val="ListBullet"/>
        <w:spacing w:after="40"/>
      </w:pPr>
      <w:r>
        <w:t>SLA (Service Level Agreement): Acuerdo formal y contractual que define los niveles de servicio comprometidos entre el proveedor de software y el cliente (ejemplo: $99.5\%$ de disponibilidad).</w:t>
      </w:r>
    </w:p>
    <w:p>
      <w:pPr>
        <w:pStyle w:val="ListBullet"/>
        <w:spacing w:after="40"/>
      </w:pPr>
      <w:r>
        <w:t>SLI (Service Level Indicator): Medición cuantitativa directa del nivel de servicio que se está brindando en tiempo real (ejemplo: porcentaje de peticiones exitosas).</w:t>
      </w:r>
    </w:p>
    <w:p>
      <w:pPr>
        <w:pStyle w:val="ListBullet"/>
        <w:spacing w:after="40"/>
      </w:pPr>
      <w:r>
        <w:t>SLO (Service Level Objective): Meta cuantitativa interna establecida por el equipo de ingeniería para un indicador SLI específico (ejemplo: tiempo de respuesta P95 $&lt; 800$ ms).</w:t>
      </w:r>
    </w:p>
    <w:p>
      <w:pPr>
        <w:pStyle w:val="ListBullet"/>
        <w:spacing w:after="40"/>
      </w:pPr>
      <w:r>
        <w:t>Tree-Shaking: Proceso de optimización ejecutado por empaquetadores (como Rollup) que analiza el árbol de dependencias estático y elimina de forma automática el código muerto o no utilizado.</w:t>
      </w:r>
    </w:p>
    <w:p>
      <w:pPr>
        <w:pStyle w:val="ListBullet"/>
        <w:spacing w:after="40"/>
      </w:pPr>
      <w:r>
        <w:t>TypeScript: Superconjunto tipado estático de JavaScript desarrollado por Microsoft que añade verificación formal de tipos en tiempo de compilación, mejorando la robustez y mantenibilidad del software.</w:t>
      </w:r>
    </w:p>
    <w:p>
      <w:pPr>
        <w:pStyle w:val="ListBullet"/>
        <w:spacing w:after="40"/>
      </w:pPr>
      <w:r>
        <w:t>Vitest: Marco de pruebas unitarias de última generación optimizado para entornos Vite, caracterizado por su velocidad de ejecución y compatibilidad nativa con TypeScript y módulos ES.</w:t>
      </w:r>
    </w:p>
    <w:p>
      <w:pPr>
        <w:pStyle w:val="ListBullet"/>
        <w:spacing w:after="40"/>
      </w:pPr>
      <w:r>
        <w:t>WPO (Web Performance Optimization): Disciplina de la ingeniería de software enfocada en la aplicación de técnicas y estrategias para maximizar la velocidad de carga, eficiencia de recursos y rendimiento general de aplicaciones web.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