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371437c4929bc257ddb43cc85a1933c3437a951"/>
    <w:p>
      <w:pPr>
        <w:pStyle w:val="Heading1"/>
      </w:pPr>
      <w:r>
        <w:t xml:space="preserve">Evaluación Teórica de Requisitos: SRS frente a la Teoría de Ingeniería de Software</w:t>
      </w:r>
    </w:p>
    <w:p>
      <w:pPr>
        <w:pStyle w:val="FirstParagraph"/>
      </w:pPr>
      <w:r>
        <w:t xml:space="preserve">De acuerdo con las buenas prácticas de la Ingeniería de Requisitos (alineadas a los estándares</w:t>
      </w:r>
      <w:r>
        <w:t xml:space="preserve"> </w:t>
      </w:r>
      <w:r>
        <w:rPr>
          <w:b/>
          <w:bCs/>
        </w:rPr>
        <w:t xml:space="preserve">ISO/IEC/IEEE 29148</w:t>
      </w:r>
      <w:r>
        <w:t xml:space="preserve">), la especificación de un sistema no debe forzar una simetría artificial entre Requisitos Funcionales (RF) y No Funcionales (RNF). Cada requisito debe estar justificado por una necesidad de negocio o un atributo de calidad crítico, y debe ser verificable.</w:t>
      </w:r>
    </w:p>
    <w:p>
      <w:pPr>
        <w:pStyle w:val="BodyText"/>
      </w:pPr>
      <w:r>
        <w:t xml:space="preserve">Al analizar el</w:t>
      </w:r>
      <w:r>
        <w:t xml:space="preserve"> </w:t>
      </w:r>
      <w:r>
        <w:rPr>
          <w:rStyle w:val="VerbatimChar"/>
        </w:rPr>
        <w:t xml:space="preserve">DOCUMENTO_MAESTRO_INTEGRAL_LEOFIT.md</w:t>
      </w:r>
      <w:r>
        <w:t xml:space="preserve"> </w:t>
      </w:r>
      <w:r>
        <w:t xml:space="preserve">(que funge como documento SRS -</w:t>
      </w:r>
      <w:r>
        <w:t xml:space="preserve"> </w:t>
      </w:r>
      <w:r>
        <w:rPr>
          <w:i/>
          <w:iCs/>
        </w:rPr>
        <w:t xml:space="preserve">Software Requirements Specification</w:t>
      </w:r>
      <w:r>
        <w:t xml:space="preserve"> </w:t>
      </w:r>
      <w:r>
        <w:t xml:space="preserve">del proyecto), se evidencia el cumplimiento estricto de esta teoría.</w:t>
      </w:r>
    </w:p>
    <w:bookmarkStart w:id="12" w:name="Xcd5d055045792fd86e3f93be7fae0e2351164db"/>
    <w:p>
      <w:pPr>
        <w:pStyle w:val="Heading2"/>
      </w:pPr>
      <w:r>
        <w:t xml:space="preserve">1. Relación Numérica y Relevancia del Negocio</w:t>
      </w:r>
    </w:p>
    <w:p>
      <w:pPr>
        <w:pStyle w:val="FirstParagraph"/>
      </w:pPr>
      <w:r>
        <w:t xml:space="preserve">La teoría dicta que los RF (módulos, flujos de usuario) suelen ser más numerosos, mientras que los RNF se enfocan en los pilares críticos (rendimiento, seguridad, disponibilidad).</w:t>
      </w:r>
    </w:p>
    <w:p>
      <w:pPr>
        <w:pStyle w:val="BodyText"/>
      </w:pPr>
      <w:r>
        <w:t xml:space="preserve">En el proyecto LeoFit, el equipo definió: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18 Requisitos Funcionales (RF-001 a RF-018):</w:t>
      </w:r>
      <w:r>
        <w:t xml:space="preserve"> </w:t>
      </w:r>
      <w:r>
        <w:t xml:space="preserve">Cubren desde el catálogo, carrito, y cálculo de delivery, hasta la impresión de tickets. Responden directamente a los flujos operativos de los vendedores en Gamarra.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14 Requisitos No Funcionales (RNF-001 a RNF-014):</w:t>
      </w:r>
      <w:r>
        <w:t xml:space="preserve"> </w:t>
      </w:r>
      <w:r>
        <w:t xml:space="preserve">Se enfocan estrictamente en atributos de calidad (Seguridad OWASP, ACID, WPO, Accesibilidad WCAG).</w:t>
      </w:r>
    </w:p>
    <w:p>
      <w:pPr>
        <w:pStyle w:val="BodyText"/>
      </w:pPr>
      <w:r>
        <w:t xml:space="preserve">No se han</w:t>
      </w:r>
      <w:r>
        <w:t xml:space="preserve"> </w:t>
      </w:r>
      <w:r>
        <w:t xml:space="preserve">“inventado”</w:t>
      </w:r>
      <w:r>
        <w:t xml:space="preserve"> </w:t>
      </w:r>
      <w:r>
        <w:t xml:space="preserve">RNF para igualar la cifra de 18; la cantidad de 14 RNF está justificada por la naturaleza crítica de un sistema transaccional de ventas que requiere capacidades PWA Offline (RNF-010) y tolerancia a fallos (RNF-011).</w:t>
      </w:r>
    </w:p>
    <w:p>
      <w:pPr>
        <w:pStyle w:val="BodyText"/>
      </w:pPr>
      <w:r>
        <w:rPr>
          <w:b/>
          <w:bCs/>
        </w:rPr>
        <w:t xml:space="preserve">Figura 1</w:t>
      </w:r>
      <w:r>
        <w:br/>
      </w:r>
      <w:r>
        <w:rPr>
          <w:i/>
          <w:iCs/>
        </w:rPr>
        <w:t xml:space="preserve">Matriz de Requisitos No Funcionales en el Documento Maestro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Matriz RNF" title="" id="10" name="Picture"/>
            <a:graphic>
              <a:graphicData uri="http://schemas.openxmlformats.org/drawingml/2006/picture">
                <pic:pic>
                  <pic:nvPicPr>
                    <pic:cNvPr descr="./fig_teorico_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Matriz RNF</w:t>
      </w:r>
    </w:p>
    <w:p>
      <w:pPr>
        <w:pStyle w:val="BodyText"/>
      </w:pPr>
      <w:r>
        <w:rPr>
          <w:i/>
          <w:iCs/>
        </w:rPr>
        <w:t xml:space="preserve">Nota.</w:t>
      </w:r>
      <w:r>
        <w:t xml:space="preserve"> </w:t>
      </w:r>
      <w:r>
        <w:t xml:space="preserve">Captura de pantalla de elaboración propia a partir del Documento Maestro de Especificación del Proyecto (2026).</w:t>
      </w:r>
    </w:p>
    <w:bookmarkEnd w:id="12"/>
    <w:bookmarkStart w:id="16" w:name="comprobabilidad-y-métricas-en-los-rnf"/>
    <w:p>
      <w:pPr>
        <w:pStyle w:val="Heading2"/>
      </w:pPr>
      <w:r>
        <w:t xml:space="preserve">2. Comprobabilidad y Métricas en los RNF</w:t>
      </w:r>
    </w:p>
    <w:p>
      <w:pPr>
        <w:pStyle w:val="FirstParagraph"/>
      </w:pPr>
      <w:r>
        <w:t xml:space="preserve">La regla práctica exige que los RNF eviten ambigüedades como</w:t>
      </w:r>
      <w:r>
        <w:t xml:space="preserve"> </w:t>
      </w:r>
      <w:r>
        <w:rPr>
          <w:i/>
          <w:iCs/>
        </w:rPr>
        <w:t xml:space="preserve">“el sistema debe ser rápido”</w:t>
      </w:r>
      <w:r>
        <w:t xml:space="preserve">. El SRS de LeoFit cumple sobradamente con esta regla al incorporar métricas exactas y verificables.</w:t>
      </w:r>
    </w:p>
    <w:p>
      <w:pPr>
        <w:pStyle w:val="BodyText"/>
      </w:pPr>
      <w:r>
        <w:t xml:space="preserve">Por ejemplo, el requerimiento de rendimiento no es ambiguo, sino que establece umbrales medibles mediante Google Lighthouse: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RNF-001 (Rendimiento WPO):</w:t>
      </w:r>
      <w:r>
        <w:t xml:space="preserve"> </w:t>
      </w:r>
      <w:r>
        <w:t xml:space="preserve">El puntaje en Google Lighthouse para la versión Mobile debe ser</w:t>
      </w:r>
      <w:r>
        <w:t xml:space="preserve"> </w:t>
      </w:r>
      <m:oMath>
        <m:r>
          <m:rPr>
            <m:sty m:val="p"/>
          </m:rPr>
          <m:t>≥</m:t>
        </m:r>
        <m:r>
          <m:t>90</m:t>
        </m:r>
      </m:oMath>
      <w:r>
        <w:t xml:space="preserve"> </w:t>
      </w:r>
      <w:r>
        <w:t xml:space="preserve">puntos en Performance, con First Contentful Paint (FCP)</w:t>
      </w:r>
      <w:r>
        <w:t xml:space="preserve"> </w:t>
      </w:r>
      <m:oMath>
        <m:r>
          <m:rPr>
            <m:sty m:val="p"/>
          </m:rPr>
          <m:t>≤</m:t>
        </m:r>
        <m:r>
          <m:t>1.2</m:t>
        </m:r>
      </m:oMath>
      <w:r>
        <w:t xml:space="preserve"> </w:t>
      </w:r>
      <w:r>
        <w:t xml:space="preserve">s.</w:t>
      </w:r>
    </w:p>
    <w:p>
      <w:pPr>
        <w:pStyle w:val="BodyText"/>
      </w:pPr>
      <w:r>
        <w:rPr>
          <w:b/>
          <w:bCs/>
        </w:rPr>
        <w:t xml:space="preserve">Figura 2</w:t>
      </w:r>
      <w:r>
        <w:br/>
      </w:r>
      <w:r>
        <w:rPr>
          <w:i/>
          <w:iCs/>
        </w:rPr>
        <w:t xml:space="preserve">Métricas comprobables del RNF-001 y RNF-002 en el SRS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Métricas RNF" title="" id="14" name="Picture"/>
            <a:graphic>
              <a:graphicData uri="http://schemas.openxmlformats.org/drawingml/2006/picture">
                <pic:pic>
                  <pic:nvPicPr>
                    <pic:cNvPr descr="./fig_teorico_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Métricas RNF</w:t>
      </w:r>
    </w:p>
    <w:p>
      <w:pPr>
        <w:pStyle w:val="BodyText"/>
      </w:pPr>
      <w:r>
        <w:rPr>
          <w:i/>
          <w:iCs/>
        </w:rPr>
        <w:t xml:space="preserve">Nota.</w:t>
      </w:r>
      <w:r>
        <w:t xml:space="preserve"> </w:t>
      </w:r>
      <w:r>
        <w:t xml:space="preserve">Captura de pantalla de elaboración propia del análisis de requisitos no funcionales (2026).</w:t>
      </w:r>
    </w:p>
    <w:bookmarkEnd w:id="16"/>
    <w:bookmarkStart w:id="18" w:name="trazabilidad"/>
    <w:p>
      <w:pPr>
        <w:pStyle w:val="Heading2"/>
      </w:pPr>
      <w:r>
        <w:t xml:space="preserve">3. Trazabilidad</w:t>
      </w:r>
    </w:p>
    <w:p>
      <w:pPr>
        <w:pStyle w:val="FirstParagraph"/>
      </w:pPr>
      <w:r>
        <w:t xml:space="preserve">El estándar ISO destaca la necesidad de que cada requisito sea trazable hacia sus casos de uso o pruebas. El equipo ha mapeado correctamente cada RF hacia un código de Prueba (ej.</w:t>
      </w:r>
      <w:r>
        <w:t xml:space="preserve"> </w:t>
      </w:r>
      <w:r>
        <w:rPr>
          <w:rStyle w:val="VerbatimChar"/>
        </w:rPr>
        <w:t xml:space="preserve">TC-01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Figura 3</w:t>
      </w:r>
      <w:r>
        <w:br/>
      </w:r>
      <w:r>
        <w:rPr>
          <w:i/>
          <w:iCs/>
        </w:rPr>
        <w:t xml:space="preserve">Interfaz del Login evidenciando el cumplimiento del RF-011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Mockup de la pantalla de Login</w:t>
            </w:r>
          </w:p>
        </w:tc>
      </w:tr>
    </w:tbl>
    <w:p>
      <w:pPr>
        <w:pStyle w:val="ImageCaption"/>
      </w:pPr>
      <w:r>
        <w:t xml:space="preserve">Mockup de la pantalla de Login</w:t>
      </w:r>
    </w:p>
    <w:p>
      <w:pPr>
        <w:pStyle w:val="BodyText"/>
      </w:pPr>
      <w:r>
        <w:rPr>
          <w:i/>
          <w:iCs/>
        </w:rPr>
        <w:t xml:space="preserve">Nota.</w:t>
      </w:r>
      <w:r>
        <w:t xml:space="preserve"> </w:t>
      </w:r>
      <w:r>
        <w:t xml:space="preserve">Captura de pantalla adaptada de los mockups oficiales del proyecto LeoFit, ilustrando el control de acceso protegido (2026).</w:t>
      </w:r>
    </w:p>
    <w:p>
      <w:r>
        <w:pict>
          <v:rect style="width:0;height:1.5pt" o:hralign="center" o:hrstd="t" o:hr="t"/>
        </w:pict>
      </w:r>
    </w:p>
    <w:bookmarkStart w:id="17" w:name="conclusión-teórica"/>
    <w:p>
      <w:pPr>
        <w:pStyle w:val="Heading3"/>
      </w:pPr>
      <w:r>
        <w:t xml:space="preserve">Conclusión Teórica</w:t>
      </w:r>
    </w:p>
    <w:p>
      <w:pPr>
        <w:pStyle w:val="FirstParagraph"/>
      </w:pPr>
      <w:r>
        <w:t xml:space="preserve">El documento SRS de LeoFit es</w:t>
      </w:r>
      <w:r>
        <w:t xml:space="preserve"> </w:t>
      </w:r>
      <w:r>
        <w:rPr>
          <w:b/>
          <w:bCs/>
        </w:rPr>
        <w:t xml:space="preserve">completamente válido y riguroso</w:t>
      </w:r>
      <w:r>
        <w:t xml:space="preserve">. Respeta el principio de necesidad: cada RF nace de un proceso del negocio textil, y cada RNF establece una restricción técnica o de calidad comprobable (con métricas y pruebas asociadas). El trabajo avanzado refleja madurez en la ingeniería de requisitos y no requiere recortes numéricos.</w:t>
      </w:r>
    </w:p>
    <w:bookmarkEnd w:id="17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2026-10-02T00:10:05Z</dcterms:created>
  <dcterms:modified xsi:type="dcterms:W3CDTF">2026-10-02T00:10:05Z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