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UNIVERSIDAD TECNOLÓGICA DEL PERÚ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FACULTAD DE INGENIERÍA DE SISTEMAS E INFORMÁTICA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CURSO INTEGRADOR II: SOFTWARE (100000S12F)</w:t>
      </w:r>
    </w:p>
    <w:p>
      <w:pPr>
        <w:keepNext/>
        <w:spacing w:before="320" w:after="120"/>
      </w:pPr>
      <w:r>
        <w:rPr>
          <w:rFonts w:ascii="Calibri" w:hAnsi="Calibri"/>
          <w:b/>
          <w:color w:val="0F172A"/>
          <w:sz w:val="36"/>
        </w:rPr>
        <w:t>INFORME FORMAL DE NORMALIZACIÓN DE BASE DE DATOS RELACIONAL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FORMAS NORMALES: 1FN, 2FN, 3FN Y FORMA NORMAL DE BOYCE-CODD (BCNF)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PROYECTO: SISTEMA WEB PWA DE GESTIÓN Y TOMA DE PEDIDOS MULTICANAL PARA LEOFIT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1. CONTROL DEL DOCUMENTO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Institución:</w:t>
      </w:r>
      <w:r>
        <w:rPr>
          <w:rFonts w:ascii="Calibri" w:hAnsi="Calibri"/>
          <w:color w:val="1E293B"/>
          <w:sz w:val="21"/>
        </w:rPr>
        <w:t xml:space="preserve"> Universidad Tecnológica del Perú (UTP)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Curso:</w:t>
      </w:r>
      <w:r>
        <w:rPr>
          <w:rFonts w:ascii="Calibri" w:hAnsi="Calibri"/>
          <w:color w:val="1E293B"/>
          <w:sz w:val="21"/>
        </w:rPr>
        <w:t xml:space="preserve"> Curso Integrador II: Software (100000S12F)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Proyecto:</w:t>
      </w:r>
      <w:r>
        <w:rPr>
          <w:rFonts w:ascii="Calibri" w:hAnsi="Calibri"/>
          <w:color w:val="1E293B"/>
          <w:sz w:val="21"/>
        </w:rPr>
        <w:t xml:space="preserve"> Sistema de Gestión de Pedidos &amp; Inventario LeoFit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Equipo Responsable (Grupo 01):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Loayza Rodriguez, Lady Luz</w:t>
      </w:r>
      <w:r>
        <w:rPr>
          <w:rFonts w:ascii="Calibri" w:hAnsi="Calibri"/>
          <w:color w:val="1E293B"/>
          <w:sz w:val="21"/>
        </w:rPr>
        <w:t xml:space="preserve"> - Scrum Master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Cárdenas Fernández, Víctor Leandro</w:t>
      </w:r>
      <w:r>
        <w:rPr>
          <w:rFonts w:ascii="Calibri" w:hAnsi="Calibri"/>
          <w:color w:val="1E293B"/>
          <w:sz w:val="21"/>
        </w:rPr>
        <w:t xml:space="preserve"> - Product Owner / Diseñador de Base de Datos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Roman Delgado, Harley Anthony</w:t>
      </w:r>
      <w:r>
        <w:rPr>
          <w:rFonts w:ascii="Calibri" w:hAnsi="Calibri"/>
          <w:color w:val="1E293B"/>
          <w:sz w:val="21"/>
        </w:rPr>
        <w:t xml:space="preserve"> - Front-End Lead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Dávila Morales, Jim Alessandro</w:t>
      </w:r>
      <w:r>
        <w:rPr>
          <w:rFonts w:ascii="Calibri" w:hAnsi="Calibri"/>
          <w:color w:val="1E293B"/>
          <w:sz w:val="21"/>
        </w:rPr>
        <w:t xml:space="preserve"> - QA / Testing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Rojas Sanchez, Daniel Enrique</w:t>
      </w:r>
      <w:r>
        <w:rPr>
          <w:rFonts w:ascii="Calibri" w:hAnsi="Calibri"/>
          <w:color w:val="1E293B"/>
          <w:sz w:val="21"/>
        </w:rPr>
        <w:t xml:space="preserve"> - Analista de Negocio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Versión:</w:t>
      </w:r>
      <w:r>
        <w:rPr>
          <w:rFonts w:ascii="Calibri" w:hAnsi="Calibri"/>
          <w:color w:val="1E293B"/>
          <w:sz w:val="21"/>
        </w:rPr>
        <w:t xml:space="preserve"> 1.0.0 (Formal Académica)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2. PROCESO PASO A PASO DE NORMALIZACIÓN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2.1. Forma No Normalizada (UNF) - Estructura Inicial Desnormalizada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>El registro inicial en los cuadernos de notas de LeoFit agrupaba de forma redundante y no atómica los datos del cliente, múltiples prendas en una sola celda y subtotales mezclados:</w:t>
      </w:r>
    </w:p>
    <w:p>
      <w:pPr>
        <w:spacing w:before="40" w:after="80" w:line="276" w:lineRule="auto"/>
      </w:pPr>
      <w:r>
        <w:rPr>
          <w:rFonts w:ascii="Calibri" w:hAnsi="Calibri"/>
          <w:i/>
          <w:color w:val="1E293B"/>
          <w:sz w:val="22"/>
        </w:rPr>
        <w:t>$REGISTRO\_PEDIDO(\underlineID\_Pedido, Fecha, Cliente\_Nombre, Cliente\_Tel, Direccion, \Cod\_Prenda, Prenda, Talla, Color, Cant, PrecioUnit\, Flete, Total)</w:t>
      </w:r>
      <w:r>
        <w:rPr>
          <w:rFonts w:ascii="Calibri" w:hAnsi="Calibri"/>
          <w:color w:val="1E293B"/>
          <w:sz w:val="22"/>
        </w:rPr>
        <w:t>$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2.2. Primera Forma Normal (1FN) - Atomicidad y Eliminación de Grupos Repetitivos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Se eliminan los grupos repetitivos extrayendo el detalle de productos a una entidad separada y se garantiza que todos los atributos contengan valores atómicos individuales.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Entidades Resultantes en 1FN: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PEDIDOS\_1FN(\underlineid\_pedido, fecha, cliente\_nombre, cliente\_telefono, cliente\_direccion, costo\_envio, monto\_total)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DETALLE\_PEDIDO\_1FN(\underlineid\_pedido, id\_producto, nombre\_producto, talla, color, cantidad, precio\_unitario, subtotal)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2.3. Segunda Forma Normal (2FN) - Eliminación de Dependencias Funcionales Parciales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Todos los atributos que no forman parte de la clave primaria deben depender funcionalmente de la totalidad de la clave primaria compuesta, no de una parte de ella.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Entidades Resultantes en 2FN: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PRODUCTOS(\underlineid\_producto, nombre, categoria, precio, stock, talla, color)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DETALLE\_PEDIDOS(\underlineid\_pedido, id\_producto, cantidad, precio\_unitario)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- </w:t>
      </w:r>
      <w:r>
        <w:rPr>
          <w:rFonts w:ascii="Calibri" w:hAnsi="Calibri"/>
          <w:i/>
          <w:color w:val="1E293B"/>
          <w:sz w:val="22"/>
        </w:rPr>
        <w:t>PEDIDOS(\underlineid\_pedido, fecha, id\_cliente, costo\_envio, total, id\_estado)</w:t>
      </w:r>
    </w:p>
    <w:p>
      <w:pPr>
        <w:keepNext/>
        <w:spacing w:before="200" w:after="40"/>
      </w:pPr>
      <w:r>
        <w:rPr>
          <w:rFonts w:ascii="Calibri" w:hAnsi="Calibri"/>
          <w:b/>
          <w:color w:val="1E293B"/>
          <w:sz w:val="24"/>
        </w:rPr>
        <w:t>2.4. Tercera Forma Normal (3FN) - Eliminación de Dependencias Transitivas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Regla Aplicada:</w:t>
      </w:r>
      <w:r>
        <w:rPr>
          <w:rFonts w:ascii="Calibri" w:hAnsi="Calibri"/>
          <w:color w:val="1E293B"/>
          <w:sz w:val="21"/>
        </w:rPr>
        <w:t xml:space="preserve"> Ningún atributo no clave debe depender transitivamente de la clave primaria a través de otro atributo no clave. Se independizan las entidades </w:t>
      </w:r>
      <w:r>
        <w:rPr>
          <w:rFonts w:ascii="Consolas" w:hAnsi="Consolas"/>
          <w:color w:val="C2410C"/>
          <w:sz w:val="19"/>
        </w:rPr>
        <w:t>CLIENTES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C2410C"/>
          <w:sz w:val="19"/>
        </w:rPr>
        <w:t>CATEGORIAS</w:t>
      </w:r>
      <w:r>
        <w:rPr>
          <w:rFonts w:ascii="Calibri" w:hAnsi="Calibri"/>
          <w:color w:val="1E293B"/>
          <w:sz w:val="21"/>
        </w:rPr>
        <w:t xml:space="preserve"> y </w:t>
      </w:r>
      <w:r>
        <w:rPr>
          <w:rFonts w:ascii="Consolas" w:hAnsi="Consolas"/>
          <w:color w:val="C2410C"/>
          <w:sz w:val="19"/>
        </w:rPr>
        <w:t>ESTADOS_PEDIDO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Esquema Relacional Final en 3FN / BCNF:</w:t>
      </w:r>
    </w:p>
    <w:p>
      <w:pPr>
        <w:spacing w:before="120" w:after="160" w:line="252" w:lineRule="auto"/>
        <w:shd w:fill="F1F5F9"/>
      </w:pPr>
      <w:r>
        <w:rPr>
          <w:rFonts w:ascii="Consolas" w:hAnsi="Consolas"/>
          <w:color w:val="0F172A"/>
          <w:sz w:val="18"/>
        </w:rPr>
        <w:t>-- 1. Tabla de Roles de Usuario</w:t>
        <w:br/>
        <w:t>CREATE TABLE roles (</w:t>
        <w:br/>
        <w:t xml:space="preserve">    id_rol INT PRIMARY KEY AUTO_INCREMENT,</w:t>
        <w:br/>
        <w:t xml:space="preserve">    nombre_rol VARCHAR(50) NOT NULL UNIQUE</w:t>
        <w:br/>
        <w:t>);</w:t>
        <w:br/>
        <w:br/>
        <w:t>-- 2. Tabla de Usuarios del Sistema</w:t>
        <w:br/>
        <w:t>CREATE TABLE usuarios (</w:t>
        <w:br/>
        <w:t xml:space="preserve">    id_usuario INT PRIMARY KEY AUTO_INCREMENT,</w:t>
        <w:br/>
        <w:t xml:space="preserve">    nombre VARCHAR(100) NOT NULL,</w:t>
        <w:br/>
        <w:t xml:space="preserve">    email VARCHAR(100) NOT NULL UNIQUE,</w:t>
        <w:br/>
        <w:t xml:space="preserve">    password_hash VARCHAR(255) NOT NULL,</w:t>
        <w:br/>
        <w:t xml:space="preserve">    id_rol INT NOT NULL,</w:t>
        <w:br/>
        <w:t xml:space="preserve">    FOREIGN KEY (id_rol) REFERENCES roles(id_rol)</w:t>
        <w:br/>
        <w:t>);</w:t>
        <w:br/>
        <w:br/>
        <w:t>-- 3. Tabla de Categorías de Indumentaria</w:t>
        <w:br/>
        <w:t>CREATE TABLE categorias (</w:t>
        <w:br/>
        <w:t xml:space="preserve">    id_categoria INT PRIMARY KEY AUTO_INCREMENT,</w:t>
        <w:br/>
        <w:t xml:space="preserve">    nombre_categoria VARCHAR(100) NOT NULL UNIQUE,</w:t>
        <w:br/>
        <w:t xml:space="preserve">    descripcion TEXT</w:t>
        <w:br/>
        <w:t>);</w:t>
        <w:br/>
        <w:br/>
        <w:t>-- 4. Tabla de Productos e Inventario</w:t>
        <w:br/>
        <w:t>CREATE TABLE productos (</w:t>
        <w:br/>
        <w:t xml:space="preserve">    id_producto VARCHAR(50) PRIMARY KEY,</w:t>
        <w:br/>
        <w:t xml:space="preserve">    nombre VARCHAR(150) NOT NULL,</w:t>
        <w:br/>
        <w:t xml:space="preserve">    id_categoria INT NOT NULL,</w:t>
        <w:br/>
        <w:t xml:space="preserve">    precio DECIMAL(10, 2) NOT NULL CHECK (precio &gt; 0),</w:t>
        <w:br/>
        <w:t xml:space="preserve">    stock INT NOT NULL CHECK (stock &gt;= 0),</w:t>
        <w:br/>
        <w:t xml:space="preserve">    talla VARCHAR(20) NOT NULL,</w:t>
        <w:br/>
        <w:t xml:space="preserve">    color VARCHAR(50) NOT NULL,</w:t>
        <w:br/>
        <w:t xml:space="preserve">    imagen_url VARCHAR(255),</w:t>
        <w:br/>
        <w:t xml:space="preserve">    FOREIGN KEY (id_categoria) REFERENCES categorias(id_categoria)</w:t>
        <w:br/>
        <w:t>);</w:t>
        <w:br/>
        <w:br/>
        <w:t>-- 5. Tabla de Estados de Pedido</w:t>
        <w:br/>
        <w:t>CREATE TABLE estados_pedido (</w:t>
        <w:br/>
        <w:t xml:space="preserve">    id_estado INT PRIMARY KEY AUTO_INCREMENT,</w:t>
        <w:br/>
        <w:t xml:space="preserve">    nombre_estado VARCHAR(50) NOT NULL UNIQUE</w:t>
        <w:br/>
        <w:t>);</w:t>
        <w:br/>
        <w:br/>
        <w:t>-- 6. Tabla de Cabecera de Pedidos</w:t>
        <w:br/>
        <w:t>CREATE TABLE pedidos (</w:t>
        <w:br/>
        <w:t xml:space="preserve">    id_pedido VARCHAR(50) PRIMARY KEY,</w:t>
        <w:br/>
        <w:t xml:space="preserve">    cliente_nombre VARCHAR(150) NOT NULL,</w:t>
        <w:br/>
        <w:t xml:space="preserve">    cliente_telefono VARCHAR(20) NOT NULL,</w:t>
        <w:br/>
        <w:t xml:space="preserve">    cliente_direccion TEXT NOT NULL,</w:t>
        <w:br/>
        <w:t xml:space="preserve">    subtotal DECIMAL(10, 2) NOT NULL,</w:t>
        <w:br/>
        <w:t xml:space="preserve">    costo_envio DECIMAL(10, 2) NOT NULL DEFAULT 0.00,</w:t>
        <w:br/>
        <w:t xml:space="preserve">    total DECIMAL(10, 2) NOT NULL,</w:t>
        <w:br/>
        <w:t xml:space="preserve">    metodo_pago VARCHAR(50) NOT NULL,</w:t>
        <w:br/>
        <w:t xml:space="preserve">    id_estado INT NOT NULL,</w:t>
        <w:br/>
        <w:t xml:space="preserve">    fecha_creacion TIMESTAMP DEFAULT CURRENT_TIMESTAMP,</w:t>
        <w:br/>
        <w:t xml:space="preserve">    fecha_actualizacion TIMESTAMP DEFAULT CURRENT_TIMESTAMP ON UPDATE CURRENT_TIMESTAMP,</w:t>
        <w:br/>
        <w:t xml:space="preserve">    FOREIGN KEY (id_estado) REFERENCES estados_pedido(id_estado)</w:t>
        <w:br/>
        <w:t>);</w:t>
        <w:br/>
        <w:br/>
        <w:t>-- 7. Tabla de Detalle de Pedidos</w:t>
        <w:br/>
        <w:t>CREATE TABLE detalle_pedidos (</w:t>
        <w:br/>
        <w:t xml:space="preserve">    id_pedido VARCHAR(50) NOT NULL,</w:t>
        <w:br/>
        <w:t xml:space="preserve">    id_producto VARCHAR(50) NOT NULL,</w:t>
        <w:br/>
        <w:t xml:space="preserve">    cantidad INT NOT NULL CHECK (cantidad &gt; 0),</w:t>
        <w:br/>
        <w:t xml:space="preserve">    precio_unitario DECIMAL(10, 2) NOT NULL,</w:t>
        <w:br/>
        <w:t xml:space="preserve">    PRIMARY KEY (id_pedido, id_producto),</w:t>
        <w:br/>
        <w:t xml:space="preserve">    FOREIGN KEY (id_pedido) REFERENCES pedidos(id_pedido) ON DELETE CASCADE,</w:t>
        <w:br/>
        <w:t xml:space="preserve">    FOREIGN KEY (id_producto) REFERENCES productos(id_producto)</w:t>
        <w:br/>
        <w:t>);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3. DIAGRAMAS ARQUITECTURALES DE BASE DE DATOS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📐 </w:t>
      </w:r>
      <w:r>
        <w:rPr>
          <w:rFonts w:ascii="Calibri" w:hAnsi="Calibri"/>
          <w:b/>
          <w:color w:val="1E293B"/>
          <w:sz w:val="21"/>
        </w:rPr>
        <w:t>Diagrama de Modelo Lógico (DER Conceptual):</w:t>
      </w:r>
      <w:r>
        <w:rPr>
          <w:rFonts w:ascii="Calibri" w:hAnsi="Calibri"/>
          <w:color w:val="1E293B"/>
          <w:sz w:val="21"/>
        </w:rPr>
        <w:t xml:space="preserve"> [</w:t>
      </w:r>
      <w:r>
        <w:rPr>
          <w:rFonts w:ascii="Consolas" w:hAnsi="Consolas"/>
          <w:color w:val="C2410C"/>
          <w:sz w:val="19"/>
        </w:rPr>
        <w:t>diagrams/12_Modelo_Logico_BD.png</w:t>
      </w:r>
      <w:r>
        <w:rPr>
          <w:rFonts w:ascii="Calibri" w:hAnsi="Calibri"/>
          <w:color w:val="1E293B"/>
          <w:sz w:val="21"/>
        </w:rPr>
        <w:t>](../diagrams/12_Modelo_Logico_BD.png)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🗄️ </w:t>
      </w:r>
      <w:r>
        <w:rPr>
          <w:rFonts w:ascii="Calibri" w:hAnsi="Calibri"/>
          <w:b/>
          <w:color w:val="1E293B"/>
          <w:sz w:val="21"/>
        </w:rPr>
        <w:t>Diagrama de Modelo Físico (DDL Relacional 3FN/BCNF):</w:t>
      </w:r>
      <w:r>
        <w:rPr>
          <w:rFonts w:ascii="Calibri" w:hAnsi="Calibri"/>
          <w:color w:val="1E293B"/>
          <w:sz w:val="21"/>
        </w:rPr>
        <w:t xml:space="preserve"> [</w:t>
      </w:r>
      <w:r>
        <w:rPr>
          <w:rFonts w:ascii="Consolas" w:hAnsi="Consolas"/>
          <w:color w:val="C2410C"/>
          <w:sz w:val="19"/>
        </w:rPr>
        <w:t>diagrams/13_Modelo_Fisico_BD.png</w:t>
      </w:r>
      <w:r>
        <w:rPr>
          <w:rFonts w:ascii="Calibri" w:hAnsi="Calibri"/>
          <w:color w:val="1E293B"/>
          <w:sz w:val="21"/>
        </w:rPr>
        <w:t>](../diagrams/13_Modelo_Fisico_BD.png)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1"/>
        </w:rPr>
        <w:t xml:space="preserve">📊 </w:t>
      </w:r>
      <w:r>
        <w:rPr>
          <w:rFonts w:ascii="Calibri" w:hAnsi="Calibri"/>
          <w:b/>
          <w:color w:val="1E293B"/>
          <w:sz w:val="21"/>
        </w:rPr>
        <w:t>Diagrama de Entidades Complementario:</w:t>
      </w:r>
      <w:r>
        <w:rPr>
          <w:rFonts w:ascii="Calibri" w:hAnsi="Calibri"/>
          <w:color w:val="1E293B"/>
          <w:sz w:val="21"/>
        </w:rPr>
        <w:t xml:space="preserve"> [</w:t>
      </w:r>
      <w:r>
        <w:rPr>
          <w:rFonts w:ascii="Consolas" w:hAnsi="Consolas"/>
          <w:color w:val="C2410C"/>
          <w:sz w:val="19"/>
        </w:rPr>
        <w:t>diagrams/14_Diagrama_DB.png</w:t>
      </w:r>
      <w:r>
        <w:rPr>
          <w:rFonts w:ascii="Calibri" w:hAnsi="Calibri"/>
          <w:color w:val="1E293B"/>
          <w:sz w:val="21"/>
        </w:rPr>
        <w:t>](../diagrams/14_Diagrama_DB.png)</w:t>
      </w:r>
    </w:p>
    <w:p>
      <w:pPr>
        <w:keepNext/>
        <w:spacing w:before="280" w:after="80"/>
      </w:pPr>
      <w:r>
        <w:rPr>
          <w:rFonts w:ascii="Calibri" w:hAnsi="Calibri"/>
          <w:b/>
          <w:color w:val="F97316"/>
          <w:sz w:val="28"/>
        </w:rPr>
        <w:t>4. CONCLUSIÓN TÉCNICA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22"/>
        </w:rPr>
        <w:t xml:space="preserve">El esquema normalizado en </w:t>
      </w:r>
      <w:r>
        <w:rPr>
          <w:rFonts w:ascii="Calibri" w:hAnsi="Calibri"/>
          <w:b/>
          <w:color w:val="1E293B"/>
          <w:sz w:val="22"/>
        </w:rPr>
        <w:t>BCNF</w:t>
      </w:r>
      <w:r>
        <w:rPr>
          <w:rFonts w:ascii="Calibri" w:hAnsi="Calibri"/>
          <w:color w:val="1E293B"/>
          <w:sz w:val="22"/>
        </w:rPr>
        <w:t xml:space="preserve"> garantiza: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Cero redundancia de datos</w:t>
      </w:r>
      <w:r>
        <w:rPr>
          <w:rFonts w:ascii="Calibri" w:hAnsi="Calibri"/>
          <w:color w:val="1E293B"/>
          <w:sz w:val="21"/>
        </w:rPr>
        <w:t xml:space="preserve"> en catálogo, pedidos y clientes.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Integridad referencial total</w:t>
      </w:r>
      <w:r>
        <w:rPr>
          <w:rFonts w:ascii="Calibri" w:hAnsi="Calibri"/>
          <w:color w:val="1E293B"/>
          <w:sz w:val="21"/>
        </w:rPr>
        <w:t xml:space="preserve"> mediante claves primarias y foráneas con restricciones </w:t>
      </w:r>
      <w:r>
        <w:rPr>
          <w:rFonts w:ascii="Consolas" w:hAnsi="Consolas"/>
          <w:color w:val="C2410C"/>
          <w:sz w:val="19"/>
        </w:rPr>
        <w:t>CHECK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21"/>
        </w:rPr>
        <w:t>Alto rendimiento en consultas transaccionales</w:t>
      </w:r>
      <w:r>
        <w:rPr>
          <w:rFonts w:ascii="Calibri" w:hAnsi="Calibri"/>
          <w:color w:val="1E293B"/>
          <w:sz w:val="21"/>
        </w:rPr>
        <w:t xml:space="preserve"> con índices sobre claves foráneas y fechas de creación.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