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GUÍA FORMAL DE PREGUNTAS Y RESPUESTAS CRÍTICAS PARA SUSTENTACIÓN ANTE EL JURADO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PROYECTO: SISTEMA WEB PWA DE GESTIÓN Y TOMA DE PEDIDOS MULTICANAL PARA LEOFIT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CATEGORÍA: ANÁLISIS DE NEGOCIO, PROCESOS Y RÚBRICA APF1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Pregunta 1.1: ¿Por qué la empresa seleccionada califica como un caso de estudio válido para el curso?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Fundamentación Técnica y de Negocio: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LeoFit cumple estrictamente con los criterios de la rúbrica al ser una microempresa peruana debidamente constituida, con operación comercial activa y una problemática real demostrable: la gestión manual y no estandarizada de pedidos por WhatsApp que genera demoras de 25 minutos por orden, sobreventas y extravío de registros. Además, se cuenta con acceso irrestricto al stakeholder (Víctor Raúl Cárdenas), garantizando la validación continua de prototipos e incrementos de software.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Pregunta 1.2: ¿En qué se diferencia el modelo AS-IS del modelo propuesto TO-BE?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Fundamentación Técnica y de Negocio: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El modelo AS-IS es secuencial, manual y vulnerable, con 8 pasos donde la verificación de stock se hace visualmente y las anotaciones en papel. El modelo TO-BE digitaliza el proceso mediante una Progressive Web App (PWA): el cliente consulta un catálogo interactivo con stock sincronizado, el sistema valida y descuenta existencias automáticamente, calcula el flete y genera una orden formal con ID único. El administrador gestiona la preparación y el despacho mediante un tablero con cambio de estados en un solo clic, reduciendo el ciclo de pedido a menos de 3 minutos.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CATEGORÍA: GESTIÓN ÁGIL, SCRUM Y PLANIFICACIÓN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Pregunta 2.1: ¿Cómo determinaron la velocidad del equipo y la duración de los Sprints?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Fundamentación Técnica y de Negocio: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Se estableció un esquema de Sprints de 2 semanas calendario con una capacidad estimada de 35 Story Points (SP) por iteración. Las historias de usuario fueron estimadas mediante la secuencia Fibonacci (1, 2, 3, 5, 8, 13) y priorizadas con la metodología MoSCoW. Cada historia cuenta con criterios de aceptación en estándar Gherkin (</w:t>
      </w:r>
      <w:r>
        <w:rPr>
          <w:rFonts w:ascii="Calibri" w:hAnsi="Calibri"/>
          <w:i/>
          <w:color w:val="1E293B"/>
          <w:sz w:val="22"/>
        </w:rPr>
        <w:t>Given-When-Then</w:t>
      </w:r>
      <w:r>
        <w:rPr>
          <w:rFonts w:ascii="Calibri" w:hAnsi="Calibri"/>
          <w:color w:val="1E293B"/>
          <w:sz w:val="22"/>
        </w:rPr>
        <w:t>), y el flujo de trabajo se controla en un tablero Kanban con límites estrictos de trabajo en progreso (WIP Limits) en GitHub Projects.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Pregunta 2.2: ¿Cuál es la política de Definition of Done (DoD) acordada por el equipo?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Fundamentación Técnica y de Negocio: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Para que una tarea se considere concluida (</w:t>
      </w:r>
      <w:r>
        <w:rPr>
          <w:rFonts w:ascii="Consolas" w:hAnsi="Consolas"/>
          <w:color w:val="C2410C"/>
          <w:sz w:val="19"/>
        </w:rPr>
        <w:t>Done</w:t>
      </w:r>
      <w:r>
        <w:rPr>
          <w:rFonts w:ascii="Calibri" w:hAnsi="Calibri"/>
          <w:color w:val="1E293B"/>
          <w:sz w:val="22"/>
        </w:rPr>
        <w:t xml:space="preserve">), debe cumplir cuatro criterios rigurosos: (1) Código implementado en TypeScript estricto sin advertencias de linters; (2) Pruebas unitarias aprobadas con Vitest garantizando </w:t>
      </w:r>
      <w:r>
        <w:rPr>
          <w:rFonts w:ascii="Calibri" w:hAnsi="Calibri"/>
          <w:i/>
          <w:color w:val="1E293B"/>
          <w:sz w:val="22"/>
        </w:rPr>
        <w:t>≥ 80%</w:t>
      </w:r>
      <w:r>
        <w:rPr>
          <w:rFonts w:ascii="Calibri" w:hAnsi="Calibri"/>
          <w:color w:val="1E293B"/>
          <w:sz w:val="22"/>
        </w:rPr>
        <w:t xml:space="preserve"> de cobertura; (3) Revisión por pares mediante Pull Request en GitHub; y (4) Despliegue automatizado exitoso en el ambiente de producción mediante GitHub Actions.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CATEGORÍA: ARQUITECTURA DE SOFTWARE Y TECNOLOGÍA FRONT-END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Pregunta 3.1: ¿Por qué seleccionaron una Progressive Web App (PWA) con React y Vite en lugar de una aplicación móvil nativa o WordPress?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Fundamentación Técnica y de Negocio: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Frente a Apps Nativas:</w:t>
      </w:r>
      <w:r>
        <w:rPr>
          <w:rFonts w:ascii="Calibri" w:hAnsi="Calibri"/>
          <w:color w:val="1E293B"/>
          <w:sz w:val="21"/>
        </w:rPr>
        <w:t xml:space="preserve"> Una PWA no requiere instalación desde tiendas propietarias (Play Store / App Store), eliminando la fricción de descarga para el cliente y reduciendo drásticamente los costos de desarrollo multi-plataforma (un solo código fuente para móvil y escritorio).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Frente a WordPress/WooCommerce:</w:t>
      </w:r>
      <w:r>
        <w:rPr>
          <w:rFonts w:ascii="Calibri" w:hAnsi="Calibri"/>
          <w:color w:val="1E293B"/>
          <w:sz w:val="21"/>
        </w:rPr>
        <w:t xml:space="preserve"> React + Vite proporciona una arquitectura desacoplada, carga instantánea (</w:t>
      </w:r>
      <w:r>
        <w:rPr>
          <w:rFonts w:ascii="Calibri" w:hAnsi="Calibri"/>
          <w:i/>
          <w:color w:val="1E293B"/>
          <w:sz w:val="21"/>
        </w:rPr>
        <w:t>&lt; 0.5</w:t>
      </w:r>
      <w:r>
        <w:rPr>
          <w:rFonts w:ascii="Calibri" w:hAnsi="Calibri"/>
          <w:color w:val="1E293B"/>
          <w:sz w:val="21"/>
        </w:rPr>
        <w:t xml:space="preserve"> s), menor consumo de memoria y control total sobre el pipeline de optimización WPO.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Uso de TypeScript y Tailwind:</w:t>
      </w:r>
      <w:r>
        <w:rPr>
          <w:rFonts w:ascii="Calibri" w:hAnsi="Calibri"/>
          <w:color w:val="1E293B"/>
          <w:sz w:val="21"/>
        </w:rPr>
        <w:t xml:space="preserve"> Garantiza tipado estricto en tiempo de compilación, previniendo errores en tiempo de ejecución, y un bundle de estilos ultraligero depurado con PurgeCSS.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4. CATEGORÍA: ASEGURAMIENTO DE LA CALIDAD (QA) Y PRUEBAS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Pregunta 4.1: ¿Qué estrategia de pruebas se implementó para garantizar la fiabilidad del sistema?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Fundamentación Técnica y de Negocio: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Se implementó una suite de pruebas unitarias automatizadas con </w:t>
      </w:r>
      <w:r>
        <w:rPr>
          <w:rFonts w:ascii="Calibri" w:hAnsi="Calibri"/>
          <w:b/>
          <w:color w:val="1E293B"/>
          <w:sz w:val="22"/>
        </w:rPr>
        <w:t>Vitest</w:t>
      </w:r>
      <w:r>
        <w:rPr>
          <w:rFonts w:ascii="Calibri" w:hAnsi="Calibri"/>
          <w:color w:val="1E293B"/>
          <w:sz w:val="22"/>
        </w:rPr>
        <w:t xml:space="preserve"> en la capa de datos y lógica de negocio (</w:t>
      </w:r>
      <w:r>
        <w:rPr>
          <w:rFonts w:ascii="Consolas" w:hAnsi="Consolas"/>
          <w:color w:val="C2410C"/>
          <w:sz w:val="19"/>
        </w:rPr>
        <w:t>frontend/src/__tests__/mockData.test.ts</w:t>
      </w:r>
      <w:r>
        <w:rPr>
          <w:rFonts w:ascii="Calibri" w:hAnsi="Calibri"/>
          <w:color w:val="1E293B"/>
          <w:sz w:val="22"/>
        </w:rPr>
        <w:t>). Las pruebas validan la integridad de precios, existencias no negativas, pertenencia de categorías y normalización de estados de los pedidos. La suite se ejecuta de forma automática en el pipeline de Integración Continua (</w:t>
      </w:r>
      <w:r>
        <w:rPr>
          <w:rFonts w:ascii="Consolas" w:hAnsi="Consolas"/>
          <w:color w:val="C2410C"/>
          <w:sz w:val="19"/>
        </w:rPr>
        <w:t>.github/workflows/security-scan.yml</w:t>
      </w:r>
      <w:r>
        <w:rPr>
          <w:rFonts w:ascii="Calibri" w:hAnsi="Calibri"/>
          <w:color w:val="1E293B"/>
          <w:sz w:val="22"/>
        </w:rPr>
        <w:t xml:space="preserve">) ante cada </w:t>
      </w:r>
      <w:r>
        <w:rPr>
          <w:rFonts w:ascii="Consolas" w:hAnsi="Consolas"/>
          <w:color w:val="C2410C"/>
          <w:sz w:val="19"/>
        </w:rPr>
        <w:t>push</w:t>
      </w:r>
      <w:r>
        <w:rPr>
          <w:rFonts w:ascii="Calibri" w:hAnsi="Calibri"/>
          <w:color w:val="1E293B"/>
          <w:sz w:val="22"/>
        </w:rPr>
        <w:t xml:space="preserve"> y </w:t>
      </w:r>
      <w:r>
        <w:rPr>
          <w:rFonts w:ascii="Consolas" w:hAnsi="Consolas"/>
          <w:color w:val="C2410C"/>
          <w:sz w:val="19"/>
        </w:rPr>
        <w:t>pull request</w:t>
      </w:r>
      <w:r>
        <w:rPr>
          <w:rFonts w:ascii="Calibri" w:hAnsi="Calibri"/>
          <w:color w:val="1E293B"/>
          <w:sz w:val="22"/>
        </w:rPr>
        <w:t xml:space="preserve"> a la rama </w:t>
      </w:r>
      <w:r>
        <w:rPr>
          <w:rFonts w:ascii="Consolas" w:hAnsi="Consolas"/>
          <w:color w:val="C2410C"/>
          <w:sz w:val="19"/>
        </w:rPr>
        <w:t>main</w:t>
      </w:r>
      <w:r>
        <w:rPr>
          <w:rFonts w:ascii="Calibri" w:hAnsi="Calibri"/>
          <w:color w:val="1E293B"/>
          <w:sz w:val="22"/>
        </w:rPr>
        <w:t>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5. CATEGORÍA: OPTIMIZACIÓN WEB (WPO) Y NIVELES DE SERVICIO (SLA/SLO)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Pregunta 5.1: ¿Cuáles fueron los resultados cuantitativos de las estrategias WPO implementadas?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Fundamentación Técnica y de Negocio: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Se implementaron cinco estrategias técnicas: Tree-shaking, minificación con esbuild, code-splitting modular, memoización React y carga asíncrona de fuentes. Los resultados medidos con Google Lighthouse evidencian: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Incremento de la puntuación Lighthouse de 68/100 a </w:t>
      </w:r>
      <w:r>
        <w:rPr>
          <w:rFonts w:ascii="Calibri" w:hAnsi="Calibri"/>
          <w:b/>
          <w:color w:val="1E293B"/>
          <w:sz w:val="21"/>
        </w:rPr>
        <w:t>98/100</w:t>
      </w:r>
      <w:r>
        <w:rPr>
          <w:rFonts w:ascii="Calibri" w:hAnsi="Calibri"/>
          <w:color w:val="1E293B"/>
          <w:sz w:val="21"/>
        </w:rPr>
        <w:t xml:space="preserve"> (+44.1%).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Reducción del First Contentful Paint (FCP) de 2.4 s a </w:t>
      </w:r>
      <w:r>
        <w:rPr>
          <w:rFonts w:ascii="Calibri" w:hAnsi="Calibri"/>
          <w:b/>
          <w:color w:val="1E293B"/>
          <w:sz w:val="21"/>
        </w:rPr>
        <w:t>0.3 s</w:t>
      </w:r>
      <w:r>
        <w:rPr>
          <w:rFonts w:ascii="Calibri" w:hAnsi="Calibri"/>
          <w:color w:val="1E293B"/>
          <w:sz w:val="21"/>
        </w:rPr>
        <w:t xml:space="preserve"> (-87.5%).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Reducción del tamaño del bundle JavaScript gzipped de 450.0 kB a </w:t>
      </w:r>
      <w:r>
        <w:rPr>
          <w:rFonts w:ascii="Calibri" w:hAnsi="Calibri"/>
          <w:b/>
          <w:color w:val="1E293B"/>
          <w:sz w:val="21"/>
        </w:rPr>
        <w:t>74.49 kB</w:t>
      </w:r>
      <w:r>
        <w:rPr>
          <w:rFonts w:ascii="Calibri" w:hAnsi="Calibri"/>
          <w:color w:val="1E293B"/>
          <w:sz w:val="21"/>
        </w:rPr>
        <w:t xml:space="preserve"> (-83.4%).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Tiempo de compilación en producción reducido a </w:t>
      </w:r>
      <w:r>
        <w:rPr>
          <w:rFonts w:ascii="Calibri" w:hAnsi="Calibri"/>
          <w:b/>
          <w:color w:val="1E293B"/>
          <w:sz w:val="21"/>
        </w:rPr>
        <w:t>0.73 segundos</w:t>
      </w:r>
      <w:r>
        <w:rPr>
          <w:rFonts w:ascii="Calibri" w:hAnsi="Calibri"/>
          <w:color w:val="1E293B"/>
          <w:sz w:val="21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Pregunta 5.2: ¿Cuáles son los compromisos de SLA y SLO establecidos para LeoFit?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Fundamentación Técnica y de Negocio: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Se estableció un SLA de disponibilidad mensual </w:t>
      </w:r>
      <w:r>
        <w:rPr>
          <w:rFonts w:ascii="Calibri" w:hAnsi="Calibri"/>
          <w:i/>
          <w:color w:val="1E293B"/>
          <w:sz w:val="22"/>
        </w:rPr>
        <w:t>≥ 99.5%</w:t>
      </w:r>
      <w:r>
        <w:rPr>
          <w:rFonts w:ascii="Calibri" w:hAnsi="Calibri"/>
          <w:color w:val="1E293B"/>
          <w:sz w:val="22"/>
        </w:rPr>
        <w:t xml:space="preserve"> respaldado por CDN Serverless en el Edge, un SLO de latencia de renderizado P95 </w:t>
      </w:r>
      <w:r>
        <w:rPr>
          <w:rFonts w:ascii="Calibri" w:hAnsi="Calibri"/>
          <w:i/>
          <w:color w:val="1E293B"/>
          <w:sz w:val="22"/>
        </w:rPr>
        <w:t>&lt; 500</w:t>
      </w:r>
      <w:r>
        <w:rPr>
          <w:rFonts w:ascii="Calibri" w:hAnsi="Calibri"/>
          <w:color w:val="1E293B"/>
          <w:sz w:val="22"/>
        </w:rPr>
        <w:t xml:space="preserve"> ms, un tiempo máximo de recuperación ante fallos (RTO) </w:t>
      </w:r>
      <w:r>
        <w:rPr>
          <w:rFonts w:ascii="Calibri" w:hAnsi="Calibri"/>
          <w:i/>
          <w:color w:val="1E293B"/>
          <w:sz w:val="22"/>
        </w:rPr>
        <w:t>&lt; 2</w:t>
      </w:r>
      <w:r>
        <w:rPr>
          <w:rFonts w:ascii="Calibri" w:hAnsi="Calibri"/>
          <w:color w:val="1E293B"/>
          <w:sz w:val="22"/>
        </w:rPr>
        <w:t xml:space="preserve"> horas y un punto de recuperación de datos (RPO) </w:t>
      </w:r>
      <w:r>
        <w:rPr>
          <w:rFonts w:ascii="Calibri" w:hAnsi="Calibri"/>
          <w:i/>
          <w:color w:val="1E293B"/>
          <w:sz w:val="22"/>
        </w:rPr>
        <w:t>&lt; 15</w:t>
      </w:r>
      <w:r>
        <w:rPr>
          <w:rFonts w:ascii="Calibri" w:hAnsi="Calibri"/>
          <w:color w:val="1E293B"/>
          <w:sz w:val="22"/>
        </w:rPr>
        <w:t xml:space="preserve"> minutos mediante persistencia local y sincronización en la nube.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