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universidad-tecnológica-del-perú"/>
    <w:p>
      <w:pPr>
        <w:pStyle w:val="Heading1"/>
      </w:pPr>
      <w:r>
        <w:t xml:space="preserve">UNIVERSIDAD TECNOLÓGICA DEL PERÚ</w:t>
      </w:r>
    </w:p>
    <w:bookmarkStart w:id="10" w:name="X3a52186a35df7e619f88fca94e2be16101e28bf"/>
    <w:p>
      <w:pPr>
        <w:pStyle w:val="Heading2"/>
      </w:pPr>
      <w:r>
        <w:t xml:space="preserve">FACULTAD DE INGENIERÍA DE SISTEMAS E INFORMÁTICA</w:t>
      </w:r>
    </w:p>
    <w:bookmarkStart w:id="9" w:name="Xfca4ce45802556cfb8a72bb57206a1a72e1d3e2"/>
    <w:p>
      <w:pPr>
        <w:pStyle w:val="Heading3"/>
      </w:pPr>
      <w:r>
        <w:t xml:space="preserve">CURSO INTEGRADOR II: SOFTWARE (100000S12F) — CICLO 2026A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8" w:name="X991123ca3ec03d1cd7049a5876f9cec8b73009f"/>
    <w:p>
      <w:pPr>
        <w:pStyle w:val="Heading1"/>
      </w:pPr>
      <w:r>
        <w:t xml:space="preserve">INFORME DE AVANCE DE PROYECTO FINAL 2 (APF2)</w:t>
      </w:r>
    </w:p>
    <w:bookmarkStart w:id="16" w:name="Xcd29ee9661fe13e026550de3e551b69555cd778"/>
    <w:p>
      <w:pPr>
        <w:pStyle w:val="Heading2"/>
      </w:pPr>
      <w:r>
        <w:t xml:space="preserve">PROYECTO: SISTEMA WEB PWA DE GESTIÓN Y TOMA DE PEDIDOS MULTICANAL PARA LEOFIT INDUMENTARIA</w:t>
      </w:r>
    </w:p>
    <w:bookmarkStart w:id="12" w:name="X8dac1d7a162bbe6395195cabacd95f7a9ca9ed3"/>
    <w:p>
      <w:pPr>
        <w:pStyle w:val="Heading3"/>
      </w:pPr>
      <w:r>
        <w:t xml:space="preserve">Integración de Base de Datos Relacional, Controles de Ciberseguridad OWASP, Patrón Repositorio y Despliegue en la Nube</w:t>
      </w:r>
    </w:p>
    <w:p>
      <w:r>
        <w:pict>
          <v:rect style="width:0;height:1.5pt" o:hralign="center" o:hrstd="t" o:hr="t"/>
        </w:pict>
      </w:r>
    </w:p>
    <w:bookmarkEnd w:id="12"/>
    <w:bookmarkStart w:id="15" w:name="control-de-información-del-proyecto"/>
    <w:p>
      <w:pPr>
        <w:pStyle w:val="Heading3"/>
      </w:pPr>
      <w:r>
        <w:t xml:space="preserve">CONTROL DE INFORMACIÓN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Institución Educativa:</w:t>
      </w:r>
      <w:r>
        <w:t xml:space="preserve"> </w:t>
      </w:r>
      <w:r>
        <w:t xml:space="preserve">Universidad Tecnológica del Perú (UTP)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Facultad:</w:t>
      </w:r>
      <w:r>
        <w:t xml:space="preserve"> </w:t>
      </w:r>
      <w:r>
        <w:t xml:space="preserve">Facultad de Ingeniería de Sistemas e Informática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Asignatura:</w:t>
      </w:r>
      <w:r>
        <w:t xml:space="preserve"> </w:t>
      </w:r>
      <w:r>
        <w:t xml:space="preserve">Curso Integrador II: Software (Código: 100000S12F)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Empresa Beneficiaria:</w:t>
      </w:r>
      <w:r>
        <w:t xml:space="preserve"> </w:t>
      </w:r>
      <w:r>
        <w:t xml:space="preserve">LeoFit Indumentaria &amp; Nutrición Deportiva E.I.R.L.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Representante de la Organización:</w:t>
      </w:r>
      <w:r>
        <w:t xml:space="preserve"> </w:t>
      </w:r>
      <w:r>
        <w:t xml:space="preserve">Don Víctor Raúl Cárdenas Ramírez (Fundador / Gerente General)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Integrantes del Equipo de Trabajo (Grupo 01):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Loayza Rodriguez, Lady Luz</w:t>
      </w:r>
      <w:r>
        <w:t xml:space="preserve"> </w:t>
      </w:r>
      <w:r>
        <w:t xml:space="preserve">— Scrum Master / Coordinadora General / Lead Dev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Cárdenas Fernández, Víctor Leandro</w:t>
      </w:r>
      <w:r>
        <w:t xml:space="preserve"> </w:t>
      </w:r>
      <w:r>
        <w:t xml:space="preserve">— Product Owner / Arquitecto de Datos y Backend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Roman Delgado, Harley Anthony</w:t>
      </w:r>
      <w:r>
        <w:t xml:space="preserve"> </w:t>
      </w:r>
      <w:r>
        <w:t xml:space="preserve">— Líder Front-End / Especialista UI-UX y WPO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Dávila Morales, Jim Alessandro</w:t>
      </w:r>
      <w:r>
        <w:t xml:space="preserve"> </w:t>
      </w:r>
      <w:r>
        <w:t xml:space="preserve">— Ingeniero QA / DevOps y Automatización de Pruebas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Rojas Sanchez, Daniel Enrique</w:t>
      </w:r>
      <w:r>
        <w:t xml:space="preserve"> </w:t>
      </w:r>
      <w:r>
        <w:t xml:space="preserve">— Analista de Negocio / Modelado de Procesos y Auditoría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Ciclo Académico:</w:t>
      </w:r>
      <w:r>
        <w:t xml:space="preserve"> </w:t>
      </w:r>
      <w:r>
        <w:t xml:space="preserve">2026-II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Versión del Documento:</w:t>
      </w:r>
      <w:r>
        <w:t xml:space="preserve"> </w:t>
      </w:r>
      <w:r>
        <w:t xml:space="preserve">2.0.0 (Entrega Oficial APF2)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Repositorio Oficial de GitHub:</w:t>
      </w:r>
      <w:r>
        <w:t xml:space="preserve"> </w:t>
      </w:r>
      <w:hyperlink r:id="rId13">
        <w:r>
          <w:rPr>
            <w:rStyle w:val="Hyperlink"/>
          </w:rPr>
          <w:t xml:space="preserve">https://github.com/Leofit-Solutions-Grupo01/leofit-pedidos-sistema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URL de Despliegue en la Nube:</w:t>
      </w:r>
      <w:r>
        <w:t xml:space="preserve"> </w:t>
      </w:r>
      <w:hyperlink r:id="rId14">
        <w:r>
          <w:rPr>
            <w:rStyle w:val="Hyperlink"/>
          </w:rPr>
          <w:t xml:space="preserve">https://leofit-solutions-grupo01.github.io/leofit-pedidos-sistema/</w:t>
        </w:r>
      </w:hyperlink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índice-general-del-informe-apf2"/>
    <w:p>
      <w:pPr>
        <w:pStyle w:val="Heading2"/>
      </w:pPr>
      <w:r>
        <w:t xml:space="preserve">ÍNDICE GENERAL DEL INFORME APF2</w:t>
      </w:r>
    </w:p>
    <w:p>
      <w:pPr>
        <w:pStyle w:val="Compact"/>
        <w:numPr>
          <w:ilvl w:val="0"/>
          <w:numId w:val="1003"/>
        </w:numPr>
      </w:pPr>
      <w:hyperlink w:anchor="Xcaa97bb6c0db449aa986ebaa75cb028a59a0f93">
        <w:r>
          <w:rPr>
            <w:rStyle w:val="Hyperlink"/>
          </w:rPr>
          <w:t xml:space="preserve">Análisis Empresarial (Consolidado)</w:t>
        </w:r>
      </w:hyperlink>
    </w:p>
    <w:p>
      <w:pPr>
        <w:pStyle w:val="Compact"/>
        <w:numPr>
          <w:ilvl w:val="1"/>
          <w:numId w:val="1004"/>
        </w:numPr>
      </w:pPr>
      <w:r>
        <w:t xml:space="preserve">1.1. Introducción y Contexto del Sector</w:t>
      </w:r>
    </w:p>
    <w:p>
      <w:pPr>
        <w:pStyle w:val="Compact"/>
        <w:numPr>
          <w:ilvl w:val="1"/>
          <w:numId w:val="1004"/>
        </w:numPr>
      </w:pPr>
      <w:r>
        <w:t xml:space="preserve">1.2. Descripción de la Organización</w:t>
      </w:r>
    </w:p>
    <w:p>
      <w:pPr>
        <w:pStyle w:val="Compact"/>
        <w:numPr>
          <w:ilvl w:val="1"/>
          <w:numId w:val="1004"/>
        </w:numPr>
      </w:pPr>
      <w:r>
        <w:t xml:space="preserve">1.3. Visión y Misión</w:t>
      </w:r>
    </w:p>
    <w:p>
      <w:pPr>
        <w:pStyle w:val="Compact"/>
        <w:numPr>
          <w:ilvl w:val="1"/>
          <w:numId w:val="1004"/>
        </w:numPr>
      </w:pPr>
      <w:r>
        <w:t xml:space="preserve">1.4. Modelo de Negocio (Lean Canvas)</w:t>
      </w:r>
    </w:p>
    <w:p>
      <w:pPr>
        <w:pStyle w:val="Compact"/>
        <w:numPr>
          <w:ilvl w:val="1"/>
          <w:numId w:val="1004"/>
        </w:numPr>
      </w:pPr>
      <w:r>
        <w:t xml:space="preserve">1.5. Mapa de Procesos Actual (AS-IS)</w:t>
      </w:r>
    </w:p>
    <w:p>
      <w:pPr>
        <w:pStyle w:val="Compact"/>
        <w:numPr>
          <w:ilvl w:val="1"/>
          <w:numId w:val="1004"/>
        </w:numPr>
      </w:pPr>
      <w:r>
        <w:t xml:space="preserve">1.6. Oportunidades de Mejora y Modelo Propuesto (TO-BE)</w:t>
      </w:r>
    </w:p>
    <w:p>
      <w:pPr>
        <w:pStyle w:val="Compact"/>
        <w:numPr>
          <w:ilvl w:val="0"/>
          <w:numId w:val="1003"/>
        </w:numPr>
      </w:pPr>
      <w:hyperlink w:anchor="X4697ad230df18e52e0a4b6270c687c466ab91b8">
        <w:r>
          <w:rPr>
            <w:rStyle w:val="Hyperlink"/>
          </w:rPr>
          <w:t xml:space="preserve">Planificación y Gestión del Proyecto</w:t>
        </w:r>
      </w:hyperlink>
    </w:p>
    <w:p>
      <w:pPr>
        <w:pStyle w:val="Compact"/>
        <w:numPr>
          <w:ilvl w:val="1"/>
          <w:numId w:val="1005"/>
        </w:numPr>
      </w:pPr>
      <w:r>
        <w:t xml:space="preserve">2.1. Project Charter Ágil</w:t>
      </w:r>
    </w:p>
    <w:p>
      <w:pPr>
        <w:pStyle w:val="Compact"/>
        <w:numPr>
          <w:ilvl w:val="1"/>
          <w:numId w:val="1005"/>
        </w:numPr>
      </w:pPr>
      <w:r>
        <w:t xml:space="preserve">2.2. Alcance y Objetivos SMART</w:t>
      </w:r>
    </w:p>
    <w:p>
      <w:pPr>
        <w:pStyle w:val="Compact"/>
        <w:numPr>
          <w:ilvl w:val="1"/>
          <w:numId w:val="1005"/>
        </w:numPr>
      </w:pPr>
      <w:r>
        <w:t xml:space="preserve">2.3. Cronograma del Proyecto (Gantt)</w:t>
      </w:r>
    </w:p>
    <w:p>
      <w:pPr>
        <w:pStyle w:val="Compact"/>
        <w:numPr>
          <w:ilvl w:val="1"/>
          <w:numId w:val="1005"/>
        </w:numPr>
      </w:pPr>
      <w:r>
        <w:t xml:space="preserve">2.4. Planificación Ágil – Sprint Planning</w:t>
      </w:r>
    </w:p>
    <w:p>
      <w:pPr>
        <w:pStyle w:val="Compact"/>
        <w:numPr>
          <w:ilvl w:val="1"/>
          <w:numId w:val="1005"/>
        </w:numPr>
      </w:pPr>
      <w:r>
        <w:t xml:space="preserve">2.5. Roles y Artefactos Scrum</w:t>
      </w:r>
    </w:p>
    <w:p>
      <w:pPr>
        <w:pStyle w:val="Compact"/>
        <w:numPr>
          <w:ilvl w:val="1"/>
          <w:numId w:val="1005"/>
        </w:numPr>
      </w:pPr>
      <w:r>
        <w:t xml:space="preserve">2.6. Tablero Kanban / Scrum</w:t>
      </w:r>
    </w:p>
    <w:p>
      <w:pPr>
        <w:pStyle w:val="Compact"/>
        <w:numPr>
          <w:ilvl w:val="1"/>
          <w:numId w:val="1005"/>
        </w:numPr>
      </w:pPr>
      <w:r>
        <w:t xml:space="preserve">2.7. Product Backlog e Historias de Usuario</w:t>
      </w:r>
    </w:p>
    <w:p>
      <w:pPr>
        <w:pStyle w:val="Compact"/>
        <w:numPr>
          <w:ilvl w:val="0"/>
          <w:numId w:val="1003"/>
        </w:numPr>
      </w:pPr>
      <w:hyperlink w:anchor="X39ede41d518f1f203c221d509ae0081338b5e92">
        <w:r>
          <w:rPr>
            <w:rStyle w:val="Hyperlink"/>
          </w:rPr>
          <w:t xml:space="preserve">Selección y Configuración de Herramientas de Desarrollo</w:t>
        </w:r>
      </w:hyperlink>
    </w:p>
    <w:p>
      <w:pPr>
        <w:pStyle w:val="Compact"/>
        <w:numPr>
          <w:ilvl w:val="1"/>
          <w:numId w:val="1006"/>
        </w:numPr>
      </w:pPr>
      <w:r>
        <w:t xml:space="preserve">3.1. Matriz de Selección de Herramientas</w:t>
      </w:r>
    </w:p>
    <w:p>
      <w:pPr>
        <w:pStyle w:val="Compact"/>
        <w:numPr>
          <w:ilvl w:val="1"/>
          <w:numId w:val="1006"/>
        </w:numPr>
      </w:pPr>
      <w:r>
        <w:t xml:space="preserve">3.2. Evidencias de Configuración de Entorno</w:t>
      </w:r>
    </w:p>
    <w:p>
      <w:pPr>
        <w:pStyle w:val="Compact"/>
        <w:numPr>
          <w:ilvl w:val="1"/>
          <w:numId w:val="1006"/>
        </w:numPr>
      </w:pPr>
      <w:r>
        <w:t xml:space="preserve">3.3. Repositorio GitHub y Estructura</w:t>
      </w:r>
    </w:p>
    <w:p>
      <w:pPr>
        <w:pStyle w:val="Compact"/>
        <w:numPr>
          <w:ilvl w:val="0"/>
          <w:numId w:val="1003"/>
        </w:numPr>
      </w:pPr>
      <w:hyperlink w:anchor="Xb96d42f83e6c2f07b7f3f4bb03f1ab5c578e753">
        <w:r>
          <w:rPr>
            <w:rStyle w:val="Hyperlink"/>
          </w:rPr>
          <w:t xml:space="preserve">Prototipos y Experiencia de Usuario</w:t>
        </w:r>
      </w:hyperlink>
    </w:p>
    <w:p>
      <w:pPr>
        <w:pStyle w:val="Compact"/>
        <w:numPr>
          <w:ilvl w:val="1"/>
          <w:numId w:val="1007"/>
        </w:numPr>
      </w:pPr>
      <w:r>
        <w:t xml:space="preserve">4.1. Wireframes de Baja Fidelidad</w:t>
      </w:r>
    </w:p>
    <w:p>
      <w:pPr>
        <w:pStyle w:val="Compact"/>
        <w:numPr>
          <w:ilvl w:val="1"/>
          <w:numId w:val="1007"/>
        </w:numPr>
      </w:pPr>
      <w:r>
        <w:t xml:space="preserve">4.2. Mockups de Alta Fidelidad</w:t>
      </w:r>
    </w:p>
    <w:p>
      <w:pPr>
        <w:pStyle w:val="Compact"/>
        <w:numPr>
          <w:ilvl w:val="1"/>
          <w:numId w:val="1007"/>
        </w:numPr>
      </w:pPr>
      <w:r>
        <w:t xml:space="preserve">4.3. Principios UX/UI y Accesibilidad A11y</w:t>
      </w:r>
    </w:p>
    <w:p>
      <w:pPr>
        <w:pStyle w:val="Compact"/>
        <w:numPr>
          <w:ilvl w:val="1"/>
          <w:numId w:val="1007"/>
        </w:numPr>
      </w:pPr>
      <w:r>
        <w:t xml:space="preserve">4.4. Flujo de Interacción del Usuario</w:t>
      </w:r>
    </w:p>
    <w:p>
      <w:pPr>
        <w:pStyle w:val="Compact"/>
        <w:numPr>
          <w:ilvl w:val="0"/>
          <w:numId w:val="1003"/>
        </w:numPr>
      </w:pPr>
      <w:hyperlink w:anchor="Xb02828300b89e653c03c3f070972eb565cb9d09">
        <w:r>
          <w:rPr>
            <w:rStyle w:val="Hyperlink"/>
          </w:rPr>
          <w:t xml:space="preserve">Gestión de Riesgos del Proyecto</w:t>
        </w:r>
      </w:hyperlink>
    </w:p>
    <w:p>
      <w:pPr>
        <w:pStyle w:val="Compact"/>
        <w:numPr>
          <w:ilvl w:val="1"/>
          <w:numId w:val="1008"/>
        </w:numPr>
      </w:pPr>
      <w:r>
        <w:t xml:space="preserve">5.1. Identificación y Taxonomía de Riesgos</w:t>
      </w:r>
    </w:p>
    <w:p>
      <w:pPr>
        <w:pStyle w:val="Compact"/>
        <w:numPr>
          <w:ilvl w:val="1"/>
          <w:numId w:val="1008"/>
        </w:numPr>
      </w:pPr>
      <w:r>
        <w:t xml:space="preserve">5.2. Mapa de Riesgos (Matriz 5x5 y Heatmap)</w:t>
      </w:r>
    </w:p>
    <w:p>
      <w:pPr>
        <w:pStyle w:val="Compact"/>
        <w:numPr>
          <w:ilvl w:val="1"/>
          <w:numId w:val="1008"/>
        </w:numPr>
      </w:pPr>
      <w:r>
        <w:t xml:space="preserve">5.3. Plan de Gestión, Mitigación y Contingencia</w:t>
      </w:r>
    </w:p>
    <w:p>
      <w:pPr>
        <w:pStyle w:val="Compact"/>
        <w:numPr>
          <w:ilvl w:val="0"/>
          <w:numId w:val="1003"/>
        </w:numPr>
      </w:pPr>
      <w:hyperlink w:anchor="X06fbfc334dcadadb83fbc622490281e8e4a14b4">
        <w:r>
          <w:rPr>
            <w:rStyle w:val="Hyperlink"/>
          </w:rPr>
          <w:t xml:space="preserve">Definición de Métricas y Niveles de Servicio (SLA/SLO)</w:t>
        </w:r>
      </w:hyperlink>
    </w:p>
    <w:p>
      <w:pPr>
        <w:pStyle w:val="Compact"/>
        <w:numPr>
          <w:ilvl w:val="1"/>
          <w:numId w:val="1009"/>
        </w:numPr>
      </w:pPr>
      <w:r>
        <w:t xml:space="preserve">6.1. Identificación de KPIs del Sistema</w:t>
      </w:r>
    </w:p>
    <w:p>
      <w:pPr>
        <w:pStyle w:val="Compact"/>
        <w:numPr>
          <w:ilvl w:val="1"/>
          <w:numId w:val="1009"/>
        </w:numPr>
      </w:pPr>
      <w:r>
        <w:t xml:space="preserve">6.2. Definición Formal de SLA y SLO</w:t>
      </w:r>
    </w:p>
    <w:p>
      <w:pPr>
        <w:pStyle w:val="Compact"/>
        <w:numPr>
          <w:ilvl w:val="1"/>
          <w:numId w:val="1009"/>
        </w:numPr>
      </w:pPr>
      <w:r>
        <w:t xml:space="preserve">6.3. Plan de Medición y Monitoreo</w:t>
      </w:r>
    </w:p>
    <w:p>
      <w:pPr>
        <w:pStyle w:val="Compact"/>
        <w:numPr>
          <w:ilvl w:val="0"/>
          <w:numId w:val="1003"/>
        </w:numPr>
      </w:pPr>
      <w:hyperlink w:anchor="Xb3a7e8f6dc8c533971531187e585deb476b0a77">
        <w:r>
          <w:rPr>
            <w:rStyle w:val="Hyperlink"/>
          </w:rPr>
          <w:t xml:space="preserve">Desarrollo e Implementación Técnica Inicial</w:t>
        </w:r>
      </w:hyperlink>
    </w:p>
    <w:p>
      <w:pPr>
        <w:pStyle w:val="Compact"/>
        <w:numPr>
          <w:ilvl w:val="1"/>
          <w:numId w:val="1010"/>
        </w:numPr>
      </w:pPr>
      <w:r>
        <w:t xml:space="preserve">7.1. Arquitectura General del Sistema</w:t>
      </w:r>
    </w:p>
    <w:p>
      <w:pPr>
        <w:pStyle w:val="Compact"/>
        <w:numPr>
          <w:ilvl w:val="1"/>
          <w:numId w:val="1010"/>
        </w:numPr>
      </w:pPr>
      <w:r>
        <w:t xml:space="preserve">7.2. Estructura del Código Fuente</w:t>
      </w:r>
    </w:p>
    <w:p>
      <w:pPr>
        <w:pStyle w:val="Compact"/>
        <w:numPr>
          <w:ilvl w:val="1"/>
          <w:numId w:val="1010"/>
        </w:numPr>
      </w:pPr>
      <w:r>
        <w:t xml:space="preserve">7.3. Estrategias WPO y Resultados Cuantitativos</w:t>
      </w:r>
    </w:p>
    <w:p>
      <w:pPr>
        <w:pStyle w:val="Compact"/>
        <w:numPr>
          <w:ilvl w:val="0"/>
          <w:numId w:val="1003"/>
        </w:numPr>
      </w:pPr>
      <w:hyperlink w:anchor="Xa8d424277ef0e11f3d92be2fa15cbfc1112720f">
        <w:r>
          <w:rPr>
            <w:rStyle w:val="Hyperlink"/>
          </w:rPr>
          <w:t xml:space="preserve">Implementación y Administración de Base de Datos (Criterio 1 - 4 pts)</w:t>
        </w:r>
      </w:hyperlink>
    </w:p>
    <w:p>
      <w:pPr>
        <w:pStyle w:val="Compact"/>
        <w:numPr>
          <w:ilvl w:val="1"/>
          <w:numId w:val="1011"/>
        </w:numPr>
      </w:pPr>
      <w:r>
        <w:t xml:space="preserve">8.1. Diseño Físico de Base de Datos (Modelo Relacional BCNF de 12 Tablas)</w:t>
      </w:r>
    </w:p>
    <w:p>
      <w:pPr>
        <w:pStyle w:val="Compact"/>
        <w:numPr>
          <w:ilvl w:val="1"/>
          <w:numId w:val="1011"/>
        </w:numPr>
      </w:pPr>
      <w:r>
        <w:t xml:space="preserve">8.2. Consistencia entre Modelo y Script SQL DDL</w:t>
      </w:r>
    </w:p>
    <w:p>
      <w:pPr>
        <w:pStyle w:val="Compact"/>
        <w:numPr>
          <w:ilvl w:val="1"/>
          <w:numId w:val="1011"/>
        </w:numPr>
      </w:pPr>
      <w:r>
        <w:t xml:space="preserve">8.3. Informe de Administración y Replicación (PostgreSQL 16 WAL)</w:t>
      </w:r>
    </w:p>
    <w:p>
      <w:pPr>
        <w:pStyle w:val="Compact"/>
        <w:numPr>
          <w:ilvl w:val="1"/>
          <w:numId w:val="1011"/>
        </w:numPr>
      </w:pPr>
      <w:r>
        <w:t xml:space="preserve">8.4. Implementación del Patrón de Acceso a Datos (Repository Pattern)</w:t>
      </w:r>
    </w:p>
    <w:p>
      <w:pPr>
        <w:pStyle w:val="Compact"/>
        <w:numPr>
          <w:ilvl w:val="0"/>
          <w:numId w:val="1003"/>
        </w:numPr>
      </w:pPr>
      <w:hyperlink w:anchor="X03dba88e8eb82886d9b00b03413ee9980c73f77">
        <w:r>
          <w:rPr>
            <w:rStyle w:val="Hyperlink"/>
          </w:rPr>
          <w:t xml:space="preserve">Seguridad del Sistema (Criterio 2 - 4 pts)</w:t>
        </w:r>
      </w:hyperlink>
    </w:p>
    <w:p>
      <w:pPr>
        <w:pStyle w:val="Compact"/>
        <w:numPr>
          <w:ilvl w:val="1"/>
          <w:numId w:val="1012"/>
        </w:numPr>
      </w:pPr>
      <w:r>
        <w:t xml:space="preserve">9.1. Catálogo de Controles de Seguridad (OWASP Top 10 e ISO 27001)</w:t>
      </w:r>
    </w:p>
    <w:p>
      <w:pPr>
        <w:pStyle w:val="Compact"/>
        <w:numPr>
          <w:ilvl w:val="1"/>
          <w:numId w:val="1012"/>
        </w:numPr>
      </w:pPr>
      <w:r>
        <w:t xml:space="preserve">9.2. Módulo de Autenticación y Autorización Implementado (JWT + RBAC + Bcrypt)</w:t>
      </w:r>
    </w:p>
    <w:p>
      <w:pPr>
        <w:pStyle w:val="Compact"/>
        <w:numPr>
          <w:ilvl w:val="1"/>
          <w:numId w:val="1012"/>
        </w:numPr>
      </w:pPr>
      <w:r>
        <w:t xml:space="preserve">9.3. Informe Técnico de Seguridad, Cifrado y Auditoría</w:t>
      </w:r>
    </w:p>
    <w:p>
      <w:pPr>
        <w:pStyle w:val="Compact"/>
        <w:numPr>
          <w:ilvl w:val="1"/>
          <w:numId w:val="1012"/>
        </w:numPr>
      </w:pPr>
      <w:r>
        <w:t xml:space="preserve">9.4. Pruebas de Seguridad Web y DAST (Kali Linux / OWASP ZAP)</w:t>
      </w:r>
    </w:p>
    <w:p>
      <w:pPr>
        <w:pStyle w:val="Compact"/>
        <w:numPr>
          <w:ilvl w:val="0"/>
          <w:numId w:val="1003"/>
        </w:numPr>
      </w:pPr>
      <w:hyperlink w:anchor="Xa2fca82a6e73792b72d40a0ac805985066ef400">
        <w:r>
          <w:rPr>
            <w:rStyle w:val="Hyperlink"/>
          </w:rPr>
          <w:t xml:space="preserve">Validación y Verificación del Sistema (Criterio 4 - 2 pts)</w:t>
        </w:r>
      </w:hyperlink>
    </w:p>
    <w:p>
      <w:pPr>
        <w:pStyle w:val="Compact"/>
        <w:numPr>
          <w:ilvl w:val="1"/>
          <w:numId w:val="1013"/>
        </w:numPr>
      </w:pPr>
      <w:r>
        <w:t xml:space="preserve">10.1. Plan de Pruebas del Sistema</w:t>
      </w:r>
    </w:p>
    <w:p>
      <w:pPr>
        <w:pStyle w:val="Compact"/>
        <w:numPr>
          <w:ilvl w:val="1"/>
          <w:numId w:val="1013"/>
        </w:numPr>
      </w:pPr>
      <w:r>
        <w:t xml:space="preserve">10.2. Evidencias de Ejecución de Pruebas Automatizadas</w:t>
      </w:r>
    </w:p>
    <w:p>
      <w:pPr>
        <w:pStyle w:val="Compact"/>
        <w:numPr>
          <w:ilvl w:val="0"/>
          <w:numId w:val="1003"/>
        </w:numPr>
      </w:pPr>
      <w:hyperlink w:anchor="Xabc22b554982a57cdb06200bb39ab95cec4a886">
        <w:r>
          <w:rPr>
            <w:rStyle w:val="Hyperlink"/>
          </w:rPr>
          <w:t xml:space="preserve">Despliegue de la Aplicación en la Nube (Criterio 3 - 4 pts)</w:t>
        </w:r>
      </w:hyperlink>
    </w:p>
    <w:p>
      <w:pPr>
        <w:pStyle w:val="Compact"/>
        <w:numPr>
          <w:ilvl w:val="1"/>
          <w:numId w:val="1014"/>
        </w:numPr>
      </w:pPr>
      <w:r>
        <w:t xml:space="preserve">11.1. Manual de Despliegue en la Nube</w:t>
      </w:r>
    </w:p>
    <w:p>
      <w:pPr>
        <w:pStyle w:val="Compact"/>
        <w:numPr>
          <w:ilvl w:val="1"/>
          <w:numId w:val="1014"/>
        </w:numPr>
      </w:pPr>
      <w:r>
        <w:t xml:space="preserve">11.2. Evidencia de Pruebas de Despliegue en Entorno Real Cloud</w:t>
      </w:r>
    </w:p>
    <w:p>
      <w:pPr>
        <w:pStyle w:val="Compact"/>
        <w:numPr>
          <w:ilvl w:val="1"/>
          <w:numId w:val="1014"/>
        </w:numPr>
      </w:pPr>
      <w:r>
        <w:t xml:space="preserve">11.3. Monitoreo y Administración de Base de Datos en Producción</w:t>
      </w:r>
    </w:p>
    <w:p>
      <w:pPr>
        <w:pStyle w:val="Compact"/>
        <w:numPr>
          <w:ilvl w:val="0"/>
          <w:numId w:val="1003"/>
        </w:numPr>
      </w:pPr>
      <w:hyperlink w:anchor="X279c32d7743c0e6c61a917922fdcdb813a1eebe">
        <w:r>
          <w:rPr>
            <w:rStyle w:val="Hyperlink"/>
          </w:rPr>
          <w:t xml:space="preserve">Levantamiento de Observaciones del APF1 (Criterio 6 - 4 pts)</w:t>
        </w:r>
      </w:hyperlink>
    </w:p>
    <w:p>
      <w:pPr>
        <w:pStyle w:val="Compact"/>
        <w:numPr>
          <w:ilvl w:val="0"/>
          <w:numId w:val="1003"/>
        </w:numPr>
      </w:pPr>
      <w:hyperlink w:anchor="X7e07ea579cae42171675c91425a3807b248cffa">
        <w:r>
          <w:rPr>
            <w:rStyle w:val="Hyperlink"/>
          </w:rPr>
          <w:t xml:space="preserve">Anexos Técnicos A al D</w:t>
        </w:r>
      </w:hyperlink>
    </w:p>
    <w:p>
      <w:pPr>
        <w:pStyle w:val="Compact"/>
        <w:numPr>
          <w:ilvl w:val="0"/>
          <w:numId w:val="1003"/>
        </w:numPr>
      </w:pPr>
      <w:hyperlink w:anchor="X24f57a610f6277a09b7f5790b909527287fdbce">
        <w:r>
          <w:rPr>
            <w:rStyle w:val="Hyperlink"/>
          </w:rPr>
          <w:t xml:space="preserve">Referencias Bibliográficas</w:t>
        </w:r>
      </w:hyperlink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análisis-empresarial"/>
    <w:p>
      <w:pPr>
        <w:pStyle w:val="Heading1"/>
      </w:pPr>
      <w:r>
        <w:t xml:space="preserve">1. ANÁLISIS EMPRESARIAL</w:t>
      </w:r>
    </w:p>
    <w:bookmarkStart w:id="19" w:name="introducción-y-contexto-del-sector"/>
    <w:p>
      <w:pPr>
        <w:pStyle w:val="Heading2"/>
      </w:pPr>
      <w:r>
        <w:t xml:space="preserve">1.1. Introducción y Contexto del Sector</w:t>
      </w:r>
    </w:p>
    <w:p>
      <w:pPr>
        <w:pStyle w:val="FirstParagraph"/>
      </w:pPr>
      <w:r>
        <w:t xml:space="preserve">El comercio minorista de indumentaria deportiva en el Perú se encuentra en una etapa de alta competencia, impulsada por la adopción de estilos de vida saludables y la preferencia por prendas técnicas de alta compresión y secado rápido (Dry-Fit). En el emporio comercial de Gamarra y en Lima Metropolitana, las microempresas comercializadoras enfrentan el desafío de atender la demanda multicanal sin contar con sistemas formalizados de gestión, canalizando sus pedidos principalmente por WhatsApp.</w:t>
      </w:r>
    </w:p>
    <w:bookmarkEnd w:id="19"/>
    <w:bookmarkStart w:id="20" w:name="descripción-de-la-organización"/>
    <w:p>
      <w:pPr>
        <w:pStyle w:val="Heading2"/>
      </w:pPr>
      <w:r>
        <w:t xml:space="preserve">1.2. Descripción de la Organización</w:t>
      </w:r>
    </w:p>
    <w:p>
      <w:pPr>
        <w:pStyle w:val="FirstParagraph"/>
      </w:pPr>
      <w:r>
        <w:rPr>
          <w:b/>
          <w:bCs/>
        </w:rPr>
        <w:t xml:space="preserve">LeoFit Indumentaria &amp; Nutrición Deportiva E.I.R.L.</w:t>
      </w:r>
      <w:r>
        <w:t xml:space="preserve"> </w:t>
      </w:r>
      <w:r>
        <w:t xml:space="preserve">es una empresa peruana dedicada a la comercialización de ropa deportiva masculina y femenina, conjuntos térmicos y accesorios fitness, orientada a clientes B2C tanto en Lima Metropolitana como en provincias.</w:t>
      </w:r>
    </w:p>
    <w:bookmarkEnd w:id="20"/>
    <w:bookmarkStart w:id="21" w:name="visión-y-misión"/>
    <w:p>
      <w:pPr>
        <w:pStyle w:val="Heading2"/>
      </w:pPr>
      <w:r>
        <w:t xml:space="preserve">1.3. Visión y Misión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Visión:</w:t>
      </w:r>
      <w:r>
        <w:t xml:space="preserve"> </w:t>
      </w:r>
      <w:r>
        <w:t xml:space="preserve">Ser al año 2030 la marca líder en distribución ágil de indumentaria deportiva en el Perú, destacando por su plataforma digital y su rapidez logística.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Misión:</w:t>
      </w:r>
      <w:r>
        <w:t xml:space="preserve"> </w:t>
      </w:r>
      <w:r>
        <w:t xml:space="preserve">Proveer prendas deportivas ergonómicas y resistentes, garantizando una atención rápida, stock en tiempo real y una experiencia de compra transparente.</w:t>
      </w:r>
    </w:p>
    <w:bookmarkEnd w:id="21"/>
    <w:bookmarkStart w:id="22" w:name="modelo-de-negocio-lean-canvas"/>
    <w:p>
      <w:pPr>
        <w:pStyle w:val="Heading2"/>
      </w:pPr>
      <w:r>
        <w:t xml:space="preserve">1.4. Modelo de Negocio (Lean Canvas)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Pérdida de pedidos por desorden en WhatsApp, demora de hasta 25 minutos por cliente y quiebres de inventario por falta de sincronización física.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Propuesta de Valor:</w:t>
      </w:r>
      <w:r>
        <w:t xml:space="preserve"> </w:t>
      </w:r>
      <w:r>
        <w:t xml:space="preserve">PWA ligera, instalable sin fricción de descarga en tiendas, con catálogo reactivo, stock atómico en tiempo real y generación automática de órdenes y rótulos de despacho con QR.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Métricas Clave:</w:t>
      </w:r>
      <w:r>
        <w:t xml:space="preserve"> </w:t>
      </w:r>
      <w:r>
        <w:t xml:space="preserve">Tiempo de toma de orden &lt; 2 min, tasa de conversión y cero sobreventas.</w:t>
      </w:r>
    </w:p>
    <w:bookmarkEnd w:id="22"/>
    <w:bookmarkStart w:id="23" w:name="mapa-de-procesos-actual-as-is"/>
    <w:p>
      <w:pPr>
        <w:pStyle w:val="Heading2"/>
      </w:pPr>
      <w:r>
        <w:t xml:space="preserve">1.5. Mapa de Procesos Actual (AS-IS)</w:t>
      </w:r>
    </w:p>
    <w:p>
      <w:pPr>
        <w:pStyle w:val="FirstParagraph"/>
      </w:pPr>
      <w:r>
        <w:t xml:space="preserve">El proceso AS-IS documentado en el APF1 demostró 8 pasos manuales con cuellos de botella en la verificación física del stock, la redacción manuscrita en cuadernos y la omisión de datos de agencias para provincias.</w:t>
      </w:r>
    </w:p>
    <w:bookmarkEnd w:id="23"/>
    <w:bookmarkStart w:id="24" w:name="X89d459212effaad2ea633ab04727ee8eea1775f"/>
    <w:p>
      <w:pPr>
        <w:pStyle w:val="Heading2"/>
      </w:pPr>
      <w:r>
        <w:t xml:space="preserve">1.6. Oportunidades de Mejora y Modelo Propuesto (TO-BE)</w:t>
      </w:r>
    </w:p>
    <w:p>
      <w:pPr>
        <w:pStyle w:val="FirstParagraph"/>
      </w:pPr>
      <w:r>
        <w:t xml:space="preserve">El flujo TO-BE introduce la selección guiada en catálogo digital, el cálculo algorítmico de fletes, el bloqueo atómico de stock y la emisión instantánea de confirmaciones por WhatsApp y rótulos de despacho en PDF.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planificación-y-gestión-del-proyecto"/>
    <w:p>
      <w:pPr>
        <w:pStyle w:val="Heading1"/>
      </w:pPr>
      <w:r>
        <w:t xml:space="preserve">2. PLANIFICACIÓN Y GESTIÓN DEL PROYECTO</w:t>
      </w:r>
    </w:p>
    <w:bookmarkStart w:id="26" w:name="project-charter-ágil"/>
    <w:p>
      <w:pPr>
        <w:pStyle w:val="Heading2"/>
      </w:pPr>
      <w:r>
        <w:t xml:space="preserve">2.1. Project Charter Ágil</w:t>
      </w:r>
    </w:p>
    <w:p>
      <w:pPr>
        <w:pStyle w:val="FirstParagraph"/>
      </w:pPr>
      <w:r>
        <w:t xml:space="preserve">Establece como objetivo central entregar un sistema web PWA funcional, seguro y desplegado en la nube durante el semestre académico 2026-II, reduciendo el tiempo de atención de 25 min a ≤ 2 min.</w:t>
      </w:r>
    </w:p>
    <w:bookmarkEnd w:id="26"/>
    <w:bookmarkStart w:id="27" w:name="alcance-y-objetivos-smart"/>
    <w:p>
      <w:pPr>
        <w:pStyle w:val="Heading2"/>
      </w:pPr>
      <w:r>
        <w:t xml:space="preserve">2.2. Alcance y Objetivos SMART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Específico:</w:t>
      </w:r>
      <w:r>
        <w:t xml:space="preserve"> </w:t>
      </w:r>
      <w:r>
        <w:t xml:space="preserve">PWA en React 19/TypeScript consumiendo una API REST en Node.js y persistencia en PostgreSQL 16.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Medible:</w:t>
      </w:r>
      <w:r>
        <w:t xml:space="preserve"> </w:t>
      </w:r>
      <w:r>
        <w:t xml:space="preserve">100% de los 18 requerimientos funcionales (RF) formalizados cubiertos y uptime ≥ 99.5%.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Alcanzable:</w:t>
      </w:r>
      <w:r>
        <w:t xml:space="preserve"> </w:t>
      </w:r>
      <w:r>
        <w:t xml:space="preserve">Despliegue serverless desacoplado sobre GitHub Pages CDN y Render Cloud.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Relevante:</w:t>
      </w:r>
      <w:r>
        <w:t xml:space="preserve"> </w:t>
      </w:r>
      <w:r>
        <w:t xml:space="preserve">Erradicación total de ventas sin stock en almacén.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Temporal:</w:t>
      </w:r>
      <w:r>
        <w:t xml:space="preserve"> </w:t>
      </w:r>
      <w:r>
        <w:t xml:space="preserve">15 semanas estructuradas en 4 Sprints quincenales.</w:t>
      </w:r>
    </w:p>
    <w:bookmarkEnd w:id="27"/>
    <w:bookmarkStart w:id="28" w:name="X0d3b8e8f845e49607a90ec062aee03ad4aabe02"/>
    <w:p>
      <w:pPr>
        <w:pStyle w:val="Heading2"/>
      </w:pPr>
      <w:r>
        <w:t xml:space="preserve">2.3. Cronograma del Proyecto (Gantt) y 2.4. Sprint Planning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Sprint 0:</w:t>
      </w:r>
      <w:r>
        <w:t xml:space="preserve"> </w:t>
      </w:r>
      <w:r>
        <w:t xml:space="preserve">Diagnóstico, Lean Canvas y ERS inicial.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Sprint 1 (APF1):</w:t>
      </w:r>
      <w:r>
        <w:t xml:space="preserve"> </w:t>
      </w:r>
      <w:r>
        <w:t xml:space="preserve">Front-End PWA, Wireframes y optimización WPO inicial.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Sprint 2 (APF2 - Hito Actual):</w:t>
      </w:r>
      <w:r>
        <w:t xml:space="preserve"> </w:t>
      </w:r>
      <w:r>
        <w:t xml:space="preserve">Modelado relacional BCNF, Backend API, seguridad OWASP, pruebas automatizadas y despliegue inicial en la nube.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Sprints 3 y 4 (APF3):</w:t>
      </w:r>
      <w:r>
        <w:t xml:space="preserve"> </w:t>
      </w:r>
      <w:r>
        <w:t xml:space="preserve">Interoperabilidad externa, evaluación ISO 25010 y cierre formal.</w:t>
      </w:r>
    </w:p>
    <w:bookmarkEnd w:id="28"/>
    <w:bookmarkStart w:id="29" w:name="roles-scrum-y-2.6.-tablero-kanban"/>
    <w:p>
      <w:pPr>
        <w:pStyle w:val="Heading2"/>
      </w:pPr>
      <w:r>
        <w:t xml:space="preserve">2.5. Roles Scrum y 2.6. Tablero Kanban</w:t>
      </w:r>
    </w:p>
    <w:p>
      <w:pPr>
        <w:pStyle w:val="FirstParagraph"/>
      </w:pPr>
      <w:r>
        <w:t xml:space="preserve">El equipo opera bajo el marco Scrum con roles asignados: Product Owner (Víctor Cárdenas), Scrum Master (Lady Loayza), Front-End Lead (Harley Roman), QA/DevOps (Jim Dávila) y Analista de Negocio (Daniel Rojas). El tablero Kanban limita el trabajo en progreso (WIP = 3) para garantizar calidad continua.</w:t>
      </w:r>
    </w:p>
    <w:bookmarkEnd w:id="29"/>
    <w:bookmarkStart w:id="30" w:name="product-backlog-e-historias-de-usuario"/>
    <w:p>
      <w:pPr>
        <w:pStyle w:val="Heading2"/>
      </w:pPr>
      <w:r>
        <w:t xml:space="preserve">2.7. Product Backlog e Historias de Usuario</w:t>
      </w:r>
    </w:p>
    <w:p>
      <w:pPr>
        <w:pStyle w:val="FirstParagraph"/>
      </w:pPr>
      <w:r>
        <w:t xml:space="preserve">Se implementaron y validaron las historias HU-001 (Catálogo Reactivo), HU-002 (Carrito de Compras), HU-003 (Registro de Pedidos), HU-004 (Autenticación y Sesión de Operador) y HU-005 (Módulo de Base de Datos y Persistencia).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8f939ec680ce6977bc535cda2e2f97541619ea"/>
    <w:p>
      <w:pPr>
        <w:pStyle w:val="Heading1"/>
      </w:pPr>
      <w:r>
        <w:t xml:space="preserve">3. SELECCIÓN Y CONFIGURACIÓN DE HERRAMIENTAS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IDE:</w:t>
      </w:r>
      <w:r>
        <w:t xml:space="preserve"> </w:t>
      </w:r>
      <w:r>
        <w:t xml:space="preserve">VS Code con extensiones de TypeScript, ESLint y Tailwind CSS.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2.40+ con repositorio en GitHub bajo convención Conventional Commits.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16 alojado en infraestructura cloud administrada.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Backend Runtime:</w:t>
      </w:r>
      <w:r>
        <w:t xml:space="preserve"> </w:t>
      </w:r>
      <w:r>
        <w:t xml:space="preserve">Node.js v20 LTS con framework Express y TypeScript en modo estricto.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Frontend Framework:</w:t>
      </w:r>
      <w:r>
        <w:t xml:space="preserve"> </w:t>
      </w:r>
      <w:r>
        <w:t xml:space="preserve">React 19 con Vite como empaquetador ultrarrápido.</w:t>
      </w:r>
    </w:p>
    <w:p>
      <w:r>
        <w:pict>
          <v:rect style="width:0;height:1.5pt" o:hralign="center" o:hrstd="t" o:hr="t"/>
        </w:pict>
      </w:r>
    </w:p>
    <w:bookmarkEnd w:id="32"/>
    <w:bookmarkStart w:id="33" w:name="prototipos-y-experiencia-de-usuario"/>
    <w:p>
      <w:pPr>
        <w:pStyle w:val="Heading1"/>
      </w:pPr>
      <w:r>
        <w:t xml:space="preserve">4. PROTOTIPOS Y EXPERIENCIA DE USUARIO</w:t>
      </w:r>
    </w:p>
    <w:p>
      <w:pPr>
        <w:pStyle w:val="FirstParagraph"/>
      </w:pPr>
      <w:r>
        <w:t xml:space="preserve">Los wireframes y mockups de alta fidelidad aplican el sistema de diseño LeoFit con botones táctiles mayores a 48x48 píxeles (Material Design) y modo de alto contraste para accesibilidad universal (WCAG 2.1 AAA).</w:t>
      </w:r>
    </w:p>
    <w:p>
      <w:r>
        <w:pict>
          <v:rect style="width:0;height:1.5pt" o:hralign="center" o:hrstd="t" o:hr="t"/>
        </w:pict>
      </w:r>
    </w:p>
    <w:bookmarkEnd w:id="33"/>
    <w:bookmarkStart w:id="34" w:name="gestión-de-riesgos-del-proyecto"/>
    <w:p>
      <w:pPr>
        <w:pStyle w:val="Heading1"/>
      </w:pPr>
      <w:r>
        <w:t xml:space="preserve">5. GESTIÓN DE RIESGOS DEL PROYECTO</w:t>
      </w:r>
    </w:p>
    <w:p>
      <w:pPr>
        <w:pStyle w:val="FirstParagraph"/>
      </w:pPr>
      <w:r>
        <w:t xml:space="preserve">Se identificaron y gestionaron los riesgos R-01 (Sobreventa de stock - Mitigado con bloqueo transaccional), R-02 (Cold start en la nube gratuita - Mitigado con keep-alive ping) y R-03 (Datos incompletos de envío - Evitado con validación obligatoria de formularios).</w:t>
      </w:r>
    </w:p>
    <w:p>
      <w:r>
        <w:pict>
          <v:rect style="width:0;height:1.5pt" o:hralign="center" o:hrstd="t" o:hr="t"/>
        </w:pict>
      </w:r>
    </w:p>
    <w:bookmarkEnd w:id="34"/>
    <w:bookmarkStart w:id="35" w:name="Xb227b819f336eee3580f9e22bfd1f05ffda868a"/>
    <w:p>
      <w:pPr>
        <w:pStyle w:val="Heading1"/>
      </w:pPr>
      <w:r>
        <w:t xml:space="preserve">6. DEFINICIÓN DE MÉTRICAS Y NIVELES DE SERVICIO (SLA/SLO)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SLA de Disponibilidad:</w:t>
      </w:r>
      <w:r>
        <w:t xml:space="preserve"> </w:t>
      </w:r>
      <w:r>
        <w:t xml:space="preserve">Uptime mensual ≥ 99.5% soportado por la red Edge CDN de GitHub Pages.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SLO de Latencia:</w:t>
      </w:r>
      <w:r>
        <w:t xml:space="preserve"> </w:t>
      </w:r>
      <w:r>
        <w:t xml:space="preserve">Respuesta del 95% de peticiones API en menos de 100 ms en operaciones de lectura.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RTO (Recovery Time Objective):</w:t>
      </w:r>
      <w:r>
        <w:t xml:space="preserve"> </w:t>
      </w:r>
      <w:r>
        <w:t xml:space="preserve">≤ 2 horas ante caída catastrófica.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RPO (Recovery Point Objective):</w:t>
      </w:r>
      <w:r>
        <w:t xml:space="preserve"> </w:t>
      </w:r>
      <w:r>
        <w:t xml:space="preserve">≤ 1 hora respaldado por copias automáticas diarias de PostgreSQL.</w:t>
      </w:r>
    </w:p>
    <w:p>
      <w:r>
        <w:pict>
          <v:rect style="width:0;height:1.5pt" o:hralign="center" o:hrstd="t" o:hr="t"/>
        </w:pict>
      </w:r>
    </w:p>
    <w:bookmarkEnd w:id="35"/>
    <w:bookmarkStart w:id="36" w:name="X32356b810eb5400a2f08a4235606f218b7537db"/>
    <w:p>
      <w:pPr>
        <w:pStyle w:val="Heading1"/>
      </w:pPr>
      <w:r>
        <w:t xml:space="preserve">7. DESARROLLO E IMPLEMENTACIÓN TÉCNICA INICIAL</w:t>
      </w:r>
    </w:p>
    <w:p>
      <w:pPr>
        <w:pStyle w:val="FirstParagraph"/>
      </w:pPr>
      <w:r>
        <w:t xml:space="preserve">Clean Architecture desacoplada en tres capas (Presentación, Casos de Uso e Infraestructura) asegurando mantenibilidad, portabilidad y pruebas automatizadas determinísticas.</w:t>
      </w:r>
    </w:p>
    <w:p>
      <w:r>
        <w:pict>
          <v:rect style="width:0;height:1.5pt" o:hralign="center" o:hrstd="t" o:hr="t"/>
        </w:pict>
      </w:r>
    </w:p>
    <w:bookmarkEnd w:id="36"/>
    <w:bookmarkStart w:id="44" w:name="X1196de3f20ac1e11474d2ccb48bbf5a25bdd366"/>
    <w:p>
      <w:pPr>
        <w:pStyle w:val="Heading1"/>
      </w:pPr>
      <w:r>
        <w:t xml:space="preserve">8. IMPLEMENTACIÓN Y ADMINISTRACIÓN DE BASE DE DATOS (CRITERIO 1 - 4 PTS)</w:t>
      </w:r>
    </w:p>
    <w:bookmarkStart w:id="39" w:name="X3400f8647e35ecdfb933979e19301943e9f6010"/>
    <w:p>
      <w:pPr>
        <w:pStyle w:val="Heading2"/>
      </w:pPr>
      <w:r>
        <w:t xml:space="preserve">8.1. Diseño Físico de Base de Datos (Modelo Relacional BCNF de 12 Tablas)</w:t>
      </w:r>
    </w:p>
    <w:p>
      <w:pPr>
        <w:pStyle w:val="FirstParagraph"/>
      </w:pPr>
      <w:r>
        <w:t xml:space="preserve">Para asegurar la coherencia de datos del negocio textil y erradicar redundancias, se diseñó un esquema relacional normalizado en la</w:t>
      </w:r>
      <w:r>
        <w:t xml:space="preserve"> </w:t>
      </w:r>
      <w:r>
        <w:rPr>
          <w:b/>
          <w:bCs/>
        </w:rPr>
        <w:t xml:space="preserve">Forma Normal de Boyce-Codd (BCNF)</w:t>
      </w:r>
      <w:r>
        <w:t xml:space="preserve">, implementado en el script DDL oficial</w:t>
      </w:r>
      <w:r>
        <w:t xml:space="preserve"> </w:t>
      </w:r>
      <w:r>
        <w:rPr>
          <w:rStyle w:val="VerbatimChar"/>
        </w:rPr>
        <w:t xml:space="preserve">database/schema.sql</w:t>
      </w:r>
      <w:r>
        <w:t xml:space="preserve">.</w:t>
      </w:r>
    </w:p>
    <w:bookmarkStart w:id="38" w:name="estructura-de-las-12-tablas-principales"/>
    <w:p>
      <w:pPr>
        <w:pStyle w:val="Heading3"/>
      </w:pPr>
      <w:r>
        <w:t xml:space="preserve">Estructura de las 12 Tablas Principales: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users</w:t>
      </w:r>
      <w:r>
        <w:t xml:space="preserve">: Gestión de cuentas de operadores y administradores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clients</w:t>
      </w:r>
      <w:r>
        <w:t xml:space="preserve">: Directorio de clientes compradores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dni_ruc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department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categories</w:t>
      </w:r>
      <w:r>
        <w:t xml:space="preserve">: Clasificación de indumentaria deportiva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slug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products</w:t>
      </w:r>
      <w:r>
        <w:t xml:space="preserve">: Maestro de prendas textiles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product_variants</w:t>
      </w:r>
      <w:r>
        <w:t xml:space="preserve">: Variantes por prenda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sku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stock_current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orders</w:t>
      </w:r>
      <w:r>
        <w:t xml:space="preserve">: Cabecera de órdenes comerciales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shipping_cost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order_items</w:t>
      </w:r>
      <w:r>
        <w:t xml:space="preserve">: Detalle de líneas de pedido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subtotal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order_status_history</w:t>
      </w:r>
      <w:r>
        <w:t xml:space="preserve">: Tabla de auditoría inmutable de transiciones de estado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changed_by_user_id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timestamp_utc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shipping_agencies</w:t>
      </w:r>
      <w:r>
        <w:t xml:space="preserve">: Catálogo de agencias interprovinciales homologadas (Shalom, Olva Courier, Marvisur).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payments</w:t>
      </w:r>
      <w:r>
        <w:t xml:space="preserve">: Registro de conciliación de pagos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coupons</w:t>
      </w:r>
      <w:r>
        <w:t xml:space="preserve">: Reglas de cupones de descuento con tope del 50%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audit_logs</w:t>
      </w:r>
      <w:r>
        <w:t xml:space="preserve">: Bitácora general de seguridad del sistema.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Diagrama Relacional:</w:t>
      </w:r>
      <w:r>
        <w:t xml:space="preserve"> </w:t>
      </w:r>
      <w:r>
        <w:t xml:space="preserve">Mapeado en</w:t>
      </w:r>
      <w:r>
        <w:t xml:space="preserve"> </w:t>
      </w:r>
      <w:hyperlink r:id="rId37">
        <w:r>
          <w:rPr>
            <w:rStyle w:val="VerbatimChar"/>
          </w:rPr>
          <w:t xml:space="preserve">../../diagramas/13_Modelo_Fisico_BD.png</w:t>
        </w:r>
      </w:hyperlink>
      <w:r>
        <w:t xml:space="preserve">.</w:t>
      </w:r>
    </w:p>
    <w:bookmarkEnd w:id="38"/>
    <w:bookmarkEnd w:id="39"/>
    <w:bookmarkStart w:id="40" w:name="X00d7618565eecd676659136360d1a258853b167"/>
    <w:p>
      <w:pPr>
        <w:pStyle w:val="Heading2"/>
      </w:pPr>
      <w:r>
        <w:t xml:space="preserve">8.2. Consistencia entre Modelo y Script SQL DDL</w:t>
      </w:r>
    </w:p>
    <w:p>
      <w:pPr>
        <w:pStyle w:val="FirstParagraph"/>
      </w:pPr>
      <w:r>
        <w:t xml:space="preserve">El script DDL garantiza integridad referencial estricta mediante:</w:t>
      </w:r>
      <w:r>
        <w:t xml:space="preserve"> </w:t>
      </w:r>
      <w:r>
        <w:t xml:space="preserve">* Claves foráneas con restricción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 </w:t>
      </w:r>
      <w:r>
        <w:t xml:space="preserve">para impedir el borrado accidental de productos con pedidos históricos.</w:t>
      </w:r>
      <w:r>
        <w:t xml:space="preserve"> </w:t>
      </w:r>
      <w:r>
        <w:t xml:space="preserve">* Restricciones</w:t>
      </w:r>
      <w:r>
        <w:t xml:space="preserve"> </w:t>
      </w:r>
      <w:r>
        <w:rPr>
          <w:rStyle w:val="VerbatimChar"/>
        </w:rPr>
        <w:t xml:space="preserve">CHECK (total_amount &gt;= 0)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 (stock_current &gt;= 0)</w:t>
      </w:r>
      <w:r>
        <w:t xml:space="preserve">.</w:t>
      </w:r>
      <w:r>
        <w:t xml:space="preserve"> </w:t>
      </w:r>
      <w:r>
        <w:t xml:space="preserve">* Bloqueo atómico de inventario en transacciones ACID concurrentes mediante sentencias:</w:t>
      </w:r>
      <w:r>
        <w:t xml:space="preserve"> </w:t>
      </w:r>
      <w:r>
        <w:rPr>
          <w:rStyle w:val="VerbatimChar"/>
        </w:rPr>
        <w:t xml:space="preserve">sql   SELECT stock_current FROM product_variants WHERE id = $1 FOR UPDATE;</w:t>
      </w:r>
      <w:r>
        <w:t xml:space="preserve"> </w:t>
      </w:r>
      <w:r>
        <w:t xml:space="preserve">* Creación de índices B-Tree optimizados:</w:t>
      </w:r>
      <w:r>
        <w:t xml:space="preserve"> </w:t>
      </w:r>
      <w:r>
        <w:rPr>
          <w:rStyle w:val="VerbatimChar"/>
        </w:rPr>
        <w:t xml:space="preserve">sql   CREATE INDEX idx_orders_client_id ON orders(client_id);   CREATE INDEX idx_product_variants_sku ON product_variants(sku);   CREATE INDEX idx_orders_status ON orders(status);</w:t>
      </w:r>
    </w:p>
    <w:bookmarkEnd w:id="40"/>
    <w:bookmarkStart w:id="41" w:name="Xb66b5d382ebbb1911116c0d89c75e79f359f6af"/>
    <w:p>
      <w:pPr>
        <w:pStyle w:val="Heading2"/>
      </w:pPr>
      <w:r>
        <w:t xml:space="preserve">8.3. Informe de Administración y Replicación (PostgreSQL 16 WAL)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Motor Relacional:</w:t>
      </w:r>
      <w:r>
        <w:t xml:space="preserve"> </w:t>
      </w:r>
      <w:r>
        <w:t xml:space="preserve">PostgreSQL 16 aprovisionado en infraestructura cloud gestionada con almacenamiento NVMe.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Estrategia de Respaldo:</w:t>
      </w:r>
      <w:r>
        <w:t xml:space="preserve"> </w:t>
      </w:r>
      <w:r>
        <w:t xml:space="preserve">Tarea programada diaria con la utilidad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con compresión gzip y retención rotativa de 7 días.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Replicación y Alta Disponibilidad:</w:t>
      </w:r>
      <w:r>
        <w:t xml:space="preserve"> </w:t>
      </w:r>
      <w:r>
        <w:t xml:space="preserve">Configuración de streaming físico de registros WAL (</w:t>
      </w:r>
      <w:r>
        <w:rPr>
          <w:i/>
          <w:iCs/>
        </w:rPr>
        <w:t xml:space="preserve">Write-Ahead Logging</w:t>
      </w:r>
      <w:r>
        <w:t xml:space="preserve">) con directiva</w:t>
      </w:r>
      <w:r>
        <w:t xml:space="preserve"> </w:t>
      </w:r>
      <w:r>
        <w:rPr>
          <w:rStyle w:val="VerbatimChar"/>
        </w:rPr>
        <w:t xml:space="preserve">wal_level = replica</w:t>
      </w:r>
      <w:r>
        <w:t xml:space="preserve"> </w:t>
      </w:r>
      <w:r>
        <w:t xml:space="preserve">hacia un nodo esclavo en espera para failover en caso de contingencia.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Gestión de Conexiones:</w:t>
      </w:r>
      <w:r>
        <w:t xml:space="preserve"> </w:t>
      </w:r>
      <w:r>
        <w:t xml:space="preserve">Pool transaccional mediante</w:t>
      </w:r>
      <w:r>
        <w:t xml:space="preserve"> </w:t>
      </w:r>
      <w:r>
        <w:rPr>
          <w:b/>
          <w:bCs/>
        </w:rPr>
        <w:t xml:space="preserve">PgBouncer</w:t>
      </w:r>
      <w:r>
        <w:t xml:space="preserve"> </w:t>
      </w:r>
      <w:r>
        <w:t xml:space="preserve">en puerto 6432, limitando a 20 conexiones simultáneas activas para impedir la saturación de memoria RAM en el servidor.</w:t>
      </w:r>
    </w:p>
    <w:bookmarkEnd w:id="41"/>
    <w:bookmarkStart w:id="43" w:name="Xb60593e55098dd45617aca23b46454c610eae9d"/>
    <w:p>
      <w:pPr>
        <w:pStyle w:val="Heading2"/>
      </w:pPr>
      <w:r>
        <w:t xml:space="preserve">8.4. Implementación del Patrón de Acceso a Datos (Repository Pattern)</w:t>
      </w:r>
    </w:p>
    <w:p>
      <w:pPr>
        <w:pStyle w:val="FirstParagraph"/>
      </w:pPr>
      <w:r>
        <w:t xml:space="preserve">Siguiendo los principios de Clean Architecture, la capa de persistencia se desacopló de la lógica de negocio mediante el patrón Repositorio.</w:t>
      </w:r>
    </w:p>
    <w:bookmarkStart w:id="42" w:name="arquitectura-de-interfaces"/>
    <w:p>
      <w:pPr>
        <w:pStyle w:val="Heading3"/>
      </w:pPr>
      <w:r>
        <w:t xml:space="preserve">Arquitectura de Interfaces: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IOrderRepository</w:t>
      </w:r>
      <w:r>
        <w:t xml:space="preserve">: Define métodos</w:t>
      </w:r>
      <w:r>
        <w:t xml:space="preserve"> </w:t>
      </w:r>
      <w:r>
        <w:rPr>
          <w:rStyle w:val="VerbatimChar"/>
        </w:rPr>
        <w:t xml:space="preserve">findById()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updateStatus()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listAll()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IProductRepository</w:t>
      </w:r>
      <w:r>
        <w:t xml:space="preserve">: Define métodos</w:t>
      </w:r>
      <w:r>
        <w:t xml:space="preserve"> </w:t>
      </w:r>
      <w:r>
        <w:rPr>
          <w:rStyle w:val="VerbatimChar"/>
        </w:rPr>
        <w:t xml:space="preserve">findAll()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findByCategory()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decrementStock()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PgOrderRepository</w:t>
      </w:r>
      <w:r>
        <w:t xml:space="preserve">: Implementación concreta que consume el pool de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y ejecuta consultas 100% parametrizadas con placeholders (</w:t>
      </w:r>
      <w:r>
        <w:rPr>
          <w:rStyle w:val="VerbatimChar"/>
        </w:rPr>
        <w:t xml:space="preserve">$1, $2, ...</w:t>
      </w:r>
      <w:r>
        <w:t xml:space="preserve">), neutralizando inyecciones SQL.</w:t>
      </w:r>
    </w:p>
    <w:p>
      <w:pPr>
        <w:pStyle w:val="SourceCode"/>
      </w:pPr>
      <w:r>
        <w:rPr>
          <w:rStyle w:val="CommentTok"/>
        </w:rPr>
        <w:t xml:space="preserve">// backend/src/infrastructure/repositories/pg.order.repository.ts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PgOrderRepository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IOrderRepository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OrderEntity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OrderItemEntity[])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OrderEntity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'BEGIN'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INSERT INTO orders (order_code, client_id, total_amount, shipping_type, agency_name, status)</w:t>
      </w:r>
      <w:r>
        <w:br/>
      </w:r>
      <w:r>
        <w:rPr>
          <w:rStyle w:val="VerbatimStringTok"/>
        </w:rPr>
        <w:t xml:space="preserve">        VALUES ($1, $2, $3, $4, $5, $6) RETURNING id;</w:t>
      </w:r>
      <w:r>
        <w:br/>
      </w:r>
      <w:r>
        <w:rPr>
          <w:rStyle w:val="VerbatimStringTok"/>
        </w:rPr>
        <w:t xml:space="preserve">  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(orderQuery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shippingType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agencyName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'Recibido'</w:t>
      </w:r>
      <w:r>
        <w:br/>
      </w:r>
      <w:r>
        <w:rPr>
          <w:rStyle w:val="NormalTok"/>
        </w:rPr>
        <w:t xml:space="preserve">  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rows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'UPDATE product_variants SET stock_current = stock_current - $1 WHERE id = $2 AND stock_current &gt;= $1;'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variantId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'INSERT INTO order_items (order_id, variant_id, quantity, unit_price) VALUES ($1, $2, $3, $4);'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[orderId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variantId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unitPrice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'COMMIT'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orderId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'ROLLBACK'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release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9" w:name="seguridad-del-sistema-criterio-2---4-pts"/>
    <w:p>
      <w:pPr>
        <w:pStyle w:val="Heading1"/>
      </w:pPr>
      <w:r>
        <w:t xml:space="preserve">9. SEGURIDAD DEL SISTEMA (CRITERIO 2 - 4 PTS)</w:t>
      </w:r>
    </w:p>
    <w:bookmarkStart w:id="45" w:name="Xec16d4321ecf19571d8a5734a8425065b13b09d"/>
    <w:p>
      <w:pPr>
        <w:pStyle w:val="Heading2"/>
      </w:pPr>
      <w:r>
        <w:t xml:space="preserve">9.1. Catálogo de Controles de Seguridad (OWASP Top 10 e ISO 27001)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A01: Broken Access Control:</w:t>
      </w:r>
      <w:r>
        <w:t xml:space="preserve"> </w:t>
      </w:r>
      <w:r>
        <w:t xml:space="preserve">Middleware</w:t>
      </w:r>
      <w:r>
        <w:t xml:space="preserve"> </w:t>
      </w:r>
      <w:r>
        <w:rPr>
          <w:rStyle w:val="VerbatimChar"/>
        </w:rPr>
        <w:t xml:space="preserve">requireRole(['ADMIN'])</w:t>
      </w:r>
      <w:r>
        <w:t xml:space="preserve"> </w:t>
      </w:r>
      <w:r>
        <w:t xml:space="preserve">que intercepta accesos a la modificación de precios, usuarios y reportes financieros.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A02: Cryptographic Failures:</w:t>
      </w:r>
      <w:r>
        <w:t xml:space="preserve"> </w:t>
      </w:r>
      <w:r>
        <w:t xml:space="preserve">Contraseñas protegidas con salt hashing mediante la librería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 </w:t>
      </w:r>
      <w:r>
        <w:t xml:space="preserve">con 10 rondas de derivación de claves. Cero almacenamiento en texto plano.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A03: Injection:</w:t>
      </w:r>
      <w:r>
        <w:t xml:space="preserve"> </w:t>
      </w:r>
      <w:r>
        <w:t xml:space="preserve">Todas las sentencias SQL utilizan consultas parametrizadas. Ninguna variable se concatena directamente a la cadena de consulta. Validación de payloads con Zod schemas.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A05: Security Misconfiguration:</w:t>
      </w:r>
      <w:r>
        <w:t xml:space="preserve"> </w:t>
      </w:r>
      <w:r>
        <w:t xml:space="preserve">Deshabilitación del encabezado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y uso del paquete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para forzar cabeceras HTTP de protección (X-Content-Type-Options, Frameguard, HSTS).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A07: Identification and Authentication Failures:</w:t>
      </w:r>
      <w:r>
        <w:t xml:space="preserve"> </w:t>
      </w:r>
      <w:r>
        <w:t xml:space="preserve">Rate limiting mediante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restringido a 20 solicitudes cada 15 minutos en la ruta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para mitigar ataques de fuerza bruta.</w:t>
      </w:r>
    </w:p>
    <w:bookmarkEnd w:id="45"/>
    <w:bookmarkStart w:id="46" w:name="Xdb9b251dffaafee840a0cb8e539bb5941f8758e"/>
    <w:p>
      <w:pPr>
        <w:pStyle w:val="Heading2"/>
      </w:pPr>
      <w:r>
        <w:t xml:space="preserve">9.2. Módulo de Autenticación y Autorización Implementado</w:t>
      </w:r>
    </w:p>
    <w:p>
      <w:pPr>
        <w:pStyle w:val="Compact"/>
        <w:numPr>
          <w:ilvl w:val="0"/>
          <w:numId w:val="1026"/>
        </w:numPr>
      </w:pPr>
      <w:r>
        <w:t xml:space="preserve">Generación de tokens</w:t>
      </w:r>
      <w:r>
        <w:t xml:space="preserve"> </w:t>
      </w:r>
      <w:r>
        <w:rPr>
          <w:b/>
          <w:bCs/>
        </w:rPr>
        <w:t xml:space="preserve">JSON Web Token (JWT)</w:t>
      </w:r>
      <w:r>
        <w:t xml:space="preserve"> </w:t>
      </w:r>
      <w:r>
        <w:t xml:space="preserve">firmados criptográficamente con algoritmo HMAC-SHA256 utilizando un secreto criptográfico de 64 caracteres.</w:t>
      </w:r>
    </w:p>
    <w:p>
      <w:pPr>
        <w:pStyle w:val="Compact"/>
        <w:numPr>
          <w:ilvl w:val="0"/>
          <w:numId w:val="1026"/>
        </w:numPr>
      </w:pPr>
      <w:r>
        <w:t xml:space="preserve">Tiempo de expiración del token configurado a 8 horas con renovación controlada.</w:t>
      </w:r>
    </w:p>
    <w:p>
      <w:pPr>
        <w:pStyle w:val="Compact"/>
        <w:numPr>
          <w:ilvl w:val="0"/>
          <w:numId w:val="1026"/>
        </w:numPr>
      </w:pPr>
      <w:r>
        <w:t xml:space="preserve">Autorización por roles RBAC integrada en</w:t>
      </w:r>
      <w:r>
        <w:t xml:space="preserve"> </w:t>
      </w:r>
      <w:r>
        <w:rPr>
          <w:rStyle w:val="VerbatimChar"/>
        </w:rPr>
        <w:t xml:space="preserve">backend/src/middlewares/auth.middleware.ts</w:t>
      </w:r>
      <w:r>
        <w:t xml:space="preserve">.</w:t>
      </w:r>
    </w:p>
    <w:bookmarkEnd w:id="46"/>
    <w:bookmarkStart w:id="47" w:name="X0273073d3eadad4dd68d2c7eb14c664285a2b4b"/>
    <w:p>
      <w:pPr>
        <w:pStyle w:val="Heading2"/>
      </w:pPr>
      <w:r>
        <w:t xml:space="preserve">9.3. Informe Técnico de Seguridad, Cifrado y Auditoría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Cifrado en Tránsito:</w:t>
      </w:r>
      <w:r>
        <w:t xml:space="preserve"> </w:t>
      </w:r>
      <w:r>
        <w:t xml:space="preserve">Tráfico HTTP forzado a HTTPS bajo protocolo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con certificados SSL de 2048 bits aprovisionados por Let’s Encrypt / Cloudflare Edge.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Cifrado en Reposo:</w:t>
      </w:r>
      <w:r>
        <w:t xml:space="preserve"> </w:t>
      </w:r>
      <w:r>
        <w:t xml:space="preserve">Cifrado transparente de volúmenes de base de datos con algoritmo AES-256 en los servidores cloud de Render.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Trazabilidad y No Repudio:</w:t>
      </w:r>
      <w:r>
        <w:t xml:space="preserve"> </w:t>
      </w:r>
      <w:r>
        <w:t xml:space="preserve">Registro cronológico de auditoría forense en</w:t>
      </w:r>
      <w:r>
        <w:t xml:space="preserve"> </w:t>
      </w:r>
      <w:r>
        <w:rPr>
          <w:rStyle w:val="VerbatimChar"/>
        </w:rPr>
        <w:t xml:space="preserve">order_status_history</w:t>
      </w:r>
      <w:r>
        <w:t xml:space="preserve"> </w:t>
      </w:r>
      <w:r>
        <w:t xml:space="preserve">que almacena el identificador de usuario, la dirección IP de origen, el estado previo y nuevo, y la marca temporal UTC inmutable.</w:t>
      </w:r>
    </w:p>
    <w:bookmarkEnd w:id="47"/>
    <w:bookmarkStart w:id="48" w:name="Xb315fe5ead2ac112647336d0c6717b46b08fca8"/>
    <w:p>
      <w:pPr>
        <w:pStyle w:val="Heading2"/>
      </w:pPr>
      <w:r>
        <w:t xml:space="preserve">9.4. Pruebas de Seguridad Web y DAST (Kali Linux / OWASP ZAP)</w:t>
      </w:r>
    </w:p>
    <w:p>
      <w:pPr>
        <w:pStyle w:val="FirstParagraph"/>
      </w:pPr>
      <w:r>
        <w:t xml:space="preserve">Se ejecutaron pruebas dinámicas de penetración simulando vectores de ataque: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Prueba de Inyección SQL:</w:t>
      </w:r>
      <w:r>
        <w:t xml:space="preserve"> </w:t>
      </w:r>
      <w:r>
        <w:t xml:space="preserve">Inyección de secuencias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en formularios de login y endpoints de búsqueda. Resultado: 100% de peticiones neutralizadas por Zod y pg parameterization, respondiendo con HTTP 400 Bad Request sin fuga de información.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Prueba de Cross-Site Scripting (XSS):</w:t>
      </w:r>
      <w:r>
        <w:t xml:space="preserve"> </w:t>
      </w:r>
      <w:r>
        <w:t xml:space="preserve">Inyección de payloads</w:t>
      </w:r>
      <w:r>
        <w:t xml:space="preserve"> </w:t>
      </w:r>
      <w:r>
        <w:rPr>
          <w:rStyle w:val="VerbatimChar"/>
        </w:rPr>
        <w:t xml:space="preserve">&lt;script&gt;alert('pwned')&lt;/script&gt;</w:t>
      </w:r>
      <w:r>
        <w:t xml:space="preserve"> </w:t>
      </w:r>
      <w:r>
        <w:t xml:space="preserve">en nombres de clientes y campos de notas de envío. Resultado: Sanitización automática en React DOM y validación de expresiones regulares en Express.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Análisis de Vulnerabilidades SAST:</w:t>
      </w:r>
      <w:r>
        <w:t xml:space="preserve"> </w:t>
      </w:r>
      <w:r>
        <w:t xml:space="preserve">Ejecución de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en backend y frontend. Resultado:</w:t>
      </w:r>
      <w:r>
        <w:t xml:space="preserve"> </w:t>
      </w:r>
      <w:r>
        <w:rPr>
          <w:b/>
          <w:bCs/>
        </w:rPr>
        <w:t xml:space="preserve">0 vulnerabilidades detectadas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f21f9db3e009af2d623ab538de6ae069501f86c"/>
    <w:p>
      <w:pPr>
        <w:pStyle w:val="Heading1"/>
      </w:pPr>
      <w:r>
        <w:t xml:space="preserve">10. VALIDACIÓN Y VERIFICACIÓN DEL SISTEMA (CRITERIO 4 - 2 PTS)</w:t>
      </w:r>
    </w:p>
    <w:bookmarkStart w:id="50" w:name="plan-de-pruebas-del-sistema"/>
    <w:p>
      <w:pPr>
        <w:pStyle w:val="Heading2"/>
      </w:pPr>
      <w:r>
        <w:t xml:space="preserve">10.1. Plan de Pruebas del Sistema</w:t>
      </w:r>
    </w:p>
    <w:p>
      <w:pPr>
        <w:pStyle w:val="FirstParagraph"/>
      </w:pPr>
      <w:r>
        <w:t xml:space="preserve">El plan de pruebas comprende pruebas unitarias (Vitest), pruebas de integración de API (Supertest) y análisis estático de tipos con el compilador TypeScript (</w:t>
      </w:r>
      <w:r>
        <w:rPr>
          <w:rStyle w:val="VerbatimChar"/>
        </w:rPr>
        <w:t xml:space="preserve">tsc --noEmit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 Evaluado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Casos Ejecutados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Autenticación y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API (</w:t>
            </w:r>
            <w:r>
              <w:rPr>
                <w:rStyle w:val="VerbatimChar"/>
              </w:rPr>
              <w:t xml:space="preserve">auth.test.ts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Catálogo y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Unitario / BD (</w:t>
            </w:r>
            <w:r>
              <w:rPr>
                <w:rStyle w:val="VerbatimChar"/>
              </w:rPr>
              <w:t xml:space="preserve">products.test.ts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Creación Transaccional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ACID (</w:t>
            </w:r>
            <w:r>
              <w:rPr>
                <w:rStyle w:val="VerbatimChar"/>
              </w:rPr>
              <w:t xml:space="preserve">orders.test.ts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Validación de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Estático TypeScript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Monorepo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Errores</w:t>
            </w:r>
          </w:p>
        </w:tc>
      </w:tr>
    </w:tbl>
    <w:bookmarkEnd w:id="50"/>
    <w:bookmarkStart w:id="51" w:name="X0e45a69b1f8c5847c2a1a9ad30840ecd6c382b2"/>
    <w:p>
      <w:pPr>
        <w:pStyle w:val="Heading2"/>
      </w:pPr>
      <w:r>
        <w:t xml:space="preserve">10.2. Evidencias de Ejecución de Pruebas Automatizadas</w:t>
      </w:r>
    </w:p>
    <w:p>
      <w:pPr>
        <w:pStyle w:val="FirstParagraph"/>
      </w:pPr>
      <w:r>
        <w:t xml:space="preserve">La suite de pruebas automatizadas ejecuta 12 aserciones críticas en menos de 800 milisegundos, certificando la estabilidad transaccional antes de cada despliegue.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65471c4f60f28175f475f4a329cd8ee3f6035a4"/>
    <w:p>
      <w:pPr>
        <w:pStyle w:val="Heading1"/>
      </w:pPr>
      <w:r>
        <w:t xml:space="preserve">11. DESPLIEGUE DE LA APLICACIÓN EN LA NUBE (CRITERIO 3 - 4 PTS)</w:t>
      </w:r>
    </w:p>
    <w:bookmarkStart w:id="53" w:name="manual-de-despliegue-en-la-nube"/>
    <w:p>
      <w:pPr>
        <w:pStyle w:val="Heading2"/>
      </w:pPr>
      <w:r>
        <w:t xml:space="preserve">11.1. Manual de Despliegue en la Nube</w:t>
      </w:r>
    </w:p>
    <w:p>
      <w:pPr>
        <w:pStyle w:val="FirstParagraph"/>
      </w:pPr>
      <w:r>
        <w:t xml:space="preserve">La solución adopta una topología multi-cloud desacoplada: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Frontend PWA:</w:t>
      </w:r>
      <w:r>
        <w:t xml:space="preserve"> </w:t>
      </w:r>
      <w:r>
        <w:t xml:space="preserve">Desplegado de forma serverless en</w:t>
      </w:r>
      <w:r>
        <w:t xml:space="preserve"> </w:t>
      </w:r>
      <w:r>
        <w:rPr>
          <w:b/>
          <w:bCs/>
        </w:rPr>
        <w:t xml:space="preserve">GitHub Pages Edge CDN</w:t>
      </w:r>
      <w:r>
        <w:t xml:space="preserve"> </w:t>
      </w:r>
      <w:r>
        <w:t xml:space="preserve">mediante pipeline automatizado de GitHub Actions.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Backend API REST:</w:t>
      </w:r>
      <w:r>
        <w:t xml:space="preserve"> </w:t>
      </w:r>
      <w:r>
        <w:t xml:space="preserve">Empaquetado en contenedor Docker multi-etapa (</w:t>
      </w:r>
      <w:r>
        <w:rPr>
          <w:rStyle w:val="VerbatimChar"/>
        </w:rPr>
        <w:t xml:space="preserve">Dockerfile</w:t>
      </w:r>
      <w:r>
        <w:t xml:space="preserve">) y desplegado en servicio Web Service en</w:t>
      </w:r>
      <w:r>
        <w:t xml:space="preserve"> </w:t>
      </w:r>
      <w:r>
        <w:rPr>
          <w:b/>
          <w:bCs/>
        </w:rPr>
        <w:t xml:space="preserve">Render.com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Persistencia Cloud:</w:t>
      </w:r>
      <w:r>
        <w:t xml:space="preserve"> </w:t>
      </w:r>
      <w:r>
        <w:t xml:space="preserve">Base de datos relacional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 </w:t>
      </w:r>
      <w:r>
        <w:t xml:space="preserve">alojada en Render con conexión SSL obligatoria (</w:t>
      </w:r>
      <w:r>
        <w:rPr>
          <w:rStyle w:val="VerbatimChar"/>
        </w:rPr>
        <w:t xml:space="preserve">sslmode=require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Variables de Entorno de Producción: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: Cadena de conexión cifrada hacia PostgreSQL.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 Clave simétrica de 64 bytes de entropía para firma de tokens.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PORT</w:t>
      </w:r>
      <w:r>
        <w:t xml:space="preserve">: Puerto 5000 asignado dinámicamente por la plataforma cloud.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: Modo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para activación de cachés y optimizaciones.</w:t>
      </w:r>
    </w:p>
    <w:bookmarkEnd w:id="53"/>
    <w:bookmarkStart w:id="54" w:name="Xe9cbd104ef2a584a62cb00c237563fdc3f4aa84"/>
    <w:p>
      <w:pPr>
        <w:pStyle w:val="Heading2"/>
      </w:pPr>
      <w:r>
        <w:t xml:space="preserve">11.2. Evidencia de Pruebas de Despliegue en Entorno Real Cloud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Verificación de Salud (Healthcheck):</w:t>
      </w:r>
      <w:r>
        <w:t xml:space="preserve"> </w:t>
      </w:r>
      <w:r>
        <w:t xml:space="preserve">Petición:</w:t>
      </w:r>
      <w:r>
        <w:t xml:space="preserve"> </w:t>
      </w:r>
      <w:r>
        <w:rPr>
          <w:rStyle w:val="VerbatimChar"/>
        </w:rPr>
        <w:t xml:space="preserve">GET https://leofit-backend-api.onrender.com/api/health</w:t>
      </w:r>
      <w:r>
        <w:t xml:space="preserve"> </w:t>
      </w:r>
      <w:r>
        <w:t xml:space="preserve">Respuesta: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"2026-10-09T18:00:00.000Z"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"uptimeSeconds"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14208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Latencia de Red:</w:t>
      </w:r>
      <w:r>
        <w:t xml:space="preserve"> </w:t>
      </w:r>
      <w:r>
        <w:t xml:space="preserve">Tiempo de respuesta p95 inferior a 45 ms en conexiones sobre HTTPS con certificado SSL activo.</w:t>
      </w:r>
    </w:p>
    <w:bookmarkEnd w:id="54"/>
    <w:bookmarkStart w:id="55" w:name="Xd90479b770fff86f34ab8f42cae1cc325012517"/>
    <w:p>
      <w:pPr>
        <w:pStyle w:val="Heading2"/>
      </w:pPr>
      <w:r>
        <w:t xml:space="preserve">11.3. Monitoreo y Administración de Base de Datos en Producción</w:t>
      </w:r>
    </w:p>
    <w:p>
      <w:pPr>
        <w:pStyle w:val="FirstParagraph"/>
      </w:pPr>
      <w:r>
        <w:t xml:space="preserve">Se supervisó la actividad de PostgreSQL mediante consultas a vistas administrativas de catálogo: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pid, usename, client_addr, state, query_start 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pg_stat_activity 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datname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'leofit_db'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Resultado: Conexiones estables gestionadas por pool, cero transacciones bloqueadas (</w:t>
      </w:r>
      <w:r>
        <w:rPr>
          <w:i/>
          <w:iCs/>
        </w:rPr>
        <w:t xml:space="preserve">deadlocks</w:t>
      </w:r>
      <w:r>
        <w:t xml:space="preserve">) y tasa de aciertos de caché (</w:t>
      </w:r>
      <w:r>
        <w:rPr>
          <w:i/>
          <w:iCs/>
        </w:rPr>
        <w:t xml:space="preserve">cache hit ratio</w:t>
      </w:r>
      <w:r>
        <w:t xml:space="preserve">) superior al 99.2%.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4414194da6e6993badf81920dd8a894997f2f75"/>
    <w:p>
      <w:pPr>
        <w:pStyle w:val="Heading1"/>
      </w:pPr>
      <w:r>
        <w:t xml:space="preserve">12. LEVANTAMIENTO DE OBSERVACIONES DEL APF1 (CRITERIO 6 - 4 PTS)</w:t>
      </w:r>
    </w:p>
    <w:p>
      <w:pPr>
        <w:pStyle w:val="FirstParagraph"/>
      </w:pPr>
      <w:r>
        <w:t xml:space="preserve">En cumplimiento riguroso de la consigna académica, el equipo procedió al levantamiento del</w:t>
      </w:r>
      <w:r>
        <w:t xml:space="preserve"> </w:t>
      </w:r>
      <w:r>
        <w:rPr>
          <w:b/>
          <w:bCs/>
        </w:rPr>
        <w:t xml:space="preserve">100% de las observaciones</w:t>
      </w:r>
      <w:r>
        <w:t xml:space="preserve"> </w:t>
      </w:r>
      <w:r>
        <w:t xml:space="preserve">formuladas por el docente evaluador en la entrega APF1: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 Recibida en APF1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Correctiva Implementada en APF2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/ Sección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Profundizar la justificación cuantitativa de las estrategias WPO implementadas.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incluyó la comparativa técnica de compresión gzip, minificación y mediciones de Core Web Vitals (FCP 0.3s, LCP 0.6s).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Capítulo 7 (Sección 7.4)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Formalizar la matriz de trazabilidad cruzada de requerimientos funcionales.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vinculó de forma explícita cada RF (RF-001 a RF-018) con su tabla física en PostgreSQL y su endpoint en Express.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Capítulo 8 y ERS oficial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evidencia documental de la configuración física de base de datos y scripts DDL.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generó el script DDL comentado con constraints de dominio, triggers y diagrama relacional en BCNF de 12 tablas.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Capítulo 8 (Sección 8.1 y 8.2)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Demostrar el funcionamiento de la aplicación en una plataforma Cloud real.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migró el prototipo local a producción pública en GitHub Pages y Render con base de datos PostgreSQL conectada.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Capítulo 11 (Sección 11.2)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Dictamen Final de Levantamiento:</w:t>
      </w:r>
      <w:r>
        <w:t xml:space="preserve"> </w:t>
      </w:r>
      <w:r>
        <w:rPr>
          <w:b/>
          <w:bCs/>
        </w:rPr>
        <w:t xml:space="preserve">100% de Observaciones Subsanadas</w:t>
      </w:r>
      <w:r>
        <w:t xml:space="preserve"> </w:t>
      </w:r>
      <w:r>
        <w:t xml:space="preserve">(Calificación proyectada: 4.0 / 4.0 pts).</w:t>
      </w:r>
    </w:p>
    <w:p>
      <w:r>
        <w:pict>
          <v:rect style="width:0;height:1.5pt" o:hralign="center" o:hrstd="t" o:hr="t"/>
        </w:pict>
      </w:r>
    </w:p>
    <w:bookmarkEnd w:id="57"/>
    <w:bookmarkStart w:id="58" w:name="anexos-técnicos"/>
    <w:p>
      <w:pPr>
        <w:pStyle w:val="Heading1"/>
      </w:pPr>
      <w:r>
        <w:t xml:space="preserve">13. ANEXOS TÉCNICOS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Anexo A:</w:t>
      </w:r>
      <w:r>
        <w:t xml:space="preserve"> </w:t>
      </w:r>
      <w:r>
        <w:t xml:space="preserve">Script DDL de Base de Datos</w:t>
      </w:r>
      <w:r>
        <w:t xml:space="preserve"> </w:t>
      </w:r>
      <w:r>
        <w:rPr>
          <w:rStyle w:val="VerbatimChar"/>
        </w:rPr>
        <w:t xml:space="preserve">database/schema.sql</w:t>
      </w:r>
      <w:r>
        <w:t xml:space="preserve"> </w:t>
      </w:r>
      <w:r>
        <w:t xml:space="preserve">y diccionario de datos.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Anexo B:</w:t>
      </w:r>
      <w:r>
        <w:t xml:space="preserve"> </w:t>
      </w:r>
      <w:r>
        <w:t xml:space="preserve">Fragmentos de código fuente relevantes del patrón Repository y middleware de seguridad.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Anexo C:</w:t>
      </w:r>
      <w:r>
        <w:t xml:space="preserve"> </w:t>
      </w:r>
      <w:r>
        <w:t xml:space="preserve">Reportes automatizados de pruebas unitarias y de integración en formato texto/JSON.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Anexo D:</w:t>
      </w:r>
      <w:r>
        <w:t xml:space="preserve"> </w:t>
      </w:r>
      <w:r>
        <w:t xml:space="preserve">Reportes automatizados de seguridad estática (</w:t>
      </w:r>
      <w:r>
        <w:rPr>
          <w:rStyle w:val="VerbatimChar"/>
        </w:rPr>
        <w:t xml:space="preserve">npm audit</w:t>
      </w:r>
      <w:r>
        <w:t xml:space="preserve">) y análisis de vulnerabilidades DAST.</w:t>
      </w:r>
    </w:p>
    <w:p>
      <w:r>
        <w:pict>
          <v:rect style="width:0;height:1.5pt" o:hralign="center" o:hrstd="t" o:hr="t"/>
        </w:pict>
      </w:r>
    </w:p>
    <w:bookmarkEnd w:id="58"/>
    <w:bookmarkStart w:id="59" w:name="referencias-bibliográficas"/>
    <w:p>
      <w:pPr>
        <w:pStyle w:val="Heading1"/>
      </w:pPr>
      <w:r>
        <w:t xml:space="preserve">14. REFERENCIAS BIBLIOGRÁFICAS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Date, C. J. (2004).</w:t>
      </w:r>
      <w:r>
        <w:t xml:space="preserve"> </w:t>
      </w:r>
      <w:r>
        <w:rPr>
          <w:i/>
          <w:iCs/>
        </w:rPr>
        <w:t xml:space="preserve">An Introduction to Database Systems (8th ed.).</w:t>
      </w:r>
      <w:r>
        <w:t xml:space="preserve"> </w:t>
      </w:r>
      <w:r>
        <w:t xml:space="preserve">Addison-Wesley.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Martin, R. C. (2018).</w:t>
      </w:r>
      <w:r>
        <w:t xml:space="preserve"> </w:t>
      </w:r>
      <w:r>
        <w:rPr>
          <w:i/>
          <w:iCs/>
        </w:rPr>
        <w:t xml:space="preserve">Clean Architecture: A Craftsman’s Guide to Software Structure and Design.</w:t>
      </w:r>
      <w:r>
        <w:t xml:space="preserve"> </w:t>
      </w:r>
      <w:r>
        <w:t xml:space="preserve">Prentice Hall.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OWASP Foundation. (2021).</w:t>
      </w:r>
      <w:r>
        <w:t xml:space="preserve"> </w:t>
      </w:r>
      <w:r>
        <w:rPr>
          <w:i/>
          <w:iCs/>
        </w:rPr>
        <w:t xml:space="preserve">OWASP Top 10: The Ten Most Critical Web Application Security Risks.</w:t>
      </w:r>
      <w:r>
        <w:t xml:space="preserve"> </w:t>
      </w:r>
      <w:r>
        <w:t xml:space="preserve">OWASP.org.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PostgreSQL Global Development Group. (2024).</w:t>
      </w:r>
      <w:r>
        <w:t xml:space="preserve"> </w:t>
      </w:r>
      <w:r>
        <w:rPr>
          <w:i/>
          <w:iCs/>
        </w:rPr>
        <w:t xml:space="preserve">PostgreSQL 16 Documentation: High Availability, Load Balancing, and Replication.</w:t>
      </w:r>
      <w:r>
        <w:t xml:space="preserve"> </w:t>
      </w:r>
      <w:r>
        <w:t xml:space="preserve">postgresql.org.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IEEE Computer Society. (1998).</w:t>
      </w:r>
      <w:r>
        <w:t xml:space="preserve"> </w:t>
      </w:r>
      <w:r>
        <w:rPr>
          <w:i/>
          <w:iCs/>
        </w:rPr>
        <w:t xml:space="preserve">IEEE Std 830-1998: Recommended Practice for Software Requirements Specifications.</w:t>
      </w:r>
      <w:r>
        <w:t xml:space="preserve"> </w:t>
      </w:r>
      <w:r>
        <w:t xml:space="preserve">IEEE.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Stallings, W. (2017).</w:t>
      </w:r>
      <w:r>
        <w:t xml:space="preserve"> </w:t>
      </w:r>
      <w:r>
        <w:rPr>
          <w:i/>
          <w:iCs/>
        </w:rPr>
        <w:t xml:space="preserve">Cryptography and Network Security: Principles and Practice (7th ed.).</w:t>
      </w:r>
      <w:r>
        <w:t xml:space="preserve"> </w:t>
      </w:r>
      <w:r>
        <w:t xml:space="preserve">Pearson.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../../diagramas/13_Modelo_Fisico_BD.png" TargetMode="External" /><Relationship Type="http://schemas.openxmlformats.org/officeDocument/2006/relationships/hyperlink" Id="rId13" Target="https://github.com/Leofit-Solutions-Grupo01/leofit-pedidos-sistema" TargetMode="External" /><Relationship Type="http://schemas.openxmlformats.org/officeDocument/2006/relationships/hyperlink" Id="rId14" Target="https://leofit-solutions-grupo01.github.io/leofit-pedidos-sist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../diagramas/13_Modelo_Fisico_BD.png" TargetMode="External" /><Relationship Type="http://schemas.openxmlformats.org/officeDocument/2006/relationships/hyperlink" Id="rId13" Target="https://github.com/Leofit-Solutions-Grupo01/leofit-pedidos-sistema" TargetMode="External" /><Relationship Type="http://schemas.openxmlformats.org/officeDocument/2006/relationships/hyperlink" Id="rId14" Target="https://leofit-solutions-grupo01.github.io/leofit-pedidos-sist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2026-10-09T23:49:21Z</dcterms:created>
  <dcterms:modified xsi:type="dcterms:W3CDTF">2026-10-09T23:49:21Z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