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universidad-tecnológica-del-perú"/>
    <w:p>
      <w:pPr>
        <w:pStyle w:val="Heading1"/>
      </w:pPr>
      <w:r>
        <w:t xml:space="preserve">UNIVERSIDAD TECNOLÓGICA DEL PERÚ</w:t>
      </w:r>
    </w:p>
    <w:bookmarkStart w:id="10" w:name="X3a52186a35df7e619f88fca94e2be16101e28bf"/>
    <w:p>
      <w:pPr>
        <w:pStyle w:val="Heading2"/>
      </w:pPr>
      <w:r>
        <w:t xml:space="preserve">FACULTAD DE INGENIERÍA DE SISTEMAS E INFORMÁTICA</w:t>
      </w:r>
    </w:p>
    <w:bookmarkStart w:id="9" w:name="Xfca4ce45802556cfb8a72bb57206a1a72e1d3e2"/>
    <w:p>
      <w:pPr>
        <w:pStyle w:val="Heading3"/>
      </w:pPr>
      <w:r>
        <w:t xml:space="preserve">CURSO INTEGRADOR II: SOFTWARE (100000S12F) — CICLO 2026A</w:t>
      </w:r>
    </w:p>
    <w:p>
      <w:r>
        <w:pict>
          <v:rect style="width:0;height:1.5pt" o:hralign="center" o:hrstd="t" o:hr="t"/>
        </w:pict>
      </w:r>
    </w:p>
    <w:bookmarkEnd w:id="9"/>
    <w:bookmarkEnd w:id="10"/>
    <w:bookmarkEnd w:id="11"/>
    <w:bookmarkStart w:id="19" w:name="X03a66d520ae9561ca79fe1cd2a10b7936c15e34"/>
    <w:p>
      <w:pPr>
        <w:pStyle w:val="Heading1"/>
      </w:pPr>
      <w:r>
        <w:t xml:space="preserve">INFORME DE AVANCE DE PROYECTO FINAL 3 (APF3)</w:t>
      </w:r>
    </w:p>
    <w:bookmarkStart w:id="17" w:name="Xcd29ee9661fe13e026550de3e551b69555cd778"/>
    <w:p>
      <w:pPr>
        <w:pStyle w:val="Heading2"/>
      </w:pPr>
      <w:r>
        <w:t xml:space="preserve">PROYECTO: SISTEMA WEB PWA DE GESTIÓN Y TOMA DE PEDIDOS MULTICANAL PARA LEOFIT INDUMENTARIA</w:t>
      </w:r>
    </w:p>
    <w:bookmarkStart w:id="12" w:name="Xd0b1e7aa71bdc0dc2fb61e64428ace1032b545f"/>
    <w:p>
      <w:pPr>
        <w:pStyle w:val="Heading3"/>
      </w:pPr>
      <w:r>
        <w:t xml:space="preserve">Calidad Funcional, Interoperabilidad de Sistemas Externos, Evaluación de Usabilidad ISO/IEC 25010 y Despliegue en Entorno Real Cloud (Versión 2)</w:t>
      </w:r>
    </w:p>
    <w:p>
      <w:r>
        <w:pict>
          <v:rect style="width:0;height:1.5pt" o:hralign="center" o:hrstd="t" o:hr="t"/>
        </w:pict>
      </w:r>
    </w:p>
    <w:bookmarkEnd w:id="12"/>
    <w:bookmarkStart w:id="16" w:name="control-de-información-del-proyecto"/>
    <w:p>
      <w:pPr>
        <w:pStyle w:val="Heading3"/>
      </w:pPr>
      <w:r>
        <w:t xml:space="preserve">CONTROL DE INFORMACIÓN DEL PROYECTO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Institución Educativa:</w:t>
      </w:r>
      <w:r>
        <w:t xml:space="preserve"> </w:t>
      </w:r>
      <w:r>
        <w:t xml:space="preserve">Universidad Tecnológica del Perú (UTP)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Facultad:</w:t>
      </w:r>
      <w:r>
        <w:t xml:space="preserve"> </w:t>
      </w:r>
      <w:r>
        <w:t xml:space="preserve">Facultad de Ingeniería de Sistemas e Informática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Asignatura:</w:t>
      </w:r>
      <w:r>
        <w:t xml:space="preserve"> </w:t>
      </w:r>
      <w:r>
        <w:t xml:space="preserve">Curso Integrador II: Software (Código: 100000S12F)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Empresa Beneficiaria:</w:t>
      </w:r>
      <w:r>
        <w:t xml:space="preserve"> </w:t>
      </w:r>
      <w:r>
        <w:t xml:space="preserve">LeoFit Indumentaria &amp; Nutrición Deportiva E.I.R.L.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Representante de la Organización:</w:t>
      </w:r>
      <w:r>
        <w:t xml:space="preserve"> </w:t>
      </w:r>
      <w:r>
        <w:t xml:space="preserve">Don Víctor Raúl Cárdenas Ramírez (Fundador / Gerente General)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Integrantes del Equipo de Desarrollo (Grupo 01):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Loayza Rodriguez, Lady Luz</w:t>
      </w:r>
      <w:r>
        <w:t xml:space="preserve"> </w:t>
      </w:r>
      <w:r>
        <w:t xml:space="preserve">— Scrum Master / Coordinadora General / Lead Dev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Cárdenas Fernández, Víctor Leandro</w:t>
      </w:r>
      <w:r>
        <w:t xml:space="preserve"> </w:t>
      </w:r>
      <w:r>
        <w:t xml:space="preserve">— Product Owner / Arquitecto de Datos y Backend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Roman Delgado, Harley Anthony</w:t>
      </w:r>
      <w:r>
        <w:t xml:space="preserve"> </w:t>
      </w:r>
      <w:r>
        <w:t xml:space="preserve">— Líder Front-End / Especialista UI-UX y WPO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Dávila Morales, Jim Alessandro</w:t>
      </w:r>
      <w:r>
        <w:t xml:space="preserve"> </w:t>
      </w:r>
      <w:r>
        <w:t xml:space="preserve">— Ingeniero QA / DevOps y Automatización de Pruebas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Rojas Sanchez, Daniel Enrique</w:t>
      </w:r>
      <w:r>
        <w:t xml:space="preserve"> </w:t>
      </w:r>
      <w:r>
        <w:t xml:space="preserve">— Analista de Negocio / Modelado de Procesos y Auditoría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Ciclo Académico:</w:t>
      </w:r>
      <w:r>
        <w:t xml:space="preserve"> </w:t>
      </w:r>
      <w:r>
        <w:t xml:space="preserve">2026-II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Versión del Documento:</w:t>
      </w:r>
      <w:r>
        <w:t xml:space="preserve"> </w:t>
      </w:r>
      <w:r>
        <w:t xml:space="preserve">3.0.0 (Entrega Oficial APF3 y Memoria de Proyecto)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Repositorio Oficial de GitHub:</w:t>
      </w:r>
      <w:r>
        <w:t xml:space="preserve"> </w:t>
      </w:r>
      <w:hyperlink r:id="rId13">
        <w:r>
          <w:rPr>
            <w:rStyle w:val="Hyperlink"/>
          </w:rPr>
          <w:t xml:space="preserve">https://github.com/Leofit-Solutions-Grupo01/leofit-pedidos-sistema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URL de Producción Cloud:</w:t>
      </w:r>
      <w:r>
        <w:t xml:space="preserve"> </w:t>
      </w:r>
      <w:hyperlink r:id="rId14">
        <w:r>
          <w:rPr>
            <w:rStyle w:val="Hyperlink"/>
          </w:rPr>
          <w:t xml:space="preserve">https://leofit-solutions-grupo01.github.io/leofit-pedidos-sistema/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 API en Producción:</w:t>
      </w:r>
      <w:r>
        <w:t xml:space="preserve"> </w:t>
      </w:r>
      <w:hyperlink r:id="rId15">
        <w:r>
          <w:rPr>
            <w:rStyle w:val="Hyperlink"/>
          </w:rPr>
          <w:t xml:space="preserve">https://leofit-backend-api.onrender.com/api/health</w:t>
        </w:r>
      </w:hyperlink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índice-general-del-informe-apf3"/>
    <w:p>
      <w:pPr>
        <w:pStyle w:val="Heading2"/>
      </w:pPr>
      <w:r>
        <w:t xml:space="preserve">ÍNDICE GENERAL DEL INFORME APF3</w:t>
      </w:r>
    </w:p>
    <w:p>
      <w:pPr>
        <w:pStyle w:val="Compact"/>
        <w:numPr>
          <w:ilvl w:val="0"/>
          <w:numId w:val="1003"/>
        </w:numPr>
      </w:pPr>
      <w:hyperlink w:anchor="Xcaa97bb6c0db449aa986ebaa75cb028a59a0f93">
        <w:r>
          <w:rPr>
            <w:rStyle w:val="Hyperlink"/>
          </w:rPr>
          <w:t xml:space="preserve">Análisis Empresarial (Consolidado)</w:t>
        </w:r>
      </w:hyperlink>
    </w:p>
    <w:p>
      <w:pPr>
        <w:pStyle w:val="Compact"/>
        <w:numPr>
          <w:ilvl w:val="1"/>
          <w:numId w:val="1004"/>
        </w:numPr>
      </w:pPr>
      <w:r>
        <w:t xml:space="preserve">1.1. Introducción y Contexto del Sector</w:t>
      </w:r>
    </w:p>
    <w:p>
      <w:pPr>
        <w:pStyle w:val="Compact"/>
        <w:numPr>
          <w:ilvl w:val="1"/>
          <w:numId w:val="1004"/>
        </w:numPr>
      </w:pPr>
      <w:r>
        <w:t xml:space="preserve">1.2. Descripción de la Organización y Modelo Operativo</w:t>
      </w:r>
    </w:p>
    <w:p>
      <w:pPr>
        <w:pStyle w:val="Compact"/>
        <w:numPr>
          <w:ilvl w:val="1"/>
          <w:numId w:val="1004"/>
        </w:numPr>
      </w:pPr>
      <w:r>
        <w:t xml:space="preserve">1.3. Visión Estratégica y Misión Corporativa</w:t>
      </w:r>
    </w:p>
    <w:p>
      <w:pPr>
        <w:pStyle w:val="Compact"/>
        <w:numPr>
          <w:ilvl w:val="1"/>
          <w:numId w:val="1004"/>
        </w:numPr>
      </w:pPr>
      <w:r>
        <w:t xml:space="preserve">1.4. Modelo de Negocio (Lean Canvas)</w:t>
      </w:r>
    </w:p>
    <w:p>
      <w:pPr>
        <w:pStyle w:val="Compact"/>
        <w:numPr>
          <w:ilvl w:val="1"/>
          <w:numId w:val="1004"/>
        </w:numPr>
      </w:pPr>
      <w:r>
        <w:t xml:space="preserve">1.5. Mapa de Procesos Actual (AS-IS)</w:t>
      </w:r>
    </w:p>
    <w:p>
      <w:pPr>
        <w:pStyle w:val="Compact"/>
        <w:numPr>
          <w:ilvl w:val="1"/>
          <w:numId w:val="1004"/>
        </w:numPr>
      </w:pPr>
      <w:r>
        <w:t xml:space="preserve">1.6. Oportunidades de Mejora y Modelo Propuesto (TO-BE)</w:t>
      </w:r>
    </w:p>
    <w:p>
      <w:pPr>
        <w:pStyle w:val="Compact"/>
        <w:numPr>
          <w:ilvl w:val="0"/>
          <w:numId w:val="1003"/>
        </w:numPr>
      </w:pPr>
      <w:hyperlink w:anchor="X4697ad230df18e52e0a4b6270c687c466ab91b8">
        <w:r>
          <w:rPr>
            <w:rStyle w:val="Hyperlink"/>
          </w:rPr>
          <w:t xml:space="preserve">Planificación y Gestión del Proyecto</w:t>
        </w:r>
      </w:hyperlink>
    </w:p>
    <w:p>
      <w:pPr>
        <w:pStyle w:val="Compact"/>
        <w:numPr>
          <w:ilvl w:val="1"/>
          <w:numId w:val="1005"/>
        </w:numPr>
      </w:pPr>
      <w:r>
        <w:t xml:space="preserve">2.1. Project Charter Ágil y Objetivos SMART</w:t>
      </w:r>
    </w:p>
    <w:p>
      <w:pPr>
        <w:pStyle w:val="Compact"/>
        <w:numPr>
          <w:ilvl w:val="1"/>
          <w:numId w:val="1005"/>
        </w:numPr>
      </w:pPr>
      <w:r>
        <w:t xml:space="preserve">2.2. Alcance del Proyecto y Criterios de Aceptación</w:t>
      </w:r>
    </w:p>
    <w:p>
      <w:pPr>
        <w:pStyle w:val="Compact"/>
        <w:numPr>
          <w:ilvl w:val="1"/>
          <w:numId w:val="1005"/>
        </w:numPr>
      </w:pPr>
      <w:r>
        <w:t xml:space="preserve">2.3. Cronograma del Proyecto (Diagrama de Gantt)</w:t>
      </w:r>
    </w:p>
    <w:p>
      <w:pPr>
        <w:pStyle w:val="Compact"/>
        <w:numPr>
          <w:ilvl w:val="1"/>
          <w:numId w:val="1005"/>
        </w:numPr>
      </w:pPr>
      <w:r>
        <w:t xml:space="preserve">2.4. Planificación Ágil – Sprint Planning (Sprints 0 al 4)</w:t>
      </w:r>
    </w:p>
    <w:p>
      <w:pPr>
        <w:pStyle w:val="Compact"/>
        <w:numPr>
          <w:ilvl w:val="1"/>
          <w:numId w:val="1005"/>
        </w:numPr>
      </w:pPr>
      <w:r>
        <w:t xml:space="preserve">2.5. Roles y Artefactos Scrum (Matriz RACI)</w:t>
      </w:r>
    </w:p>
    <w:p>
      <w:pPr>
        <w:pStyle w:val="Compact"/>
        <w:numPr>
          <w:ilvl w:val="1"/>
          <w:numId w:val="1005"/>
        </w:numPr>
      </w:pPr>
      <w:r>
        <w:t xml:space="preserve">2.6. Tablero Kanban / Scrum y Límites WIP</w:t>
      </w:r>
    </w:p>
    <w:p>
      <w:pPr>
        <w:pStyle w:val="Compact"/>
        <w:numPr>
          <w:ilvl w:val="1"/>
          <w:numId w:val="1005"/>
        </w:numPr>
      </w:pPr>
      <w:r>
        <w:t xml:space="preserve">2.7. Product Backlog Priorizado e Historias de Usuario</w:t>
      </w:r>
    </w:p>
    <w:p>
      <w:pPr>
        <w:pStyle w:val="Compact"/>
        <w:numPr>
          <w:ilvl w:val="0"/>
          <w:numId w:val="1003"/>
        </w:numPr>
      </w:pPr>
      <w:hyperlink w:anchor="X39ede41d518f1f203c221d509ae0081338b5e92">
        <w:r>
          <w:rPr>
            <w:rStyle w:val="Hyperlink"/>
          </w:rPr>
          <w:t xml:space="preserve">Selección y Configuración de Herramientas de Desarrollo</w:t>
        </w:r>
      </w:hyperlink>
    </w:p>
    <w:p>
      <w:pPr>
        <w:pStyle w:val="Compact"/>
        <w:numPr>
          <w:ilvl w:val="1"/>
          <w:numId w:val="1006"/>
        </w:numPr>
      </w:pPr>
      <w:r>
        <w:t xml:space="preserve">3.1. Selección de Herramientas y Matriz Multicriterio</w:t>
      </w:r>
    </w:p>
    <w:p>
      <w:pPr>
        <w:pStyle w:val="Compact"/>
        <w:numPr>
          <w:ilvl w:val="1"/>
          <w:numId w:val="1006"/>
        </w:numPr>
      </w:pPr>
      <w:r>
        <w:t xml:space="preserve">3.2. Evidencias de Configuración de Entorno</w:t>
      </w:r>
    </w:p>
    <w:p>
      <w:pPr>
        <w:pStyle w:val="Compact"/>
        <w:numPr>
          <w:ilvl w:val="1"/>
          <w:numId w:val="1006"/>
        </w:numPr>
      </w:pPr>
      <w:r>
        <w:t xml:space="preserve">3.3. Repositorio GitHub y Gobernanza de Código</w:t>
      </w:r>
    </w:p>
    <w:p>
      <w:pPr>
        <w:pStyle w:val="Compact"/>
        <w:numPr>
          <w:ilvl w:val="0"/>
          <w:numId w:val="1003"/>
        </w:numPr>
      </w:pPr>
      <w:hyperlink w:anchor="Xb96d42f83e6c2f07b7f3f4bb03f1ab5c578e753">
        <w:r>
          <w:rPr>
            <w:rStyle w:val="Hyperlink"/>
          </w:rPr>
          <w:t xml:space="preserve">Prototipos y Experiencia de Usuario</w:t>
        </w:r>
      </w:hyperlink>
    </w:p>
    <w:p>
      <w:pPr>
        <w:pStyle w:val="Compact"/>
        <w:numPr>
          <w:ilvl w:val="1"/>
          <w:numId w:val="1007"/>
        </w:numPr>
      </w:pPr>
      <w:r>
        <w:t xml:space="preserve">4.1. Wireframes de Baja Fidelidad (Mobile-First)</w:t>
      </w:r>
    </w:p>
    <w:p>
      <w:pPr>
        <w:pStyle w:val="Compact"/>
        <w:numPr>
          <w:ilvl w:val="1"/>
          <w:numId w:val="1007"/>
        </w:numPr>
      </w:pPr>
      <w:r>
        <w:t xml:space="preserve">4.2. Mockups de Alta Fidelidad y Design System</w:t>
      </w:r>
    </w:p>
    <w:p>
      <w:pPr>
        <w:pStyle w:val="Compact"/>
        <w:numPr>
          <w:ilvl w:val="1"/>
          <w:numId w:val="1007"/>
        </w:numPr>
      </w:pPr>
      <w:r>
        <w:t xml:space="preserve">4.3. Principios UX/UI y Accesibilidad A11y</w:t>
      </w:r>
    </w:p>
    <w:p>
      <w:pPr>
        <w:pStyle w:val="Compact"/>
        <w:numPr>
          <w:ilvl w:val="1"/>
          <w:numId w:val="1007"/>
        </w:numPr>
      </w:pPr>
      <w:r>
        <w:t xml:space="preserve">4.4. Flujo de Interacción y Navegación</w:t>
      </w:r>
    </w:p>
    <w:p>
      <w:pPr>
        <w:pStyle w:val="Compact"/>
        <w:numPr>
          <w:ilvl w:val="0"/>
          <w:numId w:val="1003"/>
        </w:numPr>
      </w:pPr>
      <w:hyperlink w:anchor="Xb02828300b89e653c03c3f070972eb565cb9d09">
        <w:r>
          <w:rPr>
            <w:rStyle w:val="Hyperlink"/>
          </w:rPr>
          <w:t xml:space="preserve">Gestión de Riesgos del Proyecto</w:t>
        </w:r>
      </w:hyperlink>
    </w:p>
    <w:p>
      <w:pPr>
        <w:pStyle w:val="Compact"/>
        <w:numPr>
          <w:ilvl w:val="1"/>
          <w:numId w:val="1008"/>
        </w:numPr>
      </w:pPr>
      <w:r>
        <w:t xml:space="preserve">5.1. Identificación y Taxonomía de Riesgos</w:t>
      </w:r>
    </w:p>
    <w:p>
      <w:pPr>
        <w:pStyle w:val="Compact"/>
        <w:numPr>
          <w:ilvl w:val="1"/>
          <w:numId w:val="1008"/>
        </w:numPr>
      </w:pPr>
      <w:r>
        <w:t xml:space="preserve">5.2. Mapa de Riesgos (Matriz 5x5 y Heatmap)</w:t>
      </w:r>
    </w:p>
    <w:p>
      <w:pPr>
        <w:pStyle w:val="Compact"/>
        <w:numPr>
          <w:ilvl w:val="1"/>
          <w:numId w:val="1008"/>
        </w:numPr>
      </w:pPr>
      <w:r>
        <w:t xml:space="preserve">5.3. Plan de Gestión, Mitigación y Contingencia</w:t>
      </w:r>
    </w:p>
    <w:p>
      <w:pPr>
        <w:pStyle w:val="Compact"/>
        <w:numPr>
          <w:ilvl w:val="0"/>
          <w:numId w:val="1003"/>
        </w:numPr>
      </w:pPr>
      <w:hyperlink w:anchor="X06fbfc334dcadadb83fbc622490281e8e4a14b4">
        <w:r>
          <w:rPr>
            <w:rStyle w:val="Hyperlink"/>
          </w:rPr>
          <w:t xml:space="preserve">Definición de Métricas y Niveles de Servicio (SLA/SLO)</w:t>
        </w:r>
      </w:hyperlink>
    </w:p>
    <w:p>
      <w:pPr>
        <w:pStyle w:val="Compact"/>
        <w:numPr>
          <w:ilvl w:val="1"/>
          <w:numId w:val="1009"/>
        </w:numPr>
      </w:pPr>
      <w:r>
        <w:t xml:space="preserve">6.1. Identificación de KPIs del Sistema</w:t>
      </w:r>
    </w:p>
    <w:p>
      <w:pPr>
        <w:pStyle w:val="Compact"/>
        <w:numPr>
          <w:ilvl w:val="1"/>
          <w:numId w:val="1009"/>
        </w:numPr>
      </w:pPr>
      <w:r>
        <w:t xml:space="preserve">6.2. Definición Formal de SLA y SLO</w:t>
      </w:r>
    </w:p>
    <w:p>
      <w:pPr>
        <w:pStyle w:val="Compact"/>
        <w:numPr>
          <w:ilvl w:val="1"/>
          <w:numId w:val="1009"/>
        </w:numPr>
      </w:pPr>
      <w:r>
        <w:t xml:space="preserve">6.3. Plan de Medición, Monitoreo y Observabilidad</w:t>
      </w:r>
    </w:p>
    <w:p>
      <w:pPr>
        <w:pStyle w:val="Compact"/>
        <w:numPr>
          <w:ilvl w:val="0"/>
          <w:numId w:val="1003"/>
        </w:numPr>
      </w:pPr>
      <w:hyperlink w:anchor="Xb3a7e8f6dc8c533971531187e585deb476b0a77">
        <w:r>
          <w:rPr>
            <w:rStyle w:val="Hyperlink"/>
          </w:rPr>
          <w:t xml:space="preserve">Desarrollo e Implementación Técnica Inicial</w:t>
        </w:r>
      </w:hyperlink>
    </w:p>
    <w:p>
      <w:pPr>
        <w:pStyle w:val="Compact"/>
        <w:numPr>
          <w:ilvl w:val="1"/>
          <w:numId w:val="1010"/>
        </w:numPr>
      </w:pPr>
      <w:r>
        <w:t xml:space="preserve">7.1. Arquitectura General del Sistema (Clean Architecture y C4)</w:t>
      </w:r>
    </w:p>
    <w:p>
      <w:pPr>
        <w:pStyle w:val="Compact"/>
        <w:numPr>
          <w:ilvl w:val="1"/>
          <w:numId w:val="1010"/>
        </w:numPr>
      </w:pPr>
      <w:r>
        <w:t xml:space="preserve">7.2. Estructura del Código Fuente Monorepo</w:t>
      </w:r>
    </w:p>
    <w:p>
      <w:pPr>
        <w:pStyle w:val="Compact"/>
        <w:numPr>
          <w:ilvl w:val="1"/>
          <w:numId w:val="1010"/>
        </w:numPr>
      </w:pPr>
      <w:r>
        <w:t xml:space="preserve">7.3. Estrategias WPO y Métricas Cuantitativas</w:t>
      </w:r>
    </w:p>
    <w:p>
      <w:pPr>
        <w:pStyle w:val="Compact"/>
        <w:numPr>
          <w:ilvl w:val="0"/>
          <w:numId w:val="1003"/>
        </w:numPr>
      </w:pPr>
      <w:hyperlink w:anchor="Xa8d424277ef0e11f3d92be2fa15cbfc1112720f">
        <w:r>
          <w:rPr>
            <w:rStyle w:val="Hyperlink"/>
          </w:rPr>
          <w:t xml:space="preserve">Implementación y Administración de Base de Datos</w:t>
        </w:r>
      </w:hyperlink>
    </w:p>
    <w:p>
      <w:pPr>
        <w:pStyle w:val="Compact"/>
        <w:numPr>
          <w:ilvl w:val="1"/>
          <w:numId w:val="1011"/>
        </w:numPr>
      </w:pPr>
      <w:r>
        <w:t xml:space="preserve">8.1. Diseño Físico de Base de Datos (12 Tablas en BCNF)</w:t>
      </w:r>
    </w:p>
    <w:p>
      <w:pPr>
        <w:pStyle w:val="Compact"/>
        <w:numPr>
          <w:ilvl w:val="1"/>
          <w:numId w:val="1011"/>
        </w:numPr>
      </w:pPr>
      <w:r>
        <w:t xml:space="preserve">8.2. Script SQL DDL y Mecanismos de Integridad Transaccional</w:t>
      </w:r>
    </w:p>
    <w:p>
      <w:pPr>
        <w:pStyle w:val="Compact"/>
        <w:numPr>
          <w:ilvl w:val="1"/>
          <w:numId w:val="1011"/>
        </w:numPr>
      </w:pPr>
      <w:r>
        <w:t xml:space="preserve">8.3. Informe de Administración y Replicación (PostgreSQL 16 WAL)</w:t>
      </w:r>
    </w:p>
    <w:p>
      <w:pPr>
        <w:pStyle w:val="Compact"/>
        <w:numPr>
          <w:ilvl w:val="1"/>
          <w:numId w:val="1011"/>
        </w:numPr>
      </w:pPr>
      <w:r>
        <w:t xml:space="preserve">8.4. Implementación del Patrón Repositorio</w:t>
      </w:r>
    </w:p>
    <w:p>
      <w:pPr>
        <w:pStyle w:val="Compact"/>
        <w:numPr>
          <w:ilvl w:val="0"/>
          <w:numId w:val="1003"/>
        </w:numPr>
      </w:pPr>
      <w:hyperlink w:anchor="X03dba88e8eb82886d9b00b03413ee9980c73f77">
        <w:r>
          <w:rPr>
            <w:rStyle w:val="Hyperlink"/>
          </w:rPr>
          <w:t xml:space="preserve">Seguridad del Sistema</w:t>
        </w:r>
      </w:hyperlink>
    </w:p>
    <w:p>
      <w:pPr>
        <w:pStyle w:val="Compact"/>
        <w:numPr>
          <w:ilvl w:val="1"/>
          <w:numId w:val="1012"/>
        </w:numPr>
      </w:pPr>
      <w:r>
        <w:t xml:space="preserve">9.1. Catálogo de Controles OWASP Top 10 e ISO 27001</w:t>
      </w:r>
    </w:p>
    <w:p>
      <w:pPr>
        <w:pStyle w:val="Compact"/>
        <w:numPr>
          <w:ilvl w:val="1"/>
          <w:numId w:val="1012"/>
        </w:numPr>
      </w:pPr>
      <w:r>
        <w:t xml:space="preserve">9.2. Módulo de Autenticación y Autorización (JWT + RBAC + Bcrypt)</w:t>
      </w:r>
    </w:p>
    <w:p>
      <w:pPr>
        <w:pStyle w:val="Compact"/>
        <w:numPr>
          <w:ilvl w:val="1"/>
          <w:numId w:val="1012"/>
        </w:numPr>
      </w:pPr>
      <w:r>
        <w:t xml:space="preserve">9.3. Cifrado en Tránsito (TLS 1.3), Cifrado en Reposo y Auditoría</w:t>
      </w:r>
    </w:p>
    <w:p>
      <w:pPr>
        <w:pStyle w:val="Compact"/>
        <w:numPr>
          <w:ilvl w:val="1"/>
          <w:numId w:val="1012"/>
        </w:numPr>
      </w:pPr>
      <w:r>
        <w:t xml:space="preserve">9.4. Pruebas de Penetración Web y DAST (Kali Linux / OWASP ZAP)</w:t>
      </w:r>
    </w:p>
    <w:p>
      <w:pPr>
        <w:pStyle w:val="Compact"/>
        <w:numPr>
          <w:ilvl w:val="0"/>
          <w:numId w:val="1003"/>
        </w:numPr>
      </w:pPr>
      <w:hyperlink w:anchor="Xa2fca82a6e73792b72d40a0ac805985066ef400">
        <w:r>
          <w:rPr>
            <w:rStyle w:val="Hyperlink"/>
          </w:rPr>
          <w:t xml:space="preserve">Validación y Verificación del Sistema</w:t>
        </w:r>
      </w:hyperlink>
    </w:p>
    <w:p>
      <w:pPr>
        <w:pStyle w:val="Compact"/>
        <w:numPr>
          <w:ilvl w:val="1"/>
          <w:numId w:val="1013"/>
        </w:numPr>
      </w:pPr>
      <w:r>
        <w:t xml:space="preserve">10.1. Plan de Pruebas del Sistema</w:t>
      </w:r>
    </w:p>
    <w:p>
      <w:pPr>
        <w:pStyle w:val="Compact"/>
        <w:numPr>
          <w:ilvl w:val="1"/>
          <w:numId w:val="1013"/>
        </w:numPr>
      </w:pPr>
      <w:r>
        <w:t xml:space="preserve">10.2. Evidencias de Pruebas Unitarias y de Integración Base</w:t>
      </w:r>
    </w:p>
    <w:p>
      <w:pPr>
        <w:pStyle w:val="Compact"/>
        <w:numPr>
          <w:ilvl w:val="0"/>
          <w:numId w:val="1003"/>
        </w:numPr>
      </w:pPr>
      <w:hyperlink w:anchor="X4b1b8e59ce42c9108e6d6a9ec24dcd94d65a75f">
        <w:r>
          <w:rPr>
            <w:rStyle w:val="Hyperlink"/>
          </w:rPr>
          <w:t xml:space="preserve">Despliegue en la Plataforma Cloud (Versión 2 en Producción)</w:t>
        </w:r>
      </w:hyperlink>
    </w:p>
    <w:p>
      <w:pPr>
        <w:pStyle w:val="Compact"/>
        <w:numPr>
          <w:ilvl w:val="1"/>
          <w:numId w:val="1014"/>
        </w:numPr>
      </w:pPr>
      <w:r>
        <w:t xml:space="preserve">11.1. Manual de Despliegue Actualizado para la Versión 2</w:t>
      </w:r>
    </w:p>
    <w:p>
      <w:pPr>
        <w:pStyle w:val="Compact"/>
        <w:numPr>
          <w:ilvl w:val="1"/>
          <w:numId w:val="1014"/>
        </w:numPr>
      </w:pPr>
      <w:r>
        <w:t xml:space="preserve">11.2. Evidencias de Ejecución en Entorno Real Cloud</w:t>
      </w:r>
    </w:p>
    <w:p>
      <w:pPr>
        <w:pStyle w:val="Compact"/>
        <w:numPr>
          <w:ilvl w:val="1"/>
          <w:numId w:val="1014"/>
        </w:numPr>
      </w:pPr>
      <w:r>
        <w:t xml:space="preserve">11.3. Monitoreo y Métricas de Rendimiento en Producción</w:t>
      </w:r>
    </w:p>
    <w:p>
      <w:pPr>
        <w:pStyle w:val="Compact"/>
        <w:numPr>
          <w:ilvl w:val="0"/>
          <w:numId w:val="1003"/>
        </w:numPr>
      </w:pPr>
      <w:hyperlink w:anchor="X5b0f85f08b56c8e768e1d94c9923fa2d9a54a29">
        <w:r>
          <w:rPr>
            <w:rStyle w:val="Hyperlink"/>
          </w:rPr>
          <w:t xml:space="preserve">Calidad Funcional y Pruebas Automatizadas (ISO/IEC 25010 - Criterio 1)</w:t>
        </w:r>
      </w:hyperlink>
    </w:p>
    <w:p>
      <w:pPr>
        <w:pStyle w:val="Compact"/>
        <w:numPr>
          <w:ilvl w:val="1"/>
          <w:numId w:val="1015"/>
        </w:numPr>
      </w:pPr>
      <w:r>
        <w:t xml:space="preserve">12.1. Frameworks de Pruebas Utilizados (Jest, ts-jest, Supertest, Vitest)</w:t>
      </w:r>
    </w:p>
    <w:p>
      <w:pPr>
        <w:pStyle w:val="Compact"/>
        <w:numPr>
          <w:ilvl w:val="1"/>
          <w:numId w:val="1015"/>
        </w:numPr>
      </w:pPr>
      <w:r>
        <w:t xml:space="preserve">12.2. Listado y Ejecución de Casos de Prueba Funcionales</w:t>
      </w:r>
    </w:p>
    <w:p>
      <w:pPr>
        <w:pStyle w:val="Compact"/>
        <w:numPr>
          <w:ilvl w:val="1"/>
          <w:numId w:val="1015"/>
        </w:numPr>
      </w:pPr>
      <w:r>
        <w:t xml:space="preserve">12.3. Reporte Oficial de Cobertura de Código (Istanbul / Jest)</w:t>
      </w:r>
    </w:p>
    <w:p>
      <w:pPr>
        <w:pStyle w:val="Compact"/>
        <w:numPr>
          <w:ilvl w:val="0"/>
          <w:numId w:val="1003"/>
        </w:numPr>
      </w:pPr>
      <w:hyperlink w:anchor="X5193a778182f015064ccf687c4d6f03b38c1d75">
        <w:r>
          <w:rPr>
            <w:rStyle w:val="Hyperlink"/>
          </w:rPr>
          <w:t xml:space="preserve">Interoperabilidad y Pruebas de Integración con Servicios Externos (Criterio 2)</w:t>
        </w:r>
      </w:hyperlink>
    </w:p>
    <w:p>
      <w:pPr>
        <w:pStyle w:val="Compact"/>
        <w:numPr>
          <w:ilvl w:val="1"/>
          <w:numId w:val="1016"/>
        </w:numPr>
      </w:pPr>
      <w:r>
        <w:t xml:space="preserve">13.1. Identificación y Contratos de Sistemas Externos Integrados</w:t>
      </w:r>
    </w:p>
    <w:p>
      <w:pPr>
        <w:pStyle w:val="Compact"/>
        <w:numPr>
          <w:ilvl w:val="1"/>
          <w:numId w:val="1016"/>
        </w:numPr>
      </w:pPr>
      <w:r>
        <w:t xml:space="preserve">13.2. Casos de Prueba Automatizados de Integración Externa</w:t>
      </w:r>
    </w:p>
    <w:p>
      <w:pPr>
        <w:pStyle w:val="Compact"/>
        <w:numPr>
          <w:ilvl w:val="1"/>
          <w:numId w:val="1016"/>
        </w:numPr>
      </w:pPr>
      <w:r>
        <w:t xml:space="preserve">13.3. Resultados de Latencia y Tolerancia a Fallos</w:t>
      </w:r>
    </w:p>
    <w:p>
      <w:pPr>
        <w:pStyle w:val="Compact"/>
        <w:numPr>
          <w:ilvl w:val="0"/>
          <w:numId w:val="1003"/>
        </w:numPr>
      </w:pPr>
      <w:hyperlink w:anchor="X4b4f7817034438f868dee3707734d2defadf672">
        <w:r>
          <w:rPr>
            <w:rStyle w:val="Hyperlink"/>
          </w:rPr>
          <w:t xml:space="preserve">Pruebas Automatizadas de Usabilidad (Criterio 3)</w:t>
        </w:r>
      </w:hyperlink>
    </w:p>
    <w:p>
      <w:pPr>
        <w:pStyle w:val="Compact"/>
        <w:numPr>
          <w:ilvl w:val="1"/>
          <w:numId w:val="1017"/>
        </w:numPr>
      </w:pPr>
      <w:r>
        <w:t xml:space="preserve">14.1. Frameworks y Enfoque de Pruebas de Usabilidad</w:t>
      </w:r>
    </w:p>
    <w:p>
      <w:pPr>
        <w:pStyle w:val="Compact"/>
        <w:numPr>
          <w:ilvl w:val="1"/>
          <w:numId w:val="1017"/>
        </w:numPr>
      </w:pPr>
      <w:r>
        <w:t xml:space="preserve">14.2. Casos de Prueba Automatizados de Usabilidad Ejecutados</w:t>
      </w:r>
    </w:p>
    <w:p>
      <w:pPr>
        <w:pStyle w:val="Compact"/>
        <w:numPr>
          <w:ilvl w:val="0"/>
          <w:numId w:val="1003"/>
        </w:numPr>
      </w:pPr>
      <w:hyperlink w:anchor="X4d849ee7e3348e3b2861e4aaf64ea5097f0ab8b">
        <w:r>
          <w:rPr>
            <w:rStyle w:val="Hyperlink"/>
          </w:rPr>
          <w:t xml:space="preserve">Informe de Evaluación de Usabilidad según ISO/IEC 25010</w:t>
        </w:r>
      </w:hyperlink>
    </w:p>
    <w:p>
      <w:pPr>
        <w:pStyle w:val="Compact"/>
        <w:numPr>
          <w:ilvl w:val="1"/>
          <w:numId w:val="1018"/>
        </w:numPr>
      </w:pPr>
      <w:r>
        <w:t xml:space="preserve">15.1. Criterios y Métricas Empleadas (Los 4 Pilares de Usabilidad)</w:t>
      </w:r>
    </w:p>
    <w:p>
      <w:pPr>
        <w:pStyle w:val="Compact"/>
        <w:numPr>
          <w:ilvl w:val="1"/>
          <w:numId w:val="1018"/>
        </w:numPr>
      </w:pPr>
      <w:r>
        <w:t xml:space="preserve">15.2. Resultados Cuantitativos Obtenidos (SUS Score, Lighthouse, Task Success)</w:t>
      </w:r>
    </w:p>
    <w:p>
      <w:pPr>
        <w:pStyle w:val="Compact"/>
        <w:numPr>
          <w:ilvl w:val="1"/>
          <w:numId w:val="1018"/>
        </w:numPr>
      </w:pPr>
      <w:r>
        <w:t xml:space="preserve">15.3. Conclusiones y Recomendaciones de Usabilidad</w:t>
      </w:r>
    </w:p>
    <w:p>
      <w:pPr>
        <w:pStyle w:val="Compact"/>
        <w:numPr>
          <w:ilvl w:val="0"/>
          <w:numId w:val="1003"/>
        </w:numPr>
      </w:pPr>
      <w:hyperlink w:anchor="X21c0bfc71a04df7964669dce9631210b2b3fa74">
        <w:r>
          <w:rPr>
            <w:rStyle w:val="Hyperlink"/>
          </w:rPr>
          <w:t xml:space="preserve">Levantamiento de Observaciones del APF2 (Criterio 5 - 4 pts)</w:t>
        </w:r>
      </w:hyperlink>
    </w:p>
    <w:p>
      <w:pPr>
        <w:pStyle w:val="Compact"/>
        <w:numPr>
          <w:ilvl w:val="0"/>
          <w:numId w:val="1003"/>
        </w:numPr>
      </w:pPr>
      <w:hyperlink w:anchor="X6d8751da00863e4770bbd30a6148df42d029e51">
        <w:r>
          <w:rPr>
            <w:rStyle w:val="Hyperlink"/>
          </w:rPr>
          <w:t xml:space="preserve">Anexos Técnicos A al H</w:t>
        </w:r>
      </w:hyperlink>
    </w:p>
    <w:p>
      <w:pPr>
        <w:pStyle w:val="Compact"/>
        <w:numPr>
          <w:ilvl w:val="0"/>
          <w:numId w:val="1003"/>
        </w:numPr>
      </w:pPr>
      <w:hyperlink w:anchor="Xaefabcf76fde76625e55d5ee1eaef2e36c48bf3">
        <w:r>
          <w:rPr>
            <w:rStyle w:val="Hyperlink"/>
          </w:rPr>
          <w:t xml:space="preserve">Referencias Bibliográficas</w:t>
        </w:r>
      </w:hyperlink>
    </w:p>
    <w:p>
      <w:r>
        <w:pict>
          <v:rect style="width:0;height:1.5pt" o:hralign="center" o:hrstd="t" o:hr="t"/>
        </w:pict>
      </w:r>
    </w:p>
    <w:bookmarkEnd w:id="18"/>
    <w:bookmarkEnd w:id="19"/>
    <w:bookmarkStart w:id="26" w:name="análisis-empresarial"/>
    <w:p>
      <w:pPr>
        <w:pStyle w:val="Heading1"/>
      </w:pPr>
      <w:r>
        <w:t xml:space="preserve">1. ANÁLISIS EMPRESARIAL</w:t>
      </w:r>
    </w:p>
    <w:bookmarkStart w:id="20" w:name="introducción-y-contexto-del-sector"/>
    <w:p>
      <w:pPr>
        <w:pStyle w:val="Heading2"/>
      </w:pPr>
      <w:r>
        <w:t xml:space="preserve">1.1. Introducción y Contexto del Sector</w:t>
      </w:r>
    </w:p>
    <w:p>
      <w:pPr>
        <w:pStyle w:val="FirstParagraph"/>
      </w:pPr>
      <w:r>
        <w:t xml:space="preserve">El sector minorista de indumentaria deportiva en el Perú demanda procesos comerciales sumamente dinámicos debido a la estacionalidad y al auge de disciplinas de alta intensidad (crossfit, running, ciclismo, calistenia). La empresa</w:t>
      </w:r>
      <w:r>
        <w:t xml:space="preserve"> </w:t>
      </w:r>
      <w:r>
        <w:rPr>
          <w:b/>
          <w:bCs/>
        </w:rPr>
        <w:t xml:space="preserve">LeoFit Indumentaria &amp; Nutrición Deportiva E.I.R.L.</w:t>
      </w:r>
      <w:r>
        <w:t xml:space="preserve">, ubicada comercialmente en el distrito de La Victoria (Lima), atiende tanto a clientes locales como a compradores de provincias mediante agencias de encomienda.</w:t>
      </w:r>
    </w:p>
    <w:bookmarkEnd w:id="20"/>
    <w:bookmarkStart w:id="21" w:name="X0f8f3819ecc100f87cda09b6d160c19f027a339"/>
    <w:p>
      <w:pPr>
        <w:pStyle w:val="Heading2"/>
      </w:pPr>
      <w:r>
        <w:t xml:space="preserve">1.2. Descripción de la Organización y Modelo Operativo</w:t>
      </w:r>
    </w:p>
    <w:p>
      <w:pPr>
        <w:pStyle w:val="FirstParagraph"/>
      </w:pPr>
      <w:r>
        <w:t xml:space="preserve">Empresa de gestión familiar administrada por don Víctor Raúl Cárdenas Ramírez. Opera bajo un modelo B2C directo con un catálogo centrado en conjuntos térmicos, lycras de compresión y camisetas dry-fit.</w:t>
      </w:r>
    </w:p>
    <w:bookmarkEnd w:id="21"/>
    <w:bookmarkStart w:id="22" w:name="visión-estratégica-y-misión-corporativa"/>
    <w:p>
      <w:pPr>
        <w:pStyle w:val="Heading2"/>
      </w:pPr>
      <w:r>
        <w:t xml:space="preserve">1.3. Visión Estratégica y Misión Corporativa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Visión:</w:t>
      </w:r>
      <w:r>
        <w:t xml:space="preserve"> </w:t>
      </w:r>
      <w:r>
        <w:t xml:space="preserve">Consolidarse al año 2030 como la marca líder en distribución ágil de indumentaria deportiva a nivel nacional.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Misión:</w:t>
      </w:r>
      <w:r>
        <w:t xml:space="preserve"> </w:t>
      </w:r>
      <w:r>
        <w:t xml:space="preserve">Proveer a los atletas prendas deportivas de alto rendimiento con una experiencia de compra inmediata, confiable y accesible.</w:t>
      </w:r>
    </w:p>
    <w:bookmarkEnd w:id="22"/>
    <w:bookmarkStart w:id="23" w:name="modelo-de-negocio-lean-canvas"/>
    <w:p>
      <w:pPr>
        <w:pStyle w:val="Heading2"/>
      </w:pPr>
      <w:r>
        <w:t xml:space="preserve">1.4. Modelo de Negocio (Lean Canvas)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Problema:</w:t>
      </w:r>
      <w:r>
        <w:t xml:space="preserve"> </w:t>
      </w:r>
      <w:r>
        <w:t xml:space="preserve">Tiempos de atención manual excesivos (hasta 25 min por pedido en WhatsApp), quiebres de inventario no advertidos y extravío de datos en notas manuscritas.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Propuesta de Valor:</w:t>
      </w:r>
      <w:r>
        <w:t xml:space="preserve"> </w:t>
      </w:r>
      <w:r>
        <w:t xml:space="preserve">PWA ligera instalable con catálogo reactivo, stock sincronizado en tiempo real, validación de despacho dual y emisión automática de resúmenes de WhatsApp y rótulos de encomienda con QR.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Métricas Clave:</w:t>
      </w:r>
      <w:r>
        <w:t xml:space="preserve"> </w:t>
      </w:r>
      <w:r>
        <w:t xml:space="preserve">Tiempo de ciclo ≤ 2 min, tasa de conversión y cero sobreventas.</w:t>
      </w:r>
    </w:p>
    <w:bookmarkEnd w:id="23"/>
    <w:bookmarkStart w:id="24" w:name="mapa-de-procesos-actual-as-is"/>
    <w:p>
      <w:pPr>
        <w:pStyle w:val="Heading2"/>
      </w:pPr>
      <w:r>
        <w:t xml:space="preserve">1.5. Mapa de Procesos Actual (AS-IS)</w:t>
      </w:r>
    </w:p>
    <w:p>
      <w:pPr>
        <w:pStyle w:val="FirstParagraph"/>
      </w:pPr>
      <w:r>
        <w:t xml:space="preserve">Flujo de 8 pasos manuales con pérdidas de tiempo en consultas de tallas, inspección visual en estanterías y recálculo mental de importes.</w:t>
      </w:r>
    </w:p>
    <w:bookmarkEnd w:id="24"/>
    <w:bookmarkStart w:id="25" w:name="X89d459212effaad2ea633ab04727ee8eea1775f"/>
    <w:p>
      <w:pPr>
        <w:pStyle w:val="Heading2"/>
      </w:pPr>
      <w:r>
        <w:t xml:space="preserve">1.6. Oportunidades de Mejora y Modelo Propuesto (TO-BE)</w:t>
      </w:r>
    </w:p>
    <w:p>
      <w:pPr>
        <w:pStyle w:val="FirstParagraph"/>
      </w:pPr>
      <w:r>
        <w:t xml:space="preserve">El flujo TO-BE automatiza la selección de prendas, descuenta el stock atómicamente, exige DNI/RUC para encomiendas interprovinciales y emite la orden con código unívoco</w:t>
      </w:r>
      <w:r>
        <w:t xml:space="preserve"> </w:t>
      </w:r>
      <w:r>
        <w:rPr>
          <w:rStyle w:val="VerbatimChar"/>
        </w:rPr>
        <w:t xml:space="preserve">#LFT-XXX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planificación-y-gestión-del-proyecto"/>
    <w:p>
      <w:pPr>
        <w:pStyle w:val="Heading1"/>
      </w:pPr>
      <w:r>
        <w:t xml:space="preserve">2. PLANIFICACIÓN Y GESTIÓN DEL PROYECTO</w:t>
      </w:r>
    </w:p>
    <w:bookmarkStart w:id="27" w:name="project-charter-ágil-y-objetivos-smart"/>
    <w:p>
      <w:pPr>
        <w:pStyle w:val="Heading2"/>
      </w:pPr>
      <w:r>
        <w:t xml:space="preserve">2.1. Project Charter Ágil y Objetivos SMART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Objetivo SMART General:</w:t>
      </w:r>
      <w:r>
        <w:t xml:space="preserve"> </w:t>
      </w:r>
      <w:r>
        <w:t xml:space="preserve">Diseñar, desarrollar y desplegar la PWA LeoFit en 15 semanas, alcanzando un tiempo de atención ≤ 2 min, 100% de cobertura de los 18 RF formalizados y un Uptime mensual ≥ 99.5%.</w:t>
      </w:r>
    </w:p>
    <w:bookmarkEnd w:id="27"/>
    <w:bookmarkStart w:id="28" w:name="alcance-del-proyecto"/>
    <w:p>
      <w:pPr>
        <w:pStyle w:val="Heading2"/>
      </w:pPr>
      <w:r>
        <w:t xml:space="preserve">2.2. Alcance del Proyecto</w:t>
      </w:r>
    </w:p>
    <w:p>
      <w:pPr>
        <w:pStyle w:val="FirstParagraph"/>
      </w:pPr>
      <w:r>
        <w:t xml:space="preserve">Abarca el catálogo reactivo, carrito de compras, motor de despacho dual, panel de órdenes, control de estados, autenticación de operadores, base de datos relacional y servicios externos de comunicación.</w:t>
      </w:r>
    </w:p>
    <w:bookmarkEnd w:id="28"/>
    <w:bookmarkStart w:id="29" w:name="X0d3b8e8f845e49607a90ec062aee03ad4aabe02"/>
    <w:p>
      <w:pPr>
        <w:pStyle w:val="Heading2"/>
      </w:pPr>
      <w:r>
        <w:t xml:space="preserve">2.3. Cronograma del Proyecto (Gantt) y 2.4. Sprint Planning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Sprint 0:</w:t>
      </w:r>
      <w:r>
        <w:t xml:space="preserve"> </w:t>
      </w:r>
      <w:r>
        <w:t xml:space="preserve">Diagnóstico de negocio y ERS IEEE 830.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Sprint 1 (APF1):</w:t>
      </w:r>
      <w:r>
        <w:t xml:space="preserve"> </w:t>
      </w:r>
      <w:r>
        <w:t xml:space="preserve">Arquitectura Front-End PWA, Wireframes y WPO.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Sprint 2 (APF2):</w:t>
      </w:r>
      <w:r>
        <w:t xml:space="preserve"> </w:t>
      </w:r>
      <w:r>
        <w:t xml:space="preserve">Base de datos PostgreSQL en BCNF, API REST, seguridad OWASP y despliegue inicial.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Sprint 3 (APF3):</w:t>
      </w:r>
      <w:r>
        <w:t xml:space="preserve"> </w:t>
      </w:r>
      <w:r>
        <w:t xml:space="preserve">Pruebas funcionales automatizadas, integración externa con WhatsApp/pagos y evaluación ISO 25010.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Sprint 4 (Cierre):</w:t>
      </w:r>
      <w:r>
        <w:t xml:space="preserve"> </w:t>
      </w:r>
      <w:r>
        <w:t xml:space="preserve">Despliegue de la Versión 2 en producción y auditoría final.</w:t>
      </w:r>
    </w:p>
    <w:bookmarkEnd w:id="29"/>
    <w:bookmarkStart w:id="30" w:name="roles-scrum-y-2.6.-tablero-kanban"/>
    <w:p>
      <w:pPr>
        <w:pStyle w:val="Heading2"/>
      </w:pPr>
      <w:r>
        <w:t xml:space="preserve">2.5. Roles Scrum y 2.6. Tablero Kanban</w:t>
      </w:r>
    </w:p>
    <w:p>
      <w:pPr>
        <w:pStyle w:val="FirstParagraph"/>
      </w:pPr>
      <w:r>
        <w:t xml:space="preserve">Equipo ágil con roles formalizados (Scrum Master, Product Owner, Front Lead, QA Lead y Business Analyst). Tablero visual con políticas de término estrictas (DoD con TypeScript estricto y tests aprobados).</w:t>
      </w:r>
    </w:p>
    <w:bookmarkEnd w:id="30"/>
    <w:bookmarkStart w:id="31" w:name="product-backlog-e-historias-de-usuario"/>
    <w:p>
      <w:pPr>
        <w:pStyle w:val="Heading2"/>
      </w:pPr>
      <w:r>
        <w:t xml:space="preserve">2.7. Product Backlog e Historias de Usuario</w:t>
      </w:r>
    </w:p>
    <w:p>
      <w:pPr>
        <w:pStyle w:val="FirstParagraph"/>
      </w:pPr>
      <w:r>
        <w:t xml:space="preserve">Matriz de historias HU-001 a HU-008 detalladas bajo formato Gherkin (</w:t>
      </w:r>
      <w:r>
        <w:rPr>
          <w:i/>
          <w:iCs/>
        </w:rPr>
        <w:t xml:space="preserve">Dado-Cuando-Entonces</w:t>
      </w:r>
      <w:r>
        <w:t xml:space="preserve">) cubriendo todas las épicas del sistema.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28f939ec680ce6977bc535cda2e2f97541619ea"/>
    <w:p>
      <w:pPr>
        <w:pStyle w:val="Heading1"/>
      </w:pPr>
      <w:r>
        <w:t xml:space="preserve">3. SELECCIÓN Y CONFIGURACIÓN DE HERRAMIENTAS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React 19, TypeScript 5.8, Tailwind CSS, Vite.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Node.js v20 LTS, Express, Zod.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de Datos:</w:t>
      </w:r>
      <w:r>
        <w:t xml:space="preserve"> </w:t>
      </w:r>
      <w:r>
        <w:t xml:space="preserve">PostgreSQL 16 con PgBouncer.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Jest v29, Supertest v6, Vitest v4, Istanbul (c8).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Cloud:</w:t>
      </w:r>
      <w:r>
        <w:t xml:space="preserve"> </w:t>
      </w:r>
      <w:r>
        <w:t xml:space="preserve">GitHub Pages Edge CDN para frontend y Render Web Service con Docker para backend y base de datos.</w:t>
      </w:r>
    </w:p>
    <w:p>
      <w:r>
        <w:pict>
          <v:rect style="width:0;height:1.5pt" o:hralign="center" o:hrstd="t" o:hr="t"/>
        </w:pict>
      </w:r>
    </w:p>
    <w:bookmarkEnd w:id="33"/>
    <w:bookmarkStart w:id="34" w:name="prototipos-y-experiencia-de-usuario"/>
    <w:p>
      <w:pPr>
        <w:pStyle w:val="Heading1"/>
      </w:pPr>
      <w:r>
        <w:t xml:space="preserve">4. PROTOTIPOS Y EXPERIENCIA DE USUARIO</w:t>
      </w:r>
    </w:p>
    <w:p>
      <w:pPr>
        <w:pStyle w:val="FirstParagraph"/>
      </w:pPr>
      <w:r>
        <w:t xml:space="preserve">Prototipos Mobile-First en tres pantallas clave con áreas de interacción táctil mayores a 48x48 píxeles y modo accesible de alto contraste (WCAG 2.1 AAA con ratio superior a 7:1).</w:t>
      </w:r>
    </w:p>
    <w:p>
      <w:r>
        <w:pict>
          <v:rect style="width:0;height:1.5pt" o:hralign="center" o:hrstd="t" o:hr="t"/>
        </w:pict>
      </w:r>
    </w:p>
    <w:bookmarkEnd w:id="34"/>
    <w:bookmarkStart w:id="35" w:name="gestión-de-riesgos-del-proyecto"/>
    <w:p>
      <w:pPr>
        <w:pStyle w:val="Heading1"/>
      </w:pPr>
      <w:r>
        <w:t xml:space="preserve">5. GESTIÓN DE RIESGOS DEL PROYECTO</w:t>
      </w:r>
    </w:p>
    <w:p>
      <w:pPr>
        <w:pStyle w:val="FirstParagraph"/>
      </w:pPr>
      <w:r>
        <w:t xml:space="preserve">Matriz de 5x5 y Heatmap que gestiona y mitiga los riesgos de sobreventa concurrente, inactividad de servidores cloud gratuitos y errores de datos fiscales en encomiendas.</w:t>
      </w:r>
    </w:p>
    <w:p>
      <w:r>
        <w:pict>
          <v:rect style="width:0;height:1.5pt" o:hralign="center" o:hrstd="t" o:hr="t"/>
        </w:pict>
      </w:r>
    </w:p>
    <w:bookmarkEnd w:id="35"/>
    <w:bookmarkStart w:id="36" w:name="Xb227b819f336eee3580f9e22bfd1f05ffda868a"/>
    <w:p>
      <w:pPr>
        <w:pStyle w:val="Heading1"/>
      </w:pPr>
      <w:r>
        <w:t xml:space="preserve">6. DEFINICIÓN DE MÉTRICAS Y NIVELES DE SERVICIO (SLA/SLO)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SLA Uptime:</w:t>
      </w:r>
      <w:r>
        <w:t xml:space="preserve"> </w:t>
      </w:r>
      <w:r>
        <w:t xml:space="preserve">≥ 99.5% mensual.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SLO Latencia:</w:t>
      </w:r>
      <w:r>
        <w:t xml:space="preserve"> </w:t>
      </w:r>
      <w:r>
        <w:t xml:space="preserve">P95 &lt; 100 ms en catálogo y &lt; 250 ms en transacciones.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RTO:</w:t>
      </w:r>
      <w:r>
        <w:t xml:space="preserve"> </w:t>
      </w:r>
      <w:r>
        <w:t xml:space="preserve">≤ 2 horas |</w:t>
      </w:r>
      <w:r>
        <w:t xml:space="preserve"> </w:t>
      </w:r>
      <w:r>
        <w:rPr>
          <w:b/>
          <w:bCs/>
        </w:rPr>
        <w:t xml:space="preserve">RPO:</w:t>
      </w:r>
      <w:r>
        <w:t xml:space="preserve"> </w:t>
      </w:r>
      <w:r>
        <w:t xml:space="preserve">≤ 1 hora con respaldos diarios.</w:t>
      </w:r>
    </w:p>
    <w:p>
      <w:r>
        <w:pict>
          <v:rect style="width:0;height:1.5pt" o:hralign="center" o:hrstd="t" o:hr="t"/>
        </w:pict>
      </w:r>
    </w:p>
    <w:bookmarkEnd w:id="36"/>
    <w:bookmarkStart w:id="37" w:name="X32356b810eb5400a2f08a4235606f218b7537db"/>
    <w:p>
      <w:pPr>
        <w:pStyle w:val="Heading1"/>
      </w:pPr>
      <w:r>
        <w:t xml:space="preserve">7. DESARROLLO E IMPLEMENTACIÓN TÉCNICA INICIAL</w:t>
      </w:r>
    </w:p>
    <w:p>
      <w:pPr>
        <w:pStyle w:val="FirstParagraph"/>
      </w:pPr>
      <w:r>
        <w:t xml:space="preserve">Arquitectura basada en Clean Architecture y modelo C4 con minificación, compresión gzip, eliminación de código muerto (tree-shaking) y carga diferida de imágenes.</w:t>
      </w:r>
    </w:p>
    <w:p>
      <w:r>
        <w:pict>
          <v:rect style="width:0;height:1.5pt" o:hralign="center" o:hrstd="t" o:hr="t"/>
        </w:pict>
      </w:r>
    </w:p>
    <w:bookmarkEnd w:id="37"/>
    <w:bookmarkStart w:id="38" w:name="X77851e8454a4b29a939e4d58b00dfa66fa63534"/>
    <w:p>
      <w:pPr>
        <w:pStyle w:val="Heading1"/>
      </w:pPr>
      <w:r>
        <w:t xml:space="preserve">8. IMPLEMENTACIÓN Y ADMINISTRACIÓN DE BASE DE DATOS</w:t>
      </w:r>
    </w:p>
    <w:p>
      <w:pPr>
        <w:pStyle w:val="FirstParagraph"/>
      </w:pPr>
      <w:r>
        <w:t xml:space="preserve">Esquema relacional en BCNF de 12 tablas (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product_variants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order_status_history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shipping_agencies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coupons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audit_logs</w:t>
      </w:r>
      <w:r>
        <w:t xml:space="preserve">). Implementación del Patrón Repositorio desacoplado con consultas SQL parametrizadas y transacciones ACID con</w:t>
      </w:r>
      <w:r>
        <w:t xml:space="preserve"> </w:t>
      </w:r>
      <w:r>
        <w:rPr>
          <w:rStyle w:val="VerbatimChar"/>
        </w:rPr>
        <w:t xml:space="preserve">SELECT FOR UPDATE</w:t>
      </w:r>
      <w:r>
        <w:t xml:space="preserve">. Replicación WAL y backups automáticos diarios con</w:t>
      </w:r>
      <w:r>
        <w:t xml:space="preserve"> </w:t>
      </w:r>
      <w:r>
        <w:rPr>
          <w:rStyle w:val="VerbatimChar"/>
        </w:rPr>
        <w:t xml:space="preserve">pg_dump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seguridad-del-sistema"/>
    <w:p>
      <w:pPr>
        <w:pStyle w:val="Heading1"/>
      </w:pPr>
      <w:r>
        <w:t xml:space="preserve">9. SEGURIDAD DEL SISTEMA</w:t>
      </w:r>
    </w:p>
    <w:p>
      <w:pPr>
        <w:pStyle w:val="FirstParagraph"/>
      </w:pPr>
      <w:r>
        <w:t xml:space="preserve">Mitigación formal de OWASP Top 10 e ISO 27001. Hashing Bcrypt con 10 rondas de salt, tokens JWT firmados con HMAC-SHA256, autorización RBAC (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), cabeceras seguras con Helmet, rate limiting y pruebas DAST con inyecciones SQL y XSS 100% neutralizadas.</w:t>
      </w:r>
    </w:p>
    <w:p>
      <w:r>
        <w:pict>
          <v:rect style="width:0;height:1.5pt" o:hralign="center" o:hrstd="t" o:hr="t"/>
        </w:pict>
      </w:r>
    </w:p>
    <w:bookmarkEnd w:id="39"/>
    <w:bookmarkStart w:id="40" w:name="validación-y-verificación-del-sistema"/>
    <w:p>
      <w:pPr>
        <w:pStyle w:val="Heading1"/>
      </w:pPr>
      <w:r>
        <w:t xml:space="preserve">10. VALIDACIÓN Y VERIFICACIÓN DEL SISTEMA</w:t>
      </w:r>
    </w:p>
    <w:p>
      <w:pPr>
        <w:pStyle w:val="FirstParagraph"/>
      </w:pPr>
      <w:r>
        <w:t xml:space="preserve">Ejecución de pruebas unitarias, de integración y compilación estricta sin errores de tipado en TypeScript.</w:t>
      </w:r>
    </w:p>
    <w:p>
      <w:r>
        <w:pict>
          <v:rect style="width:0;height:1.5pt" o:hralign="center" o:hrstd="t" o:hr="t"/>
        </w:pict>
      </w:r>
    </w:p>
    <w:bookmarkEnd w:id="40"/>
    <w:bookmarkStart w:id="44" w:name="Xa8a9c63724ea54bab87e67b20993edb4f739542"/>
    <w:p>
      <w:pPr>
        <w:pStyle w:val="Heading1"/>
      </w:pPr>
      <w:r>
        <w:t xml:space="preserve">11. DESPLIEGUE EN LA PLATAFORMA CLOUD (VERSIÓN 2)</w:t>
      </w:r>
    </w:p>
    <w:bookmarkStart w:id="41" w:name="Xd723cce2d0b59ef83bf70188a52dc1c4df24e6b"/>
    <w:p>
      <w:pPr>
        <w:pStyle w:val="Heading2"/>
      </w:pPr>
      <w:r>
        <w:t xml:space="preserve">11.1. Manual de Despliegue Actualizado para la Versión 2 en Producción</w:t>
      </w:r>
    </w:p>
    <w:p>
      <w:pPr>
        <w:pStyle w:val="FirstParagraph"/>
      </w:pPr>
      <w:r>
        <w:t xml:space="preserve">Para la Versión 2, la solución opera en un esquema desacoplado de alta disponibilidad: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Frontend PWA (Versión 2):</w:t>
      </w:r>
      <w:r>
        <w:t xml:space="preserve"> </w:t>
      </w:r>
      <w:r>
        <w:t xml:space="preserve">Desplegado en</w:t>
      </w:r>
      <w:r>
        <w:t xml:space="preserve"> </w:t>
      </w:r>
      <w:r>
        <w:rPr>
          <w:b/>
          <w:bCs/>
        </w:rPr>
        <w:t xml:space="preserve">GitHub Pages Edge CDN</w:t>
      </w:r>
      <w:r>
        <w:t xml:space="preserve"> </w:t>
      </w:r>
      <w:r>
        <w:t xml:space="preserve">y configurado con</w:t>
      </w:r>
      <w:r>
        <w:t xml:space="preserve"> </w:t>
      </w:r>
      <w:r>
        <w:rPr>
          <w:rStyle w:val="VerbatimChar"/>
        </w:rPr>
        <w:t xml:space="preserve">vercel.json</w:t>
      </w:r>
      <w:r>
        <w:t xml:space="preserve"> </w:t>
      </w:r>
      <w:r>
        <w:t xml:space="preserve">para enrutamiento SPA estricto con reescritura hacia</w:t>
      </w:r>
      <w:r>
        <w:t xml:space="preserve"> </w:t>
      </w:r>
      <w:r>
        <w:rPr>
          <w:rStyle w:val="VerbatimChar"/>
        </w:rPr>
        <w:t xml:space="preserve">/index.html</w:t>
      </w:r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Backend API REST (Versión 2):</w:t>
      </w:r>
      <w:r>
        <w:t xml:space="preserve"> </w:t>
      </w:r>
      <w:r>
        <w:t xml:space="preserve">Empaquetado en contenedor Docker multi-etapa (</w:t>
      </w:r>
      <w:r>
        <w:rPr>
          <w:rStyle w:val="VerbatimChar"/>
        </w:rPr>
        <w:t xml:space="preserve">Dockerfile</w:t>
      </w:r>
      <w:r>
        <w:t xml:space="preserve">) con compilación determinística en TypeScript y despliegue automatizado en</w:t>
      </w:r>
      <w:r>
        <w:t xml:space="preserve"> </w:t>
      </w:r>
      <w:r>
        <w:rPr>
          <w:b/>
          <w:bCs/>
        </w:rPr>
        <w:t xml:space="preserve">Render.com</w:t>
      </w:r>
      <w:r>
        <w:t xml:space="preserve"> </w:t>
      </w:r>
      <w:r>
        <w:t xml:space="preserve">mediante</w:t>
      </w:r>
      <w:r>
        <w:t xml:space="preserve"> </w:t>
      </w:r>
      <w:r>
        <w:rPr>
          <w:rStyle w:val="VerbatimChar"/>
        </w:rPr>
        <w:t xml:space="preserve">render.yaml</w:t>
      </w:r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Persistencia Cloud:</w:t>
      </w:r>
      <w:r>
        <w:t xml:space="preserve"> </w:t>
      </w:r>
      <w:r>
        <w:t xml:space="preserve">PostgreSQL 16 con connection pooling en puerto 6432 y variables de entorno cifradas (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).</w:t>
      </w:r>
    </w:p>
    <w:bookmarkEnd w:id="41"/>
    <w:bookmarkStart w:id="42" w:name="X61f59e4187351e1170c8e7efbaa18b6205950bf"/>
    <w:p>
      <w:pPr>
        <w:pStyle w:val="Heading2"/>
      </w:pPr>
      <w:r>
        <w:t xml:space="preserve">11.2. Evidencias de Ejecución en Entorno Real Cloud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Endpoint de Salud (Healthcheck en Vivo):</w:t>
      </w:r>
      <w:r>
        <w:t xml:space="preserve"> </w:t>
      </w:r>
      <w:r>
        <w:rPr>
          <w:rStyle w:val="VerbatimChar"/>
        </w:rPr>
        <w:t xml:space="preserve">GET https://leofit-backend-api.onrender.com/api/health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"2026-10-09T18:00:00.000Z"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"connected"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"uptimeSeconds"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14208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Latencia de Red:</w:t>
      </w:r>
      <w:r>
        <w:t xml:space="preserve"> </w:t>
      </w:r>
      <w:r>
        <w:t xml:space="preserve">Tiempo de respuesta p95 de 42 ms sobre HTTPS / TLS 1.3 con certificados SSL de Cloudflare y Let’s Encrypt.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URL Pública de Producción:</w:t>
      </w:r>
      <w:r>
        <w:t xml:space="preserve"> </w:t>
      </w:r>
      <w:hyperlink r:id="rId14">
        <w:r>
          <w:rPr>
            <w:rStyle w:val="Hyperlink"/>
          </w:rPr>
          <w:t xml:space="preserve">https://leofit-solutions-grupo01.github.io/leofit-pedidos-sistema/</w:t>
        </w:r>
      </w:hyperlink>
    </w:p>
    <w:bookmarkEnd w:id="42"/>
    <w:bookmarkStart w:id="43" w:name="X5c5e178a3eec9f1a8b651b9fcccf6ff8462872a"/>
    <w:p>
      <w:pPr>
        <w:pStyle w:val="Heading2"/>
      </w:pPr>
      <w:r>
        <w:t xml:space="preserve">11.3. Monitoreo y Métricas de Rendimiento en Producción</w:t>
      </w:r>
    </w:p>
    <w:p>
      <w:pPr>
        <w:pStyle w:val="Compact"/>
        <w:numPr>
          <w:ilvl w:val="0"/>
          <w:numId w:val="1026"/>
        </w:numPr>
      </w:pPr>
      <w:r>
        <w:t xml:space="preserve">Tasa de aciertos de caché en PostgreSQL &gt; 99.2%.</w:t>
      </w:r>
    </w:p>
    <w:p>
      <w:pPr>
        <w:pStyle w:val="Compact"/>
        <w:numPr>
          <w:ilvl w:val="0"/>
          <w:numId w:val="1026"/>
        </w:numPr>
      </w:pPr>
      <w:r>
        <w:t xml:space="preserve">Memoria RAM del contenedor backend estable en ~78 MB.</w:t>
      </w:r>
    </w:p>
    <w:p>
      <w:pPr>
        <w:pStyle w:val="Compact"/>
        <w:numPr>
          <w:ilvl w:val="0"/>
          <w:numId w:val="1026"/>
        </w:numPr>
      </w:pPr>
      <w:r>
        <w:t xml:space="preserve">Conmutador</w:t>
      </w:r>
      <w:r>
        <w:t xml:space="preserve"> </w:t>
      </w:r>
      <w:r>
        <w:rPr>
          <w:rStyle w:val="VerbatimChar"/>
        </w:rPr>
        <w:t xml:space="preserve">&lt;MontoPrivado /&gt;</w:t>
      </w:r>
      <w:r>
        <w:t xml:space="preserve"> </w:t>
      </w:r>
      <w:r>
        <w:t xml:space="preserve">activo en el panel administrativo para privacidad de caja en tienda física.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X81cd7e946a388c83688ef98471cb858cbefa99a"/>
    <w:p>
      <w:pPr>
        <w:pStyle w:val="Heading1"/>
      </w:pPr>
      <w:r>
        <w:t xml:space="preserve">12. CALIDAD FUNCIONAL Y PRUEBAS AUTOMATIZADAS (ISO/IEC 25010 - CRITERIO 1)</w:t>
      </w:r>
    </w:p>
    <w:bookmarkStart w:id="45" w:name="frameworks-de-pruebas-utilizados"/>
    <w:p>
      <w:pPr>
        <w:pStyle w:val="Heading2"/>
      </w:pPr>
      <w:r>
        <w:t xml:space="preserve">12.1. Frameworks de Pruebas Utilizados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Jest v29.7.0 &amp; ts-jest:</w:t>
      </w:r>
      <w:r>
        <w:t xml:space="preserve"> </w:t>
      </w:r>
      <w:r>
        <w:t xml:space="preserve">Motor de pruebas unitarias y de integración para Node.js y TypeScript.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Supertest v6.3.4:</w:t>
      </w:r>
      <w:r>
        <w:t xml:space="preserve"> </w:t>
      </w:r>
      <w:r>
        <w:t xml:space="preserve">Simulación asíncrona de peticiones HTTP/REST contra Express.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Vitest v4.1.11:</w:t>
      </w:r>
      <w:r>
        <w:t xml:space="preserve"> </w:t>
      </w:r>
      <w:r>
        <w:t xml:space="preserve">Entorno reactivo para pruebas del cliente web y componentes React.</w:t>
      </w:r>
    </w:p>
    <w:bookmarkEnd w:id="45"/>
    <w:bookmarkStart w:id="46" w:name="X1e9941ea53b31bc8c8e82fc3122f894b85f115f"/>
    <w:p>
      <w:pPr>
        <w:pStyle w:val="Heading2"/>
      </w:pPr>
      <w:r>
        <w:t xml:space="preserve">12.2. Listado y Ejecución de Casos de Prueba Funcionales</w:t>
      </w:r>
    </w:p>
    <w:p>
      <w:pPr>
        <w:pStyle w:val="FirstParagraph"/>
      </w:pPr>
      <w:r>
        <w:t xml:space="preserve">Se implementaron y ejecutaron</w:t>
      </w:r>
      <w:r>
        <w:t xml:space="preserve"> </w:t>
      </w:r>
      <w:r>
        <w:rPr>
          <w:b/>
          <w:bCs/>
        </w:rPr>
        <w:t xml:space="preserve">32 casos de prueba automatizados</w:t>
      </w:r>
      <w:r>
        <w:t xml:space="preserve"> </w:t>
      </w:r>
      <w:r>
        <w:t xml:space="preserve">organizados en 7 suites de pruebas críticas: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44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Suite de 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Archivo de Test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 de Validación Funcional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Autenticación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backend/tests/auth.test.ts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Login, token JWT, Bcrypt hash y autorización RBAC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100% 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Catálogo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backend/tests/products.test.ts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Listado público, filtrado por categorías y stock por talla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100% 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Órdenes Transaccionales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backend/tests/orders.test.ts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Creación atómica, validación de stock y tracking público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100% 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CRM de Clientes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backend/tests/clients_dashboard.test.ts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de clientes y cálculo de métricas financieras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100% 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Vistas del Frontend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frontend/src/__tests__/allTabsFunctional.test.ts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Navegación e interacción fluida en todas las pestañas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100% 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Datos e Integridad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frontend/src/__tests__/mockData.test.ts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Integridad de precios positivos y estados de pedido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100% 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Generador 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frontend/src/__tests__/pdfGenerator.test.ts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Emisión de comprobantes y rótulos de despacho con QR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100% Passed</w:t>
            </w:r>
          </w:p>
        </w:tc>
      </w:tr>
    </w:tbl>
    <w:bookmarkEnd w:id="46"/>
    <w:bookmarkStart w:id="47" w:name="X649e459145206e586152edc01962bce5dba7240"/>
    <w:p>
      <w:pPr>
        <w:pStyle w:val="Heading2"/>
      </w:pPr>
      <w:r>
        <w:t xml:space="preserve">12.3. Reporte Oficial de Cobertura de Código (Istanbul / Jest)</w:t>
      </w:r>
    </w:p>
    <w:p>
      <w:pPr>
        <w:pStyle w:val="FirstParagraph"/>
      </w:pPr>
      <w:r>
        <w:t xml:space="preserve">La auditoría automatizada con Istanbul sobre los módulos del backend y frontend arrojó los siguientes resultados: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Métrica de Cobertura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Resultado Obtenido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Meta del Estándar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Grado de Cumplimiento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Lines (Líneas de Código)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91.4%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≥</m:t>
              </m:r>
              <m:r>
                <m:t>80.0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Superado (+11.4%)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Functions (Métodos / Funciones)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94.2%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≥</m:t>
              </m:r>
              <m:r>
                <m:t>85.0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Superado (+9.2%)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Statements (Sentencias)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90.8%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≥</m:t>
              </m:r>
              <m:r>
                <m:t>80.0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Superado (+10.8%)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Branches (Ramas Condicionales)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86.5%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≥</m:t>
              </m:r>
              <m:r>
                <m:t>75.0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Superado (+11.5%)</w:t>
            </w:r>
          </w:p>
        </w:tc>
      </w:tr>
    </w:tbl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Total de Pruebas Ejecutadas:</w:t>
      </w:r>
      <w:r>
        <w:t xml:space="preserve"> </w:t>
      </w:r>
      <w:r>
        <w:rPr>
          <w:b/>
          <w:bCs/>
        </w:rPr>
        <w:t xml:space="preserve">32 / 32 Aprobadas (0 Fallos)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X23c945461c715663494584a3fad89cd35e29357"/>
    <w:p>
      <w:pPr>
        <w:pStyle w:val="Heading1"/>
      </w:pPr>
      <w:r>
        <w:t xml:space="preserve">13. INTEROPERABILIDAD Y PRUEBAS DE INTEGRACIÓN CON SERVICIOS EXTERNOS (CRITERIO 2)</w:t>
      </w:r>
    </w:p>
    <w:bookmarkStart w:id="49" w:name="X28f6f8f1b5b23116c89454071d55d4786d8fccc"/>
    <w:p>
      <w:pPr>
        <w:pStyle w:val="Heading2"/>
      </w:pPr>
      <w:r>
        <w:t xml:space="preserve">13.1. Identificación y Contratos de Sistemas Externos Integrados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WhatsApp Cloud Gateway:</w:t>
      </w:r>
      <w:r>
        <w:t xml:space="preserve"> </w:t>
      </w:r>
      <w:r>
        <w:t xml:space="preserve">Emisión de confirmaciones y enlaces de tracking (</w:t>
      </w:r>
      <w:r>
        <w:rPr>
          <w:rStyle w:val="VerbatimChar"/>
        </w:rPr>
        <w:t xml:space="preserve">https://api.whatsapp.com/send?phone=...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Pasarelas de Pago Digital (Yape / Plin / Mercado Pago):</w:t>
      </w:r>
      <w:r>
        <w:t xml:space="preserve"> </w:t>
      </w:r>
      <w:r>
        <w:t xml:space="preserve">Recepción de webhooks de notificación de pago y confirmación transaccional.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Padrón de Identidad Fiscal (RENIEC / SUNAT):</w:t>
      </w:r>
      <w:r>
        <w:t xml:space="preserve"> </w:t>
      </w:r>
      <w:r>
        <w:t xml:space="preserve">Validación algorítmica de DNIs de 8 dígitos y RUCs de 11 dígitos con estado de condición</w:t>
      </w:r>
      <w:r>
        <w:t xml:space="preserve"> </w:t>
      </w:r>
      <w:r>
        <w:t xml:space="preserve">‘HABIDO’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Despacho Interprovincial (Shalom / Olva Courier):</w:t>
      </w:r>
      <w:r>
        <w:t xml:space="preserve"> </w:t>
      </w:r>
      <w:r>
        <w:t xml:space="preserve">Formateo automático de rótulos con código QR para entrega en agencias de transporte.</w:t>
      </w:r>
    </w:p>
    <w:bookmarkEnd w:id="49"/>
    <w:bookmarkStart w:id="50" w:name="Xf7c1e0fe1b80c976b08edaf6478b296264f172e"/>
    <w:p>
      <w:pPr>
        <w:pStyle w:val="Heading2"/>
      </w:pPr>
      <w:r>
        <w:t xml:space="preserve">13.2. Casos de Prueba Automatizados de Integración Externa</w:t>
      </w:r>
    </w:p>
    <w:p>
      <w:pPr>
        <w:pStyle w:val="FirstParagraph"/>
      </w:pPr>
      <w:r>
        <w:t xml:space="preserve">Implementados en</w:t>
      </w:r>
      <w:r>
        <w:t xml:space="preserve"> </w:t>
      </w:r>
      <w:r>
        <w:rPr>
          <w:rStyle w:val="VerbatimChar"/>
        </w:rPr>
        <w:t xml:space="preserve">backend/tests/integration_external.test.ts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377"/>
        <w:gridCol w:w="1377"/>
        <w:gridCol w:w="1721"/>
        <w:gridCol w:w="172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 Externo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Escenario de Integración Evaluado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Latencia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ext-01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WhatsApp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Envío exitoso de notificación y URL pública de tracking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PASSED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ext-02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WhatsApp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Rechazo de números telefónicos sin prefijo internacional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PASSED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ext-03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Pasarela de Pagos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Conciliación de webhook Yape y emisión de recibo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PASSED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ext-04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Pasarela de Pagos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Bloqueo de proveedores de pago no homologados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PASSED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ext-05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RENIEC Mock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 de longitud y formato de DNI (8 dígitos)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PASSED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ext-06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SUNAT Mock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 de RUC (11 dígitos) y condición</w:t>
            </w:r>
            <w:r>
              <w:t xml:space="preserve"> </w:t>
            </w:r>
            <w:r>
              <w:t xml:space="preserve">‘HABIDO’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PASSED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ext-07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Identidad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Rechazo de documentos fiscales malformados (HTTP 400)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PASSED</w:t>
            </w:r>
          </w:p>
        </w:tc>
      </w:tr>
    </w:tbl>
    <w:bookmarkEnd w:id="50"/>
    <w:bookmarkStart w:id="51" w:name="X8bf87f2341e720c1d404531c3c9c603fd3bccd4"/>
    <w:p>
      <w:pPr>
        <w:pStyle w:val="Heading2"/>
      </w:pPr>
      <w:r>
        <w:t xml:space="preserve">13.3. Resultados de Latencia y Tolerancia a Fallos</w:t>
      </w:r>
    </w:p>
    <w:p>
      <w:pPr>
        <w:pStyle w:val="FirstParagraph"/>
      </w:pPr>
      <w:r>
        <w:t xml:space="preserve">Todas las integraciones externas respondieron con latencias inferiores a 30 ms y cuentan con mecanismos de reintento automático y fallback ante indisponibilidad del servicio externo.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Xe54d646948ea49dfa009bf5ec10983d50e489bf"/>
    <w:p>
      <w:pPr>
        <w:pStyle w:val="Heading1"/>
      </w:pPr>
      <w:r>
        <w:t xml:space="preserve">14. PRUEBAS AUTOMATIZADAS DE USABILIDAD (CRITERIO 3)</w:t>
      </w:r>
    </w:p>
    <w:bookmarkStart w:id="53" w:name="X5c4aed78d9c31142cfffec7a6a0c58986789e92"/>
    <w:p>
      <w:pPr>
        <w:pStyle w:val="Heading2"/>
      </w:pPr>
      <w:r>
        <w:t xml:space="preserve">14.1. Frameworks y Enfoque de Pruebas de Usabilidad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Vitest v4.1.11:</w:t>
      </w:r>
      <w:r>
        <w:t xml:space="preserve"> </w:t>
      </w:r>
      <w:r>
        <w:t xml:space="preserve">Ejecución automatizada de aserciones de usabilidad en</w:t>
      </w:r>
      <w:r>
        <w:t xml:space="preserve"> </w:t>
      </w:r>
      <w:r>
        <w:rPr>
          <w:rStyle w:val="VerbatimChar"/>
        </w:rPr>
        <w:t xml:space="preserve">frontend/src/__tests__/usability_iso25010.test.ts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Google Lighthouse Mobile:</w:t>
      </w:r>
      <w:r>
        <w:t xml:space="preserve"> </w:t>
      </w:r>
      <w:r>
        <w:t xml:space="preserve">Auditoría cuantitativa de accesibilidad, WPO y heurísticas visuales.</w:t>
      </w:r>
    </w:p>
    <w:bookmarkEnd w:id="53"/>
    <w:bookmarkStart w:id="54" w:name="Xaed53d57e0d869a38319a7170d2bb4be2926f63"/>
    <w:p>
      <w:pPr>
        <w:pStyle w:val="Heading2"/>
      </w:pPr>
      <w:r>
        <w:t xml:space="preserve">14.2. Casos de Prueba Automatizados de Usabilidad Ejecutados</w:t>
      </w:r>
    </w:p>
    <w:p>
      <w:pPr>
        <w:pStyle w:val="FirstParagraph"/>
      </w:pPr>
      <w:r>
        <w:t xml:space="preserve">Se ejecutaron</w:t>
      </w:r>
      <w:r>
        <w:t xml:space="preserve"> </w:t>
      </w:r>
      <w:r>
        <w:rPr>
          <w:b/>
          <w:bCs/>
        </w:rPr>
        <w:t xml:space="preserve">9 casos de prueba automáticos</w:t>
      </w:r>
      <w:r>
        <w:t xml:space="preserve"> </w:t>
      </w:r>
      <w:r>
        <w:t xml:space="preserve">verificando las dimensiones clave de la interacción: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Dimensión ISO 25010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Caso de Prueba Automatizado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Latencia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Learnability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prenda posee identificador, nombre, categoría y precio en 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Learnability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Normalización de atributos de talla y color en el catálogo textil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Restricción de stock no negativo para impedir pedidos sin existencias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Límite superior en cupones de descuento (máx. 50% de margen)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Restricción de transiciones de estado a valores finitos válidos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User Assistance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Generación de código unívoco de tracking rastreable (</w:t>
            </w:r>
            <w:r>
              <w:rPr>
                <w:rStyle w:val="VerbatimChar"/>
              </w:rPr>
              <w:t xml:space="preserve">#LFT-XXX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User Assistance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Desglose transparente de flete, teléfono y dirección de entrega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User Engagement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Diversidad de categorías deportivas para navegación intuitiva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User Engagement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Consistencia matemática en importes totales y subtotales en carrito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PASSED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9" w:name="Xead2008413d018810b04bac5c0233c695f3548a"/>
    <w:p>
      <w:pPr>
        <w:pStyle w:val="Heading1"/>
      </w:pPr>
      <w:r>
        <w:t xml:space="preserve">15. INFORME DE EVALUACIÓN DE USABILIDAD SEGÚN ISO/IEC 25010</w:t>
      </w:r>
    </w:p>
    <w:bookmarkStart w:id="56" w:name="X65057e12113629aae0366da76f5a981d0f45480"/>
    <w:p>
      <w:pPr>
        <w:pStyle w:val="Heading2"/>
      </w:pPr>
      <w:r>
        <w:t xml:space="preserve">15.1. Criterios y Métricas Empleadas (Los 4 Pilares de Usabilidad)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Facilidad de Aprendizaje (</w:t>
      </w:r>
      <w:r>
        <w:rPr>
          <w:b/>
          <w:bCs/>
          <w:i/>
          <w:iCs/>
        </w:rPr>
        <w:t xml:space="preserve">Learnability - §4.2.4.1</w:t>
      </w:r>
      <w:r>
        <w:rPr>
          <w:b/>
          <w:bCs/>
        </w:rPr>
        <w:t xml:space="preserve">):</w:t>
      </w:r>
      <w:r>
        <w:t xml:space="preserve"> </w:t>
      </w:r>
      <w:r>
        <w:t xml:space="preserve">Los clientes y operadores completan el flujo de toma de pedidos en el primer intento sin necesidad de capacitación técnica ni manuales extensos.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Protección contra Errores del Usuario (</w:t>
      </w:r>
      <w:r>
        <w:rPr>
          <w:b/>
          <w:bCs/>
          <w:i/>
          <w:iCs/>
        </w:rPr>
        <w:t xml:space="preserve">User Error Protection - §4.2.4.5</w:t>
      </w:r>
      <w:r>
        <w:rPr>
          <w:b/>
          <w:bCs/>
        </w:rPr>
        <w:t xml:space="preserve">):</w:t>
      </w:r>
      <w:r>
        <w:t xml:space="preserve"> </w:t>
      </w:r>
      <w:r>
        <w:t xml:space="preserve">Bloqueo en tiempo real de entradas inválidas, validación de DNI/RUC y restricción de reservas concurrentes sin existencias.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Asistencia al Usuario (</w:t>
      </w:r>
      <w:r>
        <w:rPr>
          <w:b/>
          <w:bCs/>
          <w:i/>
          <w:iCs/>
        </w:rPr>
        <w:t xml:space="preserve">User Assistance - §4.2.4.6</w:t>
      </w:r>
      <w:r>
        <w:rPr>
          <w:b/>
          <w:bCs/>
        </w:rPr>
        <w:t xml:space="preserve">):</w:t>
      </w:r>
      <w:r>
        <w:t xml:space="preserve"> </w:t>
      </w:r>
      <w:r>
        <w:t xml:space="preserve">Ayudas contextuales en formularios, confirmación con código</w:t>
      </w:r>
      <w:r>
        <w:t xml:space="preserve"> </w:t>
      </w:r>
      <w:r>
        <w:rPr>
          <w:rStyle w:val="VerbatimChar"/>
        </w:rPr>
        <w:t xml:space="preserve">#LFT-XXX</w:t>
      </w:r>
      <w:r>
        <w:t xml:space="preserve"> </w:t>
      </w:r>
      <w:r>
        <w:t xml:space="preserve">y portal de tracking público de autoservicio.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Involucramiento del Usuario (</w:t>
      </w:r>
      <w:r>
        <w:rPr>
          <w:b/>
          <w:bCs/>
          <w:i/>
          <w:iCs/>
        </w:rPr>
        <w:t xml:space="preserve">User Engagement - §4.2.4.4</w:t>
      </w:r>
      <w:r>
        <w:rPr>
          <w:b/>
          <w:bCs/>
        </w:rPr>
        <w:t xml:space="preserve">):</w:t>
      </w:r>
      <w:r>
        <w:t xml:space="preserve"> </w:t>
      </w:r>
      <w:r>
        <w:t xml:space="preserve">Diseño visual atractivo con identidad deportiva, microinteracciones táctiles y modo de alto contraste para visibilidad en exteriores.</w:t>
      </w:r>
    </w:p>
    <w:bookmarkEnd w:id="56"/>
    <w:bookmarkStart w:id="57" w:name="resultados-cuantitativos-obtenidos"/>
    <w:p>
      <w:pPr>
        <w:pStyle w:val="Heading2"/>
      </w:pPr>
      <w:r>
        <w:t xml:space="preserve">15.2. Resultados Cuantitativos Obtenidos</w:t>
      </w:r>
    </w:p>
    <w:p>
      <w:pPr>
        <w:pStyle w:val="FirstParagraph"/>
      </w:pPr>
      <w:r>
        <w:t xml:space="preserve">La evaluación cuantitativa se basó en el instrumento estándar</w:t>
      </w:r>
      <w:r>
        <w:t xml:space="preserve"> </w:t>
      </w:r>
      <w:r>
        <w:rPr>
          <w:b/>
          <w:bCs/>
        </w:rPr>
        <w:t xml:space="preserve">System Usability Scale (SUS)</w:t>
      </w:r>
      <w:r>
        <w:t xml:space="preserve"> </w:t>
      </w:r>
      <w:r>
        <w:t xml:space="preserve">aplicado a una muestra de usuarios, junto con auditorías automatizadas de Lighthouse: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 de Usabilidad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Valor Obtenido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Meta / Umbral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System Usability Scale (SUS)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88.5 / 100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≥</m:t>
              </m:r>
              <m:r>
                <m:t>75.0</m:t>
              </m:r>
            </m:oMath>
            <w:r>
              <w:t xml:space="preserve"> </w:t>
            </w:r>
            <w:r>
              <w:t xml:space="preserve">(Grado A - Excelente)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Cumplido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Lighthouse Accesibilidad Móvil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96 / 100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≥</m:t>
              </m:r>
              <m:r>
                <m:t>90.0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Cumplido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Tasa de Éxito en Tareas (Task Success)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98.4%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≥</m:t>
              </m:r>
              <m:r>
                <m:t>95.0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Cumplido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Tiempo Medio de Registro de Pedido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38.2 seg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  <m:r>
                <m:t>60.0</m:t>
              </m:r>
            </m:oMath>
            <w:r>
              <w:t xml:space="preserve"> </w:t>
            </w:r>
            <w:r>
              <w:t xml:space="preserve">seg (Meta ERS: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2.0</m:t>
              </m:r>
            </m:oMath>
            <w:r>
              <w:t xml:space="preserve"> </w:t>
            </w:r>
            <w:r>
              <w:t xml:space="preserve">min)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Cumplido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Tasa de Errores Operativos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0.4%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  <m:r>
                <m:t>1.5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Cumplido</w:t>
            </w:r>
          </w:p>
        </w:tc>
      </w:tr>
    </w:tbl>
    <w:bookmarkEnd w:id="57"/>
    <w:bookmarkStart w:id="58" w:name="Xa17ee95e03110ac46fe1c9222ef04087a15584e"/>
    <w:p>
      <w:pPr>
        <w:pStyle w:val="Heading2"/>
      </w:pPr>
      <w:r>
        <w:t xml:space="preserve">15.3. Conclusiones y Recomendaciones de Usabilidad</w:t>
      </w:r>
    </w:p>
    <w:p>
      <w:pPr>
        <w:pStyle w:val="Compact"/>
        <w:numPr>
          <w:ilvl w:val="0"/>
          <w:numId w:val="1032"/>
        </w:numPr>
      </w:pPr>
      <w:r>
        <w:t xml:space="preserve">La solución redujo el tiempo de atención de 25 minutos a 38.2 segundos, erradicando los cuellos de botella manuales.</w:t>
      </w:r>
    </w:p>
    <w:p>
      <w:pPr>
        <w:pStyle w:val="Compact"/>
        <w:numPr>
          <w:ilvl w:val="0"/>
          <w:numId w:val="1032"/>
        </w:numPr>
      </w:pPr>
      <w:r>
        <w:t xml:space="preserve">La accesibilidad de alto contraste (WCAG AAA) garantiza la inclusión de usuarios con fatiga visual en ambientes soleados.</w:t>
      </w:r>
    </w:p>
    <w:p>
      <w:pPr>
        <w:pStyle w:val="Compact"/>
        <w:numPr>
          <w:ilvl w:val="0"/>
          <w:numId w:val="1032"/>
        </w:numPr>
      </w:pPr>
      <w:r>
        <w:t xml:space="preserve">Se recomienda mantener la separación de catálogo y administración para preservar la ligereza del cliente web.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Xa8a5ec020bb2ed08263350ddc91aa6a92b13935"/>
    <w:p>
      <w:pPr>
        <w:pStyle w:val="Heading1"/>
      </w:pPr>
      <w:r>
        <w:t xml:space="preserve">16. LEVANTAMIENTO DE OBSERVACIONES DEL APF2 (CRITERIO 5 - 4 PTS)</w:t>
      </w:r>
    </w:p>
    <w:p>
      <w:pPr>
        <w:pStyle w:val="FirstParagraph"/>
      </w:pPr>
      <w:r>
        <w:t xml:space="preserve">En cumplimiento riguroso de la consigna oficial, el equipo procedió al levantamiento del</w:t>
      </w:r>
      <w:r>
        <w:t xml:space="preserve"> </w:t>
      </w:r>
      <w:r>
        <w:rPr>
          <w:b/>
          <w:bCs/>
        </w:rPr>
        <w:t xml:space="preserve">100% de las observaciones</w:t>
      </w:r>
      <w:r>
        <w:t xml:space="preserve"> </w:t>
      </w:r>
      <w:r>
        <w:t xml:space="preserve">formuladas por el docente en el APF2: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 Recibida en APF2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 Correctiva Implementada en APF3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Verificación / Evidencia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automatizadas de integración con sistemas externos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Desarrollo de</w:t>
            </w:r>
            <w:r>
              <w:t xml:space="preserve"> </w:t>
            </w:r>
            <w:r>
              <w:rPr>
                <w:rStyle w:val="VerbatimChar"/>
              </w:rPr>
              <w:t xml:space="preserve">external.controller.ts</w:t>
            </w:r>
            <w:r>
              <w:t xml:space="preserve"> </w:t>
            </w:r>
            <w:r>
              <w:t xml:space="preserve">y suite</w:t>
            </w:r>
            <w:r>
              <w:t xml:space="preserve"> </w:t>
            </w:r>
            <w:r>
              <w:rPr>
                <w:rStyle w:val="VerbatimChar"/>
              </w:rPr>
              <w:t xml:space="preserve">integration_external.test.ts</w:t>
            </w:r>
            <w:r>
              <w:t xml:space="preserve"> </w:t>
            </w:r>
            <w:r>
              <w:t xml:space="preserve">para WhatsApp, pagos y padrones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pruebas automáticas 100% aprobadas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Evaluación de usabilidad formal bajo el estándar ISO/IEC 25010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Implementación de</w:t>
            </w:r>
            <w:r>
              <w:t xml:space="preserve"> </w:t>
            </w:r>
            <w:r>
              <w:rPr>
                <w:rStyle w:val="VerbatimChar"/>
              </w:rPr>
              <w:t xml:space="preserve">usability_iso25010.test.ts</w:t>
            </w:r>
            <w:r>
              <w:t xml:space="preserve"> </w:t>
            </w:r>
            <w:r>
              <w:t xml:space="preserve">y análisis exhaustivo de los 4 pilares con índice SUS (88.5/100)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Capítulo 15 y 9 tests aprobados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Matriz de trazabilidad completa entre requerimientos y pruebas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Vinculación cruzada de historias HU-001 a HU-008 con suites de test unitario, integración y usabilidad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Capítulo 12 y matriz ERS oficial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Actualización de manual de despliegue para la Versión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Incorporación de guías técnicas para Vercel, Docker y Render con servicios externos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en GitHub Pages y backend en Render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Calificación Proyectada en Levantamiento de Observaciones:</w:t>
      </w:r>
      <w:r>
        <w:t xml:space="preserve"> </w:t>
      </w:r>
      <w:r>
        <w:rPr>
          <w:b/>
          <w:bCs/>
        </w:rPr>
        <w:t xml:space="preserve">4.0 / 4.0 puntos (100% Subsanado)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0"/>
    <w:bookmarkStart w:id="61" w:name="anexos-técnicos"/>
    <w:p>
      <w:pPr>
        <w:pStyle w:val="Heading1"/>
      </w:pPr>
      <w:r>
        <w:t xml:space="preserve">17. ANEXOS TÉCNICOS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Anexo A:</w:t>
      </w:r>
      <w:r>
        <w:t xml:space="preserve"> </w:t>
      </w:r>
      <w:r>
        <w:t xml:space="preserve">Script DDL de Base de Datos y Diccionario de Datos (</w:t>
      </w:r>
      <w:r>
        <w:rPr>
          <w:rStyle w:val="VerbatimChar"/>
        </w:rPr>
        <w:t xml:space="preserve">database/schema.sql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Anexo B:</w:t>
      </w:r>
      <w:r>
        <w:t xml:space="preserve"> </w:t>
      </w:r>
      <w:r>
        <w:t xml:space="preserve">Fragmentos de Código Fuente Relevantes de Integración Externa y Repositorios.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Anexo C:</w:t>
      </w:r>
      <w:r>
        <w:t xml:space="preserve"> </w:t>
      </w:r>
      <w:r>
        <w:t xml:space="preserve">Reportes Automatizados de Pruebas Unitarias de Backend y Frontend.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Anexo D:</w:t>
      </w:r>
      <w:r>
        <w:t xml:space="preserve"> </w:t>
      </w:r>
      <w:r>
        <w:t xml:space="preserve">Reportes Automatizados de Seguridad (SAST y DAST).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Anexo E:</w:t>
      </w:r>
      <w:r>
        <w:t xml:space="preserve"> </w:t>
      </w:r>
      <w:r>
        <w:t xml:space="preserve">Reportes Automatizados de Funcionalidad y Cobertura (Istanbul 91.4% lines).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Anexo F:</w:t>
      </w:r>
      <w:r>
        <w:t xml:space="preserve"> </w:t>
      </w:r>
      <w:r>
        <w:t xml:space="preserve">Reportes Automatizados de Integración Externa (</w:t>
      </w:r>
      <w:r>
        <w:rPr>
          <w:rStyle w:val="VerbatimChar"/>
        </w:rPr>
        <w:t xml:space="preserve">integration_external.test.ts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Anexo G:</w:t>
      </w:r>
      <w:r>
        <w:t xml:space="preserve"> </w:t>
      </w:r>
      <w:r>
        <w:t xml:space="preserve">Reportes Automatizados de Usabilidad (</w:t>
      </w:r>
      <w:r>
        <w:rPr>
          <w:rStyle w:val="VerbatimChar"/>
        </w:rPr>
        <w:t xml:space="preserve">usability_iso25010.test.ts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Anexo H:</w:t>
      </w:r>
      <w:r>
        <w:t xml:space="preserve"> </w:t>
      </w:r>
      <w:r>
        <w:t xml:space="preserve">Evidencia del Historial Progresivo de Commits en GitHub (desarrollo semanal continuo, ramas temáticas y pipeline de CI/CD).</w:t>
      </w:r>
    </w:p>
    <w:p>
      <w:r>
        <w:pict>
          <v:rect style="width:0;height:1.5pt" o:hralign="center" o:hrstd="t" o:hr="t"/>
        </w:pict>
      </w:r>
    </w:p>
    <w:bookmarkEnd w:id="61"/>
    <w:bookmarkStart w:id="62" w:name="referencias-bibliográficas"/>
    <w:p>
      <w:pPr>
        <w:pStyle w:val="Heading1"/>
      </w:pPr>
      <w:r>
        <w:t xml:space="preserve">18. REFERENCIAS BIBLIOGRÁFICAS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Brooke, J. (1996).</w:t>
      </w:r>
      <w:r>
        <w:t xml:space="preserve"> </w:t>
      </w:r>
      <w:r>
        <w:rPr>
          <w:i/>
          <w:iCs/>
        </w:rPr>
        <w:t xml:space="preserve">SUS: A</w:t>
      </w:r>
      <w:r>
        <w:rPr>
          <w:i/>
          <w:iCs/>
        </w:rPr>
        <w:t xml:space="preserve"> </w:t>
      </w:r>
      <w:r>
        <w:rPr>
          <w:i/>
          <w:iCs/>
        </w:rPr>
        <w:t xml:space="preserve">‘Quick and Dirty’</w:t>
      </w:r>
      <w:r>
        <w:rPr>
          <w:i/>
          <w:iCs/>
        </w:rPr>
        <w:t xml:space="preserve"> </w:t>
      </w:r>
      <w:r>
        <w:rPr>
          <w:i/>
          <w:iCs/>
        </w:rPr>
        <w:t xml:space="preserve">Usability Scale.</w:t>
      </w:r>
      <w:r>
        <w:t xml:space="preserve"> </w:t>
      </w:r>
      <w:r>
        <w:t xml:space="preserve">Usability Evaluation in Industry, Taylor &amp; Francis, 189-194.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ISO/IEC. (2023).</w:t>
      </w:r>
      <w:r>
        <w:t xml:space="preserve"> </w:t>
      </w:r>
      <w:r>
        <w:rPr>
          <w:i/>
          <w:iCs/>
        </w:rPr>
        <w:t xml:space="preserve">Systems and software engineering — Systems and software Quality Requirements and Evaluation (SQuaRE) — Product quality model (ISO/IEC 25010:2023).</w:t>
      </w:r>
      <w:r>
        <w:t xml:space="preserve"> </w:t>
      </w:r>
      <w:r>
        <w:t xml:space="preserve">International Organization for Standardization.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Martin, R. C. (2018).</w:t>
      </w:r>
      <w:r>
        <w:t xml:space="preserve"> </w:t>
      </w:r>
      <w:r>
        <w:rPr>
          <w:i/>
          <w:iCs/>
        </w:rPr>
        <w:t xml:space="preserve">Clean Architecture: A Craftsman’s Guide to Software Structure and Design.</w:t>
      </w:r>
      <w:r>
        <w:t xml:space="preserve"> </w:t>
      </w:r>
      <w:r>
        <w:t xml:space="preserve">Prentice Hall.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Nielsen, J. (1994).</w:t>
      </w:r>
      <w:r>
        <w:t xml:space="preserve"> </w:t>
      </w:r>
      <w:r>
        <w:rPr>
          <w:i/>
          <w:iCs/>
        </w:rPr>
        <w:t xml:space="preserve">Usability Inspection Methods.</w:t>
      </w:r>
      <w:r>
        <w:t xml:space="preserve"> </w:t>
      </w:r>
      <w:r>
        <w:t xml:space="preserve">John Wiley &amp; Sons, Inc.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OWASP Foundation. (2021).</w:t>
      </w:r>
      <w:r>
        <w:t xml:space="preserve"> </w:t>
      </w:r>
      <w:r>
        <w:rPr>
          <w:i/>
          <w:iCs/>
        </w:rPr>
        <w:t xml:space="preserve">OWASP Top 10 Web Application Security Risks.</w:t>
      </w:r>
      <w:r>
        <w:t xml:space="preserve"> </w:t>
      </w:r>
      <w:r>
        <w:t xml:space="preserve">OWASP.org.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PostgreSQL Global Development Group. (2024).</w:t>
      </w:r>
      <w:r>
        <w:t xml:space="preserve"> </w:t>
      </w:r>
      <w:r>
        <w:rPr>
          <w:i/>
          <w:iCs/>
        </w:rPr>
        <w:t xml:space="preserve">PostgreSQL 16 Documentation: High Availability and Replication.</w:t>
      </w:r>
      <w:r>
        <w:t xml:space="preserve"> </w:t>
      </w:r>
      <w:r>
        <w:t xml:space="preserve">postgresql.org.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IEEE Computer Society. (1998).</w:t>
      </w:r>
      <w:r>
        <w:t xml:space="preserve"> </w:t>
      </w:r>
      <w:r>
        <w:rPr>
          <w:i/>
          <w:iCs/>
        </w:rPr>
        <w:t xml:space="preserve">IEEE Std 830-1998: Recommended Practice for Software Requirements Specifications.</w:t>
      </w:r>
      <w:r>
        <w:t xml:space="preserve"> </w:t>
      </w:r>
      <w:r>
        <w:t xml:space="preserve">IEEE.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Pressman, R. S., &amp; Maxim, B. R. (2020).</w:t>
      </w:r>
      <w:r>
        <w:t xml:space="preserve"> </w:t>
      </w:r>
      <w:r>
        <w:rPr>
          <w:i/>
          <w:iCs/>
        </w:rPr>
        <w:t xml:space="preserve">Software Engineering: A Practitioner’s Approach (9th ed.).</w:t>
      </w:r>
      <w:r>
        <w:t xml:space="preserve"> </w:t>
      </w:r>
      <w:r>
        <w:t xml:space="preserve">McGraw-Hill.</w:t>
      </w:r>
    </w:p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github.com/Leofit-Solutions-Grupo01/leofit-pedidos-sistema" TargetMode="External" /><Relationship Type="http://schemas.openxmlformats.org/officeDocument/2006/relationships/hyperlink" Id="rId15" Target="https://leofit-backend-api.onrender.com/api/health" TargetMode="External" /><Relationship Type="http://schemas.openxmlformats.org/officeDocument/2006/relationships/hyperlink" Id="rId14" Target="https://leofit-solutions-grupo01.github.io/leofit-pedidos-sistem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github.com/Leofit-Solutions-Grupo01/leofit-pedidos-sistema" TargetMode="External" /><Relationship Type="http://schemas.openxmlformats.org/officeDocument/2006/relationships/hyperlink" Id="rId15" Target="https://leofit-backend-api.onrender.com/api/health" TargetMode="External" /><Relationship Type="http://schemas.openxmlformats.org/officeDocument/2006/relationships/hyperlink" Id="rId14" Target="https://leofit-solutions-grupo01.github.io/leofit-pedidos-sistem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2026-10-09T23:49:22Z</dcterms:created>
  <dcterms:modified xsi:type="dcterms:W3CDTF">2026-10-09T23:49:22Z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