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PROFUNDIZACIÓN FORMAL, TÉCNICA Y OBJETIVA EN SEGURIDAD INFORMÁTICA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- LEOFIT SOLUTIONS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UTP - CURSO INTEGRADOR II (100000S12F) | GRUPO 01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PROPÓSITO Y CONTEXTO DE LA RETROALIMENTACIÓN DOCENTE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Durante la evaluación académica de proyectos de software en ingeniería de sistemas, los docentes y jurados calificadores suelen observar que la sección de seguridad se redacta con afirmaciones genéricas (como </w:t>
      </w:r>
      <w:r>
        <w:rPr>
          <w:rFonts w:ascii="Calibri" w:hAnsi="Calibri"/>
          <w:i/>
          <w:color w:val="1E293B"/>
          <w:sz w:val="22"/>
        </w:rPr>
        <w:t>"el sistema es seguro porque usamos JWT y Bcrypt"</w:t>
      </w:r>
      <w:r>
        <w:rPr>
          <w:rFonts w:ascii="Calibri" w:hAnsi="Calibri"/>
          <w:color w:val="1E293B"/>
          <w:sz w:val="22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La exigencia de </w:t>
      </w:r>
      <w:r>
        <w:rPr>
          <w:rFonts w:ascii="Calibri" w:hAnsi="Calibri"/>
          <w:b/>
          <w:color w:val="1E293B"/>
          <w:sz w:val="22"/>
        </w:rPr>
        <w:t>"profundizar en la seguridad de manera formal y técnica pero objetiva y entendible"</w:t>
      </w:r>
      <w:r>
        <w:rPr>
          <w:rFonts w:ascii="Calibri" w:hAnsi="Calibri"/>
          <w:color w:val="1E293B"/>
          <w:sz w:val="22"/>
        </w:rPr>
        <w:t xml:space="preserve"> significa: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Formal y Técnica:</w:t>
      </w:r>
      <w:r>
        <w:rPr>
          <w:rFonts w:ascii="Calibri" w:hAnsi="Calibri"/>
          <w:color w:val="1E293B"/>
          <w:sz w:val="21"/>
        </w:rPr>
        <w:t xml:space="preserve"> Detallar con precisión los algoritmos criptográficos utilizados, longitud de claves, vectores de ataque analizados y código fuente de mitigación.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Objetiva:</w:t>
      </w:r>
      <w:r>
        <w:rPr>
          <w:rFonts w:ascii="Calibri" w:hAnsi="Calibri"/>
          <w:color w:val="1E293B"/>
          <w:sz w:val="21"/>
        </w:rPr>
        <w:t xml:space="preserve"> Enfocar la seguridad en el contexto real del negocio de LeoFit (Gamarra, pedidos multicanal por WhatsApp, cobros y catálogo textil), identificando qué activos están en riesgo.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Entendible:</w:t>
      </w:r>
      <w:r>
        <w:rPr>
          <w:rFonts w:ascii="Calibri" w:hAnsi="Calibri"/>
          <w:color w:val="1E293B"/>
          <w:sz w:val="21"/>
        </w:rPr>
        <w:t xml:space="preserve"> Explicar el principio de </w:t>
      </w:r>
      <w:r>
        <w:rPr>
          <w:rFonts w:ascii="Calibri" w:hAnsi="Calibri"/>
          <w:b/>
          <w:color w:val="1E293B"/>
          <w:sz w:val="21"/>
        </w:rPr>
        <w:t>Defensa en Profundidad (*Defense-in-Depth*)</w:t>
      </w:r>
      <w:r>
        <w:rPr>
          <w:rFonts w:ascii="Calibri" w:hAnsi="Calibri"/>
          <w:color w:val="1E293B"/>
          <w:sz w:val="21"/>
        </w:rPr>
        <w:t xml:space="preserve"> mediante un modelo de amenazas estructurado y demostrable ante el jurado.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MODELO DE AMENAZAS DEL SISTEMA LEOFIT (MATRIZ STRIDE)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Para estructurar la seguridad de forma metódica, el sistema LeoFit se evaluó bajo el modelo de amenazas </w:t>
      </w:r>
      <w:r>
        <w:rPr>
          <w:rFonts w:ascii="Calibri" w:hAnsi="Calibri"/>
          <w:b/>
          <w:color w:val="1E293B"/>
          <w:sz w:val="22"/>
        </w:rPr>
        <w:t>STRIDE</w:t>
      </w:r>
      <w:r>
        <w:rPr>
          <w:rFonts w:ascii="Calibri" w:hAnsi="Calibri"/>
          <w:color w:val="1E293B"/>
          <w:sz w:val="22"/>
        </w:rPr>
        <w:t xml:space="preserve"> (desarrollado por Microsoft y estándar en ingeniería de software):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Vector STRIDE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Amenaza en el Contexto de LeoFit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Riesgo de Negocio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Control Técnico Implementado en el Código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 - Spoofing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>(Suplantación)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 atacante intenta hacerse pasar por Víctor Cárdenas (Admin) adivinando contraseñas por fuerza bruta.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Acceso indebido a finanzas y modificación fraudulenta de precios.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Hashing con </w:t>
            </w:r>
            <w:r>
              <w:rPr>
                <w:rFonts w:ascii="Consolas" w:hAnsi="Consolas"/>
                <w:color w:val="C2410C"/>
                <w:sz w:val="19"/>
              </w:rPr>
              <w:t>bcrypt</w:t>
            </w:r>
            <w:r>
              <w:rPr>
                <w:rFonts w:ascii="Calibri" w:hAnsi="Calibri"/>
                <w:color w:val="1E293B"/>
                <w:sz w:val="19"/>
              </w:rPr>
              <w:t xml:space="preserve"> (10 rounds de salting) + Rate Limiting estricto (máx. 20 intentos por 15 min en </w:t>
            </w:r>
            <w:r>
              <w:rPr>
                <w:rFonts w:ascii="Consolas" w:hAnsi="Consolas"/>
                <w:color w:val="C2410C"/>
                <w:sz w:val="19"/>
              </w:rPr>
              <w:t>/api/auth/login</w:t>
            </w:r>
            <w:r>
              <w:rPr>
                <w:rFonts w:ascii="Calibri" w:hAnsi="Calibri"/>
                <w:color w:val="1E293B"/>
                <w:sz w:val="19"/>
              </w:rPr>
              <w:t>).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T - Tampering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>(Manipulación)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 cliente intercepta la petición HTTP y altera el precio total de una prenda de S/ 89.90 a S/ 1.00.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Venta por debajo del costo y quiebre comercial.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Validación autoritativa en el Backend:</w:t>
            </w:r>
            <w:r>
              <w:rPr>
                <w:rFonts w:ascii="Calibri" w:hAnsi="Calibri"/>
                <w:color w:val="1E293B"/>
                <w:sz w:val="19"/>
              </w:rPr>
              <w:t xml:space="preserve"> El servidor ignora el total enviado por el cliente y recalcula los precios consultando la BD con validación Zod.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R - Repudiation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>(Repudio)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 operador cambia el estado de un pedido a "Cancelado" y luego niega haberlo hecho.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Descoordinación de almacén y pérdida de pedidos.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Tabla inmutable de auditoría (</w:t>
            </w:r>
            <w:r>
              <w:rPr>
                <w:rFonts w:ascii="Consolas" w:hAnsi="Consolas"/>
                <w:color w:val="C2410C"/>
                <w:sz w:val="19"/>
              </w:rPr>
              <w:t>audit_logs</w:t>
            </w:r>
            <w:r>
              <w:rPr>
                <w:rFonts w:ascii="Calibri" w:hAnsi="Calibri"/>
                <w:color w:val="1E293B"/>
                <w:sz w:val="19"/>
              </w:rPr>
              <w:t xml:space="preserve">) con triggers en PostgreSQL que registran </w:t>
            </w:r>
            <w:r>
              <w:rPr>
                <w:rFonts w:ascii="Consolas" w:hAnsi="Consolas"/>
                <w:color w:val="C2410C"/>
                <w:sz w:val="19"/>
              </w:rPr>
              <w:t>user_id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ip_address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C2410C"/>
                <w:sz w:val="19"/>
              </w:rPr>
              <w:t>timestamp_utc</w:t>
            </w:r>
            <w:r>
              <w:rPr>
                <w:rFonts w:ascii="Calibri" w:hAnsi="Calibri"/>
                <w:color w:val="1E293B"/>
                <w:sz w:val="19"/>
              </w:rPr>
              <w:t xml:space="preserve"> y </w:t>
            </w:r>
            <w:r>
              <w:rPr>
                <w:rFonts w:ascii="Consolas" w:hAnsi="Consolas"/>
                <w:color w:val="C2410C"/>
                <w:sz w:val="19"/>
              </w:rPr>
              <w:t>old_value/new_value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 - Information Disclosure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>(Fuga de Información)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Inyección SQL en el buscador de pedidos para extraer la base de datos de teléfonos y nombres de clientes.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Violación de la Ley N° 29733 de Protección de Datos Personales de Perú.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Consultas 100% parametrizadas</w:t>
            </w:r>
            <w:r>
              <w:rPr>
                <w:rFonts w:ascii="Calibri" w:hAnsi="Calibri"/>
                <w:color w:val="1E293B"/>
                <w:sz w:val="19"/>
              </w:rPr>
              <w:t xml:space="preserve"> con el patrón Repositorio en PostgreSQL (</w:t>
            </w:r>
            <w:r>
              <w:rPr>
                <w:rFonts w:ascii="Consolas" w:hAnsi="Consolas"/>
                <w:color w:val="C2410C"/>
                <w:sz w:val="19"/>
              </w:rPr>
              <w:t>$1, $2</w:t>
            </w:r>
            <w:r>
              <w:rPr>
                <w:rFonts w:ascii="Calibri" w:hAnsi="Calibri"/>
                <w:color w:val="1E293B"/>
                <w:sz w:val="19"/>
              </w:rPr>
              <w:t>). Ninguna concatenación de cadenas.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 - Denial of Service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>(Denegación de Servicio)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Bots envían miles de peticiones por segundo al endpoint de catálogo para colapsar el servidor.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Clientes y vendedores no pueden registrar pedidos en hora punta.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Middleware </w:t>
            </w:r>
            <w:r>
              <w:rPr>
                <w:rFonts w:ascii="Consolas" w:hAnsi="Consolas"/>
                <w:color w:val="C2410C"/>
                <w:sz w:val="19"/>
              </w:rPr>
              <w:t>express-rate-limit</w:t>
            </w:r>
            <w:r>
              <w:rPr>
                <w:rFonts w:ascii="Calibri" w:hAnsi="Calibri"/>
                <w:color w:val="1E293B"/>
                <w:sz w:val="19"/>
              </w:rPr>
              <w:t xml:space="preserve"> con ventana deslizante (máximo 100 peticiones por 15 minutos por IP).</w:t>
            </w:r>
          </w:p>
        </w:tc>
      </w:tr>
      <w:tr>
        <w:trPr>
          <w:trHeight w:val="280"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E - Elevation of Privilege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>(Escalamiento de Privilegios)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Un vendedor con rol </w:t>
            </w:r>
            <w:r>
              <w:rPr>
                <w:rFonts w:ascii="Consolas" w:hAnsi="Consolas"/>
                <w:color w:val="C2410C"/>
                <w:sz w:val="19"/>
              </w:rPr>
              <w:t>VENDEDOR</w:t>
            </w:r>
            <w:r>
              <w:rPr>
                <w:rFonts w:ascii="Calibri" w:hAnsi="Calibri"/>
                <w:color w:val="1E293B"/>
                <w:sz w:val="19"/>
              </w:rPr>
              <w:t xml:space="preserve"> envía peticiones directas al endpoint </w:t>
            </w:r>
            <w:r>
              <w:rPr>
                <w:rFonts w:ascii="Consolas" w:hAnsi="Consolas"/>
                <w:color w:val="C2410C"/>
                <w:sz w:val="19"/>
              </w:rPr>
              <w:t>/api/dashboard</w:t>
            </w:r>
            <w:r>
              <w:rPr>
                <w:rFonts w:ascii="Calibri" w:hAnsi="Calibri"/>
                <w:color w:val="1E293B"/>
                <w:sz w:val="19"/>
              </w:rPr>
              <w:t xml:space="preserve"> o altera el stock de almacén.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Sabotaje de inventario y fuga de métricas gerenciales de facturación.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Middleware RBAC </w:t>
            </w:r>
            <w:r>
              <w:rPr>
                <w:rFonts w:ascii="Consolas" w:hAnsi="Consolas"/>
                <w:color w:val="C2410C"/>
                <w:sz w:val="19"/>
              </w:rPr>
              <w:t>requireRole(['ADMIN'])</w:t>
            </w:r>
            <w:r>
              <w:rPr>
                <w:rFonts w:ascii="Calibri" w:hAnsi="Calibri"/>
                <w:color w:val="1E293B"/>
                <w:sz w:val="19"/>
              </w:rPr>
              <w:t xml:space="preserve"> que valida criptográficamente el claim </w:t>
            </w:r>
            <w:r>
              <w:rPr>
                <w:rFonts w:ascii="Consolas" w:hAnsi="Consolas"/>
                <w:color w:val="C2410C"/>
                <w:sz w:val="19"/>
              </w:rPr>
              <w:t>role</w:t>
            </w:r>
            <w:r>
              <w:rPr>
                <w:rFonts w:ascii="Calibri" w:hAnsi="Calibri"/>
                <w:color w:val="1E293B"/>
                <w:sz w:val="19"/>
              </w:rPr>
              <w:t xml:space="preserve"> dentro del JWT firmado con HMAC-SHA256.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ARQUITECTURA DE DEFENSA EN PROFUNDIDAD (LOS 7 NIVELES TÉCNICOS)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sistema implementa 7 capas concéntricas de seguridad técnica: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[1. Capa de Red y Transporte: HTTPS / TLS 1.3 con Cifrado ECDHE]</w:t>
        <w:br/>
        <w:t xml:space="preserve">      └── [2. Capa Perimetral HTTP: Cabeceras Helmet + CORS Whitelist + Rate Limiting]</w:t>
        <w:br/>
        <w:t xml:space="preserve">            └── [3. Capa de Autenticación: Bcrypt Salteado + JWT Stateless HS256]</w:t>
        <w:br/>
        <w:t xml:space="preserve">                  └── [4. Capa de Autorización: RBAC con Principio de Menor Privilegio]</w:t>
        <w:br/>
        <w:t xml:space="preserve">                        └── [5. Capa de Validación de Entrada: Esquemas Estrictos Zod]</w:t>
        <w:br/>
        <w:t xml:space="preserve">                              └── [6. Capa de Persistencia: Consultas Preparadas en PostgreSQL]</w:t>
        <w:br/>
        <w:t xml:space="preserve">                                    └── [7. Capa de Trazabilidad: Auditoría Inmutable y Backups WAL]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1: Cifrado en Tránsito y Red (Transport Layer Security - TLS 1.3)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Algoritmo de Intercambio de Claves:</w:t>
      </w:r>
      <w:r>
        <w:rPr>
          <w:rFonts w:ascii="Calibri" w:hAnsi="Calibri"/>
          <w:color w:val="1E293B"/>
          <w:sz w:val="21"/>
        </w:rPr>
        <w:t xml:space="preserve"> Diffie-Hellman Efímero de Curva Elíptica (</w:t>
      </w:r>
      <w:r>
        <w:rPr>
          <w:rFonts w:ascii="Calibri" w:hAnsi="Calibri"/>
          <w:b/>
          <w:color w:val="1E293B"/>
          <w:sz w:val="21"/>
        </w:rPr>
        <w:t>ECDHE</w:t>
      </w:r>
      <w:r>
        <w:rPr>
          <w:rFonts w:ascii="Calibri" w:hAnsi="Calibri"/>
          <w:color w:val="1E293B"/>
          <w:sz w:val="21"/>
        </w:rPr>
        <w:t xml:space="preserve"> - </w:t>
      </w:r>
      <w:r>
        <w:rPr>
          <w:rFonts w:ascii="Calibri" w:hAnsi="Calibri"/>
          <w:i/>
          <w:color w:val="1E293B"/>
          <w:sz w:val="21"/>
        </w:rPr>
        <w:t>Elliptic Curve Diffie-Hellman Ephemeral</w:t>
      </w:r>
      <w:r>
        <w:rPr>
          <w:rFonts w:ascii="Calibri" w:hAnsi="Calibri"/>
          <w:color w:val="1E293B"/>
          <w:sz w:val="21"/>
        </w:rPr>
        <w:t xml:space="preserve">), garantizando </w:t>
      </w:r>
      <w:r>
        <w:rPr>
          <w:rFonts w:ascii="Calibri" w:hAnsi="Calibri"/>
          <w:b/>
          <w:color w:val="1E293B"/>
          <w:sz w:val="21"/>
        </w:rPr>
        <w:t>Perfect Forward Secrecy (PFS)</w:t>
      </w:r>
      <w:r>
        <w:rPr>
          <w:rFonts w:ascii="Calibri" w:hAnsi="Calibri"/>
          <w:color w:val="1E293B"/>
          <w:sz w:val="21"/>
        </w:rPr>
        <w:t>. Si la clave privada del servidor se viera comprometida en el futuro, las sesiones pasadas no pueden ser descifradas.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Cifrado Simétrico Autenticado (AEAD):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AES-256-GCM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alibri" w:hAnsi="Calibri"/>
          <w:i/>
          <w:color w:val="1E293B"/>
          <w:sz w:val="21"/>
        </w:rPr>
        <w:t>Galois/Counter Mode</w:t>
      </w:r>
      <w:r>
        <w:rPr>
          <w:rFonts w:ascii="Calibri" w:hAnsi="Calibri"/>
          <w:color w:val="1E293B"/>
          <w:sz w:val="21"/>
        </w:rPr>
        <w:t>), proveyendo simultáneamente confidencialidad e integridad criptográfica en cada paquete transmitido.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Cabecera HSTS: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Strict-Transport-Security: max-age=31536000; includeSubDomains; preload</w:t>
      </w:r>
      <w:r>
        <w:rPr>
          <w:rFonts w:ascii="Calibri" w:hAnsi="Calibri"/>
          <w:color w:val="1E293B"/>
          <w:sz w:val="21"/>
        </w:rPr>
        <w:t xml:space="preserve"> forzando a los navegadores a conectarse únicamente mediante HTTPS.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2: Perímetro y Endurecimiento HTTP (Helmet &amp; CORS)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En </w:t>
      </w:r>
      <w:r>
        <w:rPr>
          <w:rFonts w:ascii="Consolas" w:hAnsi="Consolas"/>
          <w:color w:val="C2410C"/>
          <w:sz w:val="19"/>
        </w:rPr>
        <w:t>backend/src/app.ts</w:t>
      </w:r>
      <w:r>
        <w:rPr>
          <w:rFonts w:ascii="Calibri" w:hAnsi="Calibri"/>
          <w:color w:val="1E293B"/>
          <w:sz w:val="22"/>
        </w:rPr>
        <w:t xml:space="preserve">, se configura la librería </w:t>
      </w:r>
      <w:r>
        <w:rPr>
          <w:rFonts w:ascii="Calibri" w:hAnsi="Calibri"/>
          <w:b/>
          <w:color w:val="1E293B"/>
          <w:sz w:val="22"/>
        </w:rPr>
        <w:t>Helmet</w:t>
      </w:r>
      <w:r>
        <w:rPr>
          <w:rFonts w:ascii="Calibri" w:hAnsi="Calibri"/>
          <w:color w:val="1E293B"/>
          <w:sz w:val="22"/>
        </w:rPr>
        <w:t xml:space="preserve"> para inyectar cabeceras defensivas que neutralizan vectores comunes del navegador: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Anti Clickjacking (`X-Frame-Options: DENY`):</w:t>
      </w:r>
      <w:r>
        <w:rPr>
          <w:rFonts w:ascii="Calibri" w:hAnsi="Calibri"/>
          <w:color w:val="1E293B"/>
          <w:sz w:val="21"/>
        </w:rPr>
        <w:t xml:space="preserve"> Impide que atacantes incrusten la plataforma LeoFit dentro de un </w:t>
      </w:r>
      <w:r>
        <w:rPr>
          <w:rFonts w:ascii="Consolas" w:hAnsi="Consolas"/>
          <w:color w:val="C2410C"/>
          <w:sz w:val="19"/>
        </w:rPr>
        <w:t>&lt;iframe&gt;</w:t>
      </w:r>
      <w:r>
        <w:rPr>
          <w:rFonts w:ascii="Calibri" w:hAnsi="Calibri"/>
          <w:color w:val="1E293B"/>
          <w:sz w:val="21"/>
        </w:rPr>
        <w:t xml:space="preserve"> invisible en un sitio malicioso para inducir clics involuntarios de compra.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Anti MIME Sniffing (`X-Content-Type-Options: nosniff`):</w:t>
      </w:r>
      <w:r>
        <w:rPr>
          <w:rFonts w:ascii="Calibri" w:hAnsi="Calibri"/>
          <w:color w:val="1E293B"/>
          <w:sz w:val="21"/>
        </w:rPr>
        <w:t xml:space="preserve"> Prohíbe al navegador interpretar archivos JSON o imágenes como scripts ejecutables JavaScript.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Protección de Referencias (`Referrer-Policy: strict-origin-when-cross-origin`):</w:t>
      </w:r>
      <w:r>
        <w:rPr>
          <w:rFonts w:ascii="Calibri" w:hAnsi="Calibri"/>
          <w:color w:val="1E293B"/>
          <w:sz w:val="21"/>
        </w:rPr>
        <w:t xml:space="preserve"> Evita que tokens o parámetros sensibles de la URL se filtren hacia servidores de analítica externa.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Política CORS Estricta:</w:t>
      </w:r>
      <w:r>
        <w:rPr>
          <w:rFonts w:ascii="Calibri" w:hAnsi="Calibri"/>
          <w:color w:val="1E293B"/>
          <w:sz w:val="21"/>
        </w:rPr>
        <w:t xml:space="preserve"> Se deniegan peticiones de orígenes cruzados arbitrarios, aceptando únicamente el dominio de producción de LeoFit y localhost en desarrollo.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3: Autenticación Robusta y Criptografía de Credenciales (Bcrypt + JWT)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1. Hashing de Contraseñas con Bcrypt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Algoritmo:</w:t>
      </w:r>
      <w:r>
        <w:rPr>
          <w:rFonts w:ascii="Calibri" w:hAnsi="Calibri"/>
          <w:color w:val="1E293B"/>
          <w:sz w:val="21"/>
        </w:rPr>
        <w:t xml:space="preserve"> Función de derivación de claves basada en el cifrador por bloques </w:t>
      </w:r>
      <w:r>
        <w:rPr>
          <w:rFonts w:ascii="Calibri" w:hAnsi="Calibri"/>
          <w:i/>
          <w:color w:val="1E293B"/>
          <w:sz w:val="21"/>
        </w:rPr>
        <w:t>Blowfish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Factor de Costo (Work Factor / Rounds):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10 rondas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alibri" w:hAnsi="Calibri"/>
          <w:i/>
          <w:color w:val="1E293B"/>
          <w:sz w:val="21"/>
        </w:rPr>
        <w:t>2^10 = 1,024</w:t>
      </w:r>
      <w:r>
        <w:rPr>
          <w:rFonts w:ascii="Calibri" w:hAnsi="Calibri"/>
          <w:color w:val="1E293B"/>
          <w:sz w:val="21"/>
        </w:rPr>
        <w:t xml:space="preserve"> iteraciones).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Salting Criptográfico:</w:t>
      </w:r>
      <w:r>
        <w:rPr>
          <w:rFonts w:ascii="Calibri" w:hAnsi="Calibri"/>
          <w:color w:val="1E293B"/>
          <w:sz w:val="21"/>
        </w:rPr>
        <w:t xml:space="preserve"> Se genera una sal aleatoria de </w:t>
      </w:r>
      <w:r>
        <w:rPr>
          <w:rFonts w:ascii="Calibri" w:hAnsi="Calibri"/>
          <w:b/>
          <w:color w:val="1E293B"/>
          <w:sz w:val="21"/>
        </w:rPr>
        <w:t>128 bits</w:t>
      </w:r>
      <w:r>
        <w:rPr>
          <w:rFonts w:ascii="Calibri" w:hAnsi="Calibri"/>
          <w:color w:val="1E293B"/>
          <w:sz w:val="21"/>
        </w:rPr>
        <w:t xml:space="preserve"> por cada contraseña, lo que garantiza que dos usuarios con la misma contraseña tengan hashes completamente diferentes en la base de datos, anulando por completo los ataques de tablas arcoíris (</w:t>
      </w:r>
      <w:r>
        <w:rPr>
          <w:rFonts w:ascii="Calibri" w:hAnsi="Calibri"/>
          <w:i/>
          <w:color w:val="1E293B"/>
          <w:sz w:val="21"/>
        </w:rPr>
        <w:t>Rainbow Tables</w:t>
      </w:r>
      <w:r>
        <w:rPr>
          <w:rFonts w:ascii="Calibri" w:hAnsi="Calibri"/>
          <w:color w:val="1E293B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Resistencia a Ataques por GPU:</w:t>
      </w:r>
      <w:r>
        <w:rPr>
          <w:rFonts w:ascii="Calibri" w:hAnsi="Calibri"/>
          <w:color w:val="1E293B"/>
          <w:sz w:val="21"/>
        </w:rPr>
        <w:t xml:space="preserve"> A diferencia de MD5 o SHA-256 (que son funciones de hash criptográfico rápidas diseñadas para firmas de datos y fácilmente vulnerables a fuerza bruta masiva por tarjetas gráficas), Bcrypt es intensivo en memoria (</w:t>
      </w:r>
      <w:r>
        <w:rPr>
          <w:rFonts w:ascii="Calibri" w:hAnsi="Calibri"/>
          <w:i/>
          <w:color w:val="1E293B"/>
          <w:sz w:val="21"/>
        </w:rPr>
        <w:t>memory-hard</w:t>
      </w:r>
      <w:r>
        <w:rPr>
          <w:rFonts w:ascii="Calibri" w:hAnsi="Calibri"/>
          <w:color w:val="1E293B"/>
          <w:sz w:val="21"/>
        </w:rPr>
        <w:t>), limitando la velocidad de cracking a pocos intentos por segundo por hardware.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2. Emisión y Verificación de Tokens JWT (RFC 7519)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Algoritmo de Firma: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HMAC-SHA256 (`HS256`)</w:t>
      </w:r>
      <w:r>
        <w:rPr>
          <w:rFonts w:ascii="Calibri" w:hAnsi="Calibri"/>
          <w:color w:val="1E293B"/>
          <w:sz w:val="21"/>
        </w:rPr>
        <w:t>, combinando el secreto del servidor con el payload mediante la función hash criptográfica SHA-256.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Estructura del Payload: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 xml:space="preserve">  {</w:t>
        <w:br/>
        <w:t xml:space="preserve">    "sub": "usr_98a72b",</w:t>
        <w:br/>
        <w:t xml:space="preserve">    "email": "admin@leofit.pe",</w:t>
        <w:br/>
        <w:t xml:space="preserve">    "role": "ADMIN",</w:t>
        <w:br/>
        <w:t xml:space="preserve">    "iat": 1727280000,</w:t>
        <w:br/>
        <w:t xml:space="preserve">    "exp": 1727366400</w:t>
        <w:br/>
        <w:t xml:space="preserve">  }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Tiempo de Expiración (TTL):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24 horas</w:t>
      </w:r>
      <w:r>
        <w:rPr>
          <w:rFonts w:ascii="Calibri" w:hAnsi="Calibri"/>
          <w:color w:val="1E293B"/>
          <w:sz w:val="21"/>
        </w:rPr>
        <w:t>, minimizando la ventana de exposición en caso de extravío del dispositivo.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Naturaleza Stateless:</w:t>
      </w:r>
      <w:r>
        <w:rPr>
          <w:rFonts w:ascii="Calibri" w:hAnsi="Calibri"/>
          <w:color w:val="1E293B"/>
          <w:sz w:val="21"/>
        </w:rPr>
        <w:t xml:space="preserve"> El servidor no requiere almacenar sesiones en memoria RAM ni en base de datos; la validez del token se verifica matemáticamente comprobando la firma criptográfica con la clave </w:t>
      </w:r>
      <w:r>
        <w:rPr>
          <w:rFonts w:ascii="Consolas" w:hAnsi="Consolas"/>
          <w:color w:val="C2410C"/>
          <w:sz w:val="19"/>
        </w:rPr>
        <w:t>JWT_SECRET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4: Control de Acceso Basado en Roles (RBAC)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Se implementa el </w:t>
      </w:r>
      <w:r>
        <w:rPr>
          <w:rFonts w:ascii="Calibri" w:hAnsi="Calibri"/>
          <w:b/>
          <w:color w:val="1E293B"/>
          <w:sz w:val="22"/>
        </w:rPr>
        <w:t>Principio de Menor Privilegio (PoLP - Principle of Least Privilege)</w:t>
      </w:r>
      <w:r>
        <w:rPr>
          <w:rFonts w:ascii="Calibri" w:hAnsi="Calibri"/>
          <w:color w:val="1E293B"/>
          <w:sz w:val="22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`ADMIN`:</w:t>
      </w:r>
      <w:r>
        <w:rPr>
          <w:rFonts w:ascii="Calibri" w:hAnsi="Calibri"/>
          <w:color w:val="1E293B"/>
          <w:sz w:val="21"/>
        </w:rPr>
        <w:t xml:space="preserve"> Control total: gestión de catálogo, anulación de pedidos, visualización de métricas de ingresos y configuración de usuarios.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`OPERADOR` / `ALMACÉN`:</w:t>
      </w:r>
      <w:r>
        <w:rPr>
          <w:rFonts w:ascii="Calibri" w:hAnsi="Calibri"/>
          <w:color w:val="1E293B"/>
          <w:sz w:val="21"/>
        </w:rPr>
        <w:t xml:space="preserve"> Actualización de estados logísticos (</w:t>
      </w:r>
      <w:r>
        <w:rPr>
          <w:rFonts w:ascii="Consolas" w:hAnsi="Consolas"/>
          <w:color w:val="C2410C"/>
          <w:sz w:val="19"/>
        </w:rPr>
        <w:t>Preparación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Camino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410C"/>
          <w:sz w:val="19"/>
        </w:rPr>
        <w:t>Entregado</w:t>
      </w:r>
      <w:r>
        <w:rPr>
          <w:rFonts w:ascii="Calibri" w:hAnsi="Calibri"/>
          <w:color w:val="1E293B"/>
          <w:sz w:val="21"/>
        </w:rPr>
        <w:t>) y control de existencias físicas.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`VENDEDOR`:</w:t>
      </w:r>
      <w:r>
        <w:rPr>
          <w:rFonts w:ascii="Calibri" w:hAnsi="Calibri"/>
          <w:color w:val="1E293B"/>
          <w:sz w:val="21"/>
        </w:rPr>
        <w:t xml:space="preserve"> Registro de nuevos pedidos, consulta de stock disponible y emisión de comprobantes. No tiene acceso a márgenes financieros ni auditoría.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`CLIENTE` (Público):</w:t>
      </w:r>
      <w:r>
        <w:rPr>
          <w:rFonts w:ascii="Calibri" w:hAnsi="Calibri"/>
          <w:color w:val="1E293B"/>
          <w:sz w:val="21"/>
        </w:rPr>
        <w:t xml:space="preserve"> Consulta de catálogo y tracking de pedidos únicamente mediante su código alfanumérico unívoco (</w:t>
      </w:r>
      <w:r>
        <w:rPr>
          <w:rFonts w:ascii="Consolas" w:hAnsi="Consolas"/>
          <w:color w:val="C2410C"/>
          <w:sz w:val="19"/>
        </w:rPr>
        <w:t>LFT-NNN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Implementación técnica (`backend/src/middlewares/auth.middleware.ts`):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export const requireRole = (allowedRoles: string[]) =&gt; {</w:t>
        <w:br/>
        <w:t xml:space="preserve">  return (req: AuthenticatedRequest, res: Response, next: NextFunction) =&gt; {</w:t>
        <w:br/>
        <w:t xml:space="preserve">    if (!req.user || !allowedRoles.includes(req.user.role)) {</w:t>
        <w:br/>
        <w:t xml:space="preserve">      return res.status(403).json({</w:t>
        <w:br/>
        <w:t xml:space="preserve">        success: false,</w:t>
        <w:br/>
        <w:t xml:space="preserve">        error: { code: 'FORBIDDEN', message: 'Permisos insuficientes para esta operación' }</w:t>
        <w:br/>
        <w:t xml:space="preserve">      });</w:t>
        <w:br/>
        <w:t xml:space="preserve">    }</w:t>
        <w:br/>
        <w:t xml:space="preserve">    next();</w:t>
        <w:br/>
        <w:t xml:space="preserve">  };</w:t>
        <w:br/>
        <w:t>};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5: Validación Estricta de Esquemas e Inmunidad a Payloads Maliciosos (Zod)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Para evitar inyecciones de datos no tipados o manipulación de parámetros (</w:t>
      </w:r>
      <w:r>
        <w:rPr>
          <w:rFonts w:ascii="Calibri" w:hAnsi="Calibri"/>
          <w:i/>
          <w:color w:val="1E293B"/>
          <w:sz w:val="22"/>
        </w:rPr>
        <w:t>Mass Assignment Vulnerability</w:t>
      </w:r>
      <w:r>
        <w:rPr>
          <w:rFonts w:ascii="Calibri" w:hAnsi="Calibri"/>
          <w:color w:val="1E293B"/>
          <w:sz w:val="22"/>
        </w:rPr>
        <w:t>), todas las rutas validan el cuerpo de la petición (</w:t>
      </w:r>
      <w:r>
        <w:rPr>
          <w:rFonts w:ascii="Consolas" w:hAnsi="Consolas"/>
          <w:color w:val="C2410C"/>
          <w:sz w:val="19"/>
        </w:rPr>
        <w:t>req.body</w:t>
      </w:r>
      <w:r>
        <w:rPr>
          <w:rFonts w:ascii="Calibri" w:hAnsi="Calibri"/>
          <w:color w:val="1E293B"/>
          <w:sz w:val="22"/>
        </w:rPr>
        <w:t xml:space="preserve">) contra esquemas tipados con </w:t>
      </w:r>
      <w:r>
        <w:rPr>
          <w:rFonts w:ascii="Calibri" w:hAnsi="Calibri"/>
          <w:b/>
          <w:color w:val="1E293B"/>
          <w:sz w:val="22"/>
        </w:rPr>
        <w:t>Zod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const createOrderSchema = z.object({</w:t>
        <w:br/>
        <w:t xml:space="preserve">  cliente: z.object({</w:t>
        <w:br/>
        <w:t xml:space="preserve">    nombre: z.string().min(2).max(100),</w:t>
        <w:br/>
        <w:t xml:space="preserve">    telefono: z.string().regex(/^51[0-9]{9}$/),</w:t>
        <w:br/>
        <w:t xml:space="preserve">    direccion: z.string().min(5).max(250)</w:t>
        <w:br/>
        <w:t xml:space="preserve">  }),</w:t>
        <w:br/>
        <w:t xml:space="preserve">  items: z.array(z.object({</w:t>
        <w:br/>
        <w:t xml:space="preserve">    productoId: z.string().uuid(),</w:t>
        <w:br/>
        <w:t xml:space="preserve">    cantidad: z.number().int().positive()</w:t>
        <w:br/>
        <w:t xml:space="preserve">  })).min(1),</w:t>
        <w:br/>
        <w:t xml:space="preserve">  metodoPago: z.enum(['Yape', 'Plin', 'Transferencia BCP', 'Contra Entrega'])</w:t>
        <w:br/>
        <w:t>});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Cualquier campo inyectado adicional (como </w:t>
      </w:r>
      <w:r>
        <w:rPr>
          <w:rFonts w:ascii="Consolas" w:hAnsi="Consolas"/>
          <w:color w:val="C2410C"/>
          <w:sz w:val="19"/>
        </w:rPr>
        <w:t>precio: 0</w:t>
      </w:r>
      <w:r>
        <w:rPr>
          <w:rFonts w:ascii="Calibri" w:hAnsi="Calibri"/>
          <w:color w:val="1E293B"/>
          <w:sz w:val="22"/>
        </w:rPr>
        <w:t xml:space="preserve"> o </w:t>
      </w:r>
      <w:r>
        <w:rPr>
          <w:rFonts w:ascii="Consolas" w:hAnsi="Consolas"/>
          <w:color w:val="C2410C"/>
          <w:sz w:val="19"/>
        </w:rPr>
        <w:t>estado: 'Entregado'</w:t>
      </w:r>
      <w:r>
        <w:rPr>
          <w:rFonts w:ascii="Calibri" w:hAnsi="Calibri"/>
          <w:color w:val="1E293B"/>
          <w:sz w:val="22"/>
        </w:rPr>
        <w:t>) es descartado inmediatamente con un error HTTP 400 antes de llegar a la lógica de negocio.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6: Prevención Total de Inyección SQL (Patrón Repositorio Parametrizado)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El sistema </w:t>
      </w:r>
      <w:r>
        <w:rPr>
          <w:rFonts w:ascii="Calibri" w:hAnsi="Calibri"/>
          <w:b/>
          <w:color w:val="1E293B"/>
          <w:sz w:val="22"/>
        </w:rPr>
        <w:t>no utiliza concatenación de cadenas SQL en ninguna línea de código</w:t>
      </w:r>
      <w:r>
        <w:rPr>
          <w:rFonts w:ascii="Calibri" w:hAnsi="Calibri"/>
          <w:color w:val="1E293B"/>
          <w:sz w:val="22"/>
        </w:rPr>
        <w:t>. Todas las interacciones con PostgreSQL se realizan mediante consultas preparadas con parámetros tipados: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// SEGURO: El motor de base de datos trata el parámetro $1 puramente como dato, nunca como código ejecutable</w:t>
        <w:br/>
        <w:t>const result = await pool.query(</w:t>
        <w:br/>
        <w:t xml:space="preserve">  'SELECT id, codigo, total, estado FROM orders WHERE codigo = $1 LIMIT 1',</w:t>
        <w:br/>
        <w:t xml:space="preserve">  [orderCode]</w:t>
        <w:br/>
        <w:t>);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Incluso si un usuario ingresa payloads maliciosos como </w:t>
      </w:r>
      <w:r>
        <w:rPr>
          <w:rFonts w:ascii="Consolas" w:hAnsi="Consolas"/>
          <w:color w:val="C2410C"/>
          <w:sz w:val="19"/>
        </w:rPr>
        <w:t>' OR 1=1; DROP TABLE users; --</w:t>
      </w:r>
      <w:r>
        <w:rPr>
          <w:rFonts w:ascii="Calibri" w:hAnsi="Calibri"/>
          <w:color w:val="1E293B"/>
          <w:sz w:val="22"/>
        </w:rPr>
        <w:t>, PostgreSQL busca un pedido cuyo código literal sea idéntico a esa cadena de texto, resultando en 0 coincidencias y protegiendo la base de datos al 100%.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NIVEL 7: Trazabilidad, No Repudio y Auditoría Forense (Ley N° 29733)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Conforme a la normativa peruana de protección de datos personales y buenas prácticas bancarias: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Las contraseñas en texto plano nunca se registran en los logs de consola ni en archivos de texto.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Cada operación de modificación o eliminación lógica queda registrada con: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* Identificador del usuario que ejecutó la acción.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* Dirección IP de procedencia y cabecera User-Agent.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* Timestamp en formato ISO 8601 UTC.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 xml:space="preserve"> Estado anterior (</w:t>
      </w:r>
      <w:r>
        <w:rPr>
          <w:rFonts w:ascii="Calibri" w:hAnsi="Calibri"/>
          <w:color w:val="1E293B"/>
          <w:sz w:val="22"/>
        </w:rPr>
        <w:t>before</w:t>
      </w:r>
      <w:r>
        <w:rPr>
          <w:rFonts w:ascii="Calibri" w:hAnsi="Calibri"/>
          <w:i/>
          <w:color w:val="1E293B"/>
          <w:sz w:val="22"/>
        </w:rPr>
        <w:t>) y estado nuevo (</w:t>
      </w:r>
      <w:r>
        <w:rPr>
          <w:rFonts w:ascii="Calibri" w:hAnsi="Calibri"/>
          <w:color w:val="1E293B"/>
          <w:sz w:val="22"/>
        </w:rPr>
        <w:t>after*).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GUÍA DE SUSTENTACIÓN RÁPIDA ANTE EL JURADO (RESPUESTA EN 2 MINUTOS)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Si el profesor o jurado pregunta: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&gt; </w:t>
      </w:r>
      <w:r>
        <w:rPr>
          <w:rFonts w:ascii="Calibri" w:hAnsi="Calibri"/>
          <w:i/>
          <w:color w:val="1E293B"/>
          <w:sz w:val="22"/>
        </w:rPr>
        <w:t>"Explíqueme la seguridad de su sistema. ¿Cómo garantizan que un atacante no vulnere su aplicación?"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Respuesta Técnica Estructurada (en 4 pasos):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Defensa en Profundidad: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"Profesor, no dependemos de un único mecanismo; aplicamos una arquitectura de Defensa en Profundidad con 7 capas concéntricas, desde la red hasta el almacenamiento."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Criptografía Formal: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"En autenticación usamos Bcrypt con factor de costo 10 y salting aleatorio de 128 bits, lo que hace inviable cualquier ataque por fuerza bruta o tablas arcoíris. Las sesiones son gestionadas con JWT firmados con HMAC-SHA256 y expiración a las 24 horas, controlando el acceso mediante un middleware RBAC basado en el principio de menor privilegio."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Inmunidad contra OWASP Top 10: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"Protegemos las consultas con el patrón Repositorio y sentencias 100% parametrizadas en PostgreSQL, impidiendo la inyección SQL; y en la capa HTTP mitigamos XSS y Clickjacking mediante cabeceras Helmet y validación estricta de esquemas tipados con Zod."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Verificación Automatizada:</w:t>
      </w: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"Toda esta arquitectura está respaldada por una suite automatizada de pruebas de seguridad en Jest (`security.test.ts`) y auditorías estáticas con `npm audit`, registrando cero vulnerabilidades."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