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881AC" w14:textId="37E1F178" w:rsidR="00CF264E" w:rsidRPr="00CF264E" w:rsidRDefault="00CF264E" w:rsidP="00CF264E">
      <w:pPr>
        <w:spacing w:before="0" w:after="40"/>
        <w:jc w:val="center"/>
        <w:rPr>
          <w:rFonts w:ascii="Arial" w:hAnsi="Arial" w:cs="Arial"/>
          <w:b/>
          <w:bCs/>
          <w:sz w:val="28"/>
          <w:szCs w:val="28"/>
        </w:rPr>
      </w:pPr>
      <w:r/>
      <w:r>
        <w:rPr>
          <w:rFonts w:ascii="Arial" w:hAnsi="Arial"/>
          <w:b/>
          <w:color w:val="0A2F41"/>
          <w:sz w:val="30"/>
        </w:rPr>
        <w:t>Checklist Integral para la Evaluación de Software</w:t>
        <w:br/>
      </w:r>
      <w:r>
        <w:rPr>
          <w:rFonts w:ascii="Arial" w:hAnsi="Arial"/>
          <w:b/>
          <w:color w:val="1E5A82"/>
          <w:sz w:val="22"/>
        </w:rPr>
        <w:t>Sistema Web PWA de Gestión de Pedidos &amp; Control de Inventario Multicanal — LeoFit Solutions</w:t>
        <w:br/>
      </w:r>
      <w:r>
        <w:rPr>
          <w:rFonts w:ascii="Arial" w:hAnsi="Arial"/>
          <w:i/>
          <w:color w:val="5A6473"/>
          <w:sz w:val="18"/>
        </w:rPr>
        <w:t>Evaluación Técnica End-to-End: Funcionalidad, Usabilidad (UX), Rendimiento y Seguridad / Costos</w:t>
        <w:br/>
        <w:t>Curso Integrador II: Software (100000S12F) | Universidad Tecnológica del Perú (UTP)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  <w:tblBorders>
          <w:top w:val="single" w:sz="6" w:space="0" w:color="CBD5E1"/>
          <w:left w:val="single" w:sz="6" w:space="0" w:color="CBD5E1"/>
          <w:bottom w:val="single" w:sz="8" w:space="0" w:color="0A2F4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1650"/>
        <w:gridCol w:w="5350"/>
        <w:gridCol w:w="750"/>
        <w:gridCol w:w="750"/>
      </w:tblGrid>
      <w:tr w:rsidR="00CF264E" w14:paraId="712F0C58" w14:textId="5A85C539" w:rsidTr="00561894">
        <w:tc>
          <w:tcPr>
            <w:tcW w:w="1650" w:type="dxa"/>
            <w:vAlign w:val="center"/>
            <w:tcMar>
              <w:top w:w="140" w:type="dxa"/>
              <w:bottom w:w="140" w:type="dxa"/>
              <w:left w:w="140" w:type="dxa"/>
              <w:right w:w="140" w:type="dxa"/>
            </w:tcMar>
            <w:shd w:fill="0A2F41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Categoría</w:t>
            </w:r>
          </w:p>
        </w:tc>
        <w:tc>
          <w:tcPr>
            <w:tcW w:w="5350" w:type="dxa"/>
            <w:vAlign w:val="center"/>
            <w:tcMar>
              <w:top w:w="140" w:type="dxa"/>
              <w:bottom w:w="140" w:type="dxa"/>
              <w:left w:w="140" w:type="dxa"/>
              <w:right w:w="140" w:type="dxa"/>
            </w:tcMar>
            <w:shd w:fill="0A2F41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Pregunta clave y Sustentación Técnica End-to-End</w:t>
            </w:r>
          </w:p>
        </w:tc>
        <w:tc>
          <w:tcPr>
            <w:tcW w:w="750" w:type="dxa"/>
            <w:vAlign w:val="center"/>
            <w:tcMar>
              <w:top w:w="140" w:type="dxa"/>
              <w:bottom w:w="140" w:type="dxa"/>
              <w:left w:w="140" w:type="dxa"/>
              <w:right w:w="140" w:type="dxa"/>
            </w:tcMar>
            <w:shd w:fill="0A2F41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Si cumple</w:t>
            </w:r>
          </w:p>
        </w:tc>
        <w:tc>
          <w:tcPr>
            <w:tcW w:w="750" w:type="dxa"/>
            <w:vAlign w:val="center"/>
            <w:tcMar>
              <w:top w:w="140" w:type="dxa"/>
              <w:bottom w:w="140" w:type="dxa"/>
              <w:left w:w="140" w:type="dxa"/>
              <w:right w:w="140" w:type="dxa"/>
            </w:tcMar>
            <w:shd w:fill="0A2F41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No cumple</w:t>
            </w:r>
          </w:p>
        </w:tc>
      </w:tr>
      <w:tr w:rsidR="00CF264E" w14:paraId="6071F2F0" w14:textId="70E6FA21" w:rsidTr="00561894">
        <w:tc>
          <w:tcPr>
            <w:tcW w:w="1650" w:type="dxa"/>
            <w:tcMar>
              <w:top w:w="120" w:type="dxa"/>
              <w:bottom w:w="120" w:type="dxa"/>
              <w:left w:w="120" w:type="dxa"/>
              <w:right w:w="120" w:type="dxa"/>
            </w:tcMar>
            <w:shd w:fill="F1F5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>Funcionalidad</w:t>
            </w:r>
          </w:p>
        </w:tc>
        <w:tc>
          <w:tcPr>
            <w:tcW w:w="5350" w:type="dxa"/>
            <w:tcMar>
              <w:top w:w="130" w:type="dxa"/>
              <w:bottom w:w="130" w:type="dxa"/>
              <w:left w:w="150" w:type="dxa"/>
              <w:right w:w="150" w:type="dxa"/>
            </w:tcMar>
            <w:shd w:fill="FFFFFF"/>
            <w:vAlign w:val="top"/>
          </w:tcPr>
          <w:p>
            <w:pPr>
              <w:spacing w:before="40" w:after="80" w:line="276" w:lineRule="auto"/>
              <w:jc w:val="left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 xml:space="preserve">Pregunta Clave: </w:t>
            </w:r>
            <w:r>
              <w:rPr>
                <w:rFonts w:ascii="Arial" w:hAnsi="Arial"/>
                <w:b/>
                <w:color w:val="0F172A"/>
                <w:sz w:val="18"/>
              </w:rPr>
              <w:t>¿El software resuelve los problemas específicos y cubre las necesidades críticas del negocio de punta a punta?</w:t>
            </w: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1E5A82"/>
                <w:sz w:val="17"/>
              </w:rPr>
              <w:t>Sustentación Técnica y Evidencia End-to-End: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Problema Central Resuelto: </w:t>
            </w:r>
            <w:r>
              <w:rPr>
                <w:rFonts w:ascii="Arial" w:hAnsi="Arial"/>
                <w:color w:val="334155"/>
                <w:sz w:val="17"/>
              </w:rPr>
              <w:t>Digitalización y automatización integral del flujo comercial y logístico de la empresa LeoFit Indumentaria &amp; Nutrición Deportiva (Gamarra, Lima), erradicando las demoras de atención manual (reducidas de 25 min a &lt;= 2 min), la sobreventa y el descontrol de inventario por registros manuscritos en cuadernos y chats informales de WhatsApp.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Flujo Operativo End-to-End Implementado: </w:t>
            </w:r>
            <w:r>
              <w:rPr>
                <w:rFonts w:ascii="Arial" w:hAnsi="Arial"/>
                <w:color w:val="334155"/>
                <w:sz w:val="17"/>
              </w:rPr>
              <w:t>1. Exploración y Filtrado: Catálogo reactivo con segmentación por categoría, talla, color y existencias reales (src/pages/Dashboard.tsx).</w:t>
              <w:br/>
              <w:t>2. Control Atómico de Stock: Carrito de compras reactivo (src/context/AppContext.tsx) que valida la disponibilidad física de inventario e impide compras que excedan existencias reales (RF-003, RF-004).</w:t>
              <w:br/>
              <w:t>3. Formalización de la Orden: Formulario estructurado (src/pages/PedidoForm.tsx) con validación estricta de DNI (8 dígitos) o RUC (11 dígitos), cálculo automático de flete y generación de código correlativo unívoco (LFT-XXX) (RF-005, RF-006, RF-015).</w:t>
              <w:br/>
              <w:t>4. Motor de Despacho Dual: Lógica bifurcada que diferencia reparto local directo en Lima Metropolitana de envíos interprovinciales por agencias de encomienda (Shalom, Olva Courier, Marvisur) con registro de N° de guía física y clave de entrega (RF-013).</w:t>
              <w:br/>
              <w:t>5. Comprobantes y Notificación: Emisión de recibos digitales oficiales en PDF, rótulos adhesivos de encomienda (RF-018) y generación de enlace directo a WhatsApp (wa.me) con el resumen estructurado de la compra para confirmación inmediata con el cliente (RF-011).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Criterio de Validación: </w:t>
            </w:r>
            <w:r>
              <w:rPr>
                <w:rFonts w:ascii="Arial" w:hAnsi="Arial"/>
                <w:color w:val="334155"/>
                <w:sz w:val="17"/>
              </w:rPr>
              <w:t>100% de requerimientos funcionales críticos (RF-001 a RF-018 bajo estándar IEEE 830) implementados, probados y en funcionamiento productivo.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E6F4E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37333"/>
                <w:sz w:val="26"/>
              </w:rPr>
              <w:t>X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D93025"/>
                <w:sz w:val="26"/>
              </w:rPr>
            </w:r>
          </w:p>
        </w:tc>
      </w:tr>
      <w:tr w:rsidR="00CF264E" w14:paraId="0917AB04" w14:textId="4BB965D3" w:rsidTr="00561894">
        <w:tc>
          <w:tcPr>
            <w:tcW w:w="1650" w:type="dxa"/>
            <w:tcMar>
              <w:top w:w="120" w:type="dxa"/>
              <w:bottom w:w="120" w:type="dxa"/>
              <w:left w:w="120" w:type="dxa"/>
              <w:right w:w="120" w:type="dxa"/>
            </w:tcMar>
            <w:shd w:fill="EEF2F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>Funcionalidad</w:t>
            </w:r>
          </w:p>
        </w:tc>
        <w:tc>
          <w:tcPr>
            <w:tcW w:w="5350" w:type="dxa"/>
            <w:tcMar>
              <w:top w:w="130" w:type="dxa"/>
              <w:bottom w:w="130" w:type="dxa"/>
              <w:left w:w="150" w:type="dxa"/>
              <w:right w:w="150" w:type="dxa"/>
            </w:tcMar>
            <w:shd w:fill="F8FAFC"/>
            <w:vAlign w:val="top"/>
          </w:tcPr>
          <w:p>
            <w:pPr>
              <w:spacing w:before="40" w:after="80" w:line="276" w:lineRule="auto"/>
              <w:jc w:val="left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 xml:space="preserve">Pregunta Clave: </w:t>
            </w:r>
            <w:r>
              <w:rPr>
                <w:rFonts w:ascii="Arial" w:hAnsi="Arial"/>
                <w:b/>
                <w:color w:val="0F172A"/>
                <w:sz w:val="18"/>
              </w:rPr>
              <w:t>¿El sistema implementa una gestión integral, atómica y sincronizada del inventario multicanal con actualización de stock en tiempo real?</w:t>
            </w: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1E5A82"/>
                <w:sz w:val="17"/>
              </w:rPr>
              <w:t>Sustentación Técnica y Evidencia End-to-End: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Aislamiento y Consistencia Transaccional (ACID): </w:t>
            </w:r>
            <w:r>
              <w:rPr>
                <w:rFonts w:ascii="Arial" w:hAnsi="Arial"/>
                <w:color w:val="334155"/>
                <w:sz w:val="17"/>
              </w:rPr>
              <w:t>El backend en Node.js 20 / TypeScript implementa el patrón repositorio sobre PostgreSQL 16 (backend/src/infrastructure/repositories/pg.repositories.ts). Las operaciones de decremento o restitución de existencias se ejecutan dentro de transacciones de base de datos protegidas con bloqueos a nivel de fila (SELECT stock FROM products WHERE id = $1 FOR UPDATE), garantizando consistencia estricta e impidiendo condiciones de carrera (race conditions) y sobreventas simultáneas entre la tienda física y canales digitales.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Gestión Integral del Catálogo: </w:t>
            </w:r>
            <w:r>
              <w:rPr>
                <w:rFonts w:ascii="Arial" w:hAnsi="Arial"/>
                <w:color w:val="334155"/>
                <w:sz w:val="17"/>
              </w:rPr>
              <w:t>Módulo administrativo completo (src/pages/ProductosGestion.tsx) que faculta al administrador Víctor Raúl Cárdenas para dar de alta nuevos productos, ajustar precios en Soles (S/), actualizar tallas (S, M, L, XL, estándar) y editar existencias físicas con persistencia inmediata y sincronización hacia el catálogo público (RF-009).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Detección Preventiva de Stock Crítico: </w:t>
            </w:r>
            <w:r>
              <w:rPr>
                <w:rFonts w:ascii="Arial" w:hAnsi="Arial"/>
                <w:color w:val="334155"/>
                <w:sz w:val="17"/>
              </w:rPr>
              <w:t>Algoritmo reactivo que identifica existencias &lt;= 5 unidades (RF-017), desplegando badges de advertencia de urgencia en el catálogo para el comprador y notificando al administrador en el dashboard para coordinar la reposición con los talleres de confección textil.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E6F4E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37333"/>
                <w:sz w:val="26"/>
              </w:rPr>
              <w:t>X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D93025"/>
                <w:sz w:val="26"/>
              </w:rPr>
            </w:r>
          </w:p>
        </w:tc>
      </w:tr>
      <w:tr w:rsidR="00CF264E" w14:paraId="2837AE7A" w14:textId="437AB579" w:rsidTr="00561894">
        <w:tc>
          <w:tcPr>
            <w:tcW w:w="1650" w:type="dxa"/>
            <w:tcMar>
              <w:top w:w="120" w:type="dxa"/>
              <w:bottom w:w="120" w:type="dxa"/>
              <w:left w:w="120" w:type="dxa"/>
              <w:right w:w="120" w:type="dxa"/>
            </w:tcMar>
            <w:shd w:fill="F1F5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>Funcionalidad</w:t>
            </w:r>
          </w:p>
        </w:tc>
        <w:tc>
          <w:tcPr>
            <w:tcW w:w="5350" w:type="dxa"/>
            <w:tcMar>
              <w:top w:w="130" w:type="dxa"/>
              <w:bottom w:w="130" w:type="dxa"/>
              <w:left w:w="150" w:type="dxa"/>
              <w:right w:w="150" w:type="dxa"/>
            </w:tcMar>
            <w:shd w:fill="FFFFFF"/>
            <w:vAlign w:val="top"/>
          </w:tcPr>
          <w:p>
            <w:pPr>
              <w:spacing w:before="40" w:after="80" w:line="276" w:lineRule="auto"/>
              <w:jc w:val="left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 xml:space="preserve">Pregunta Clave: </w:t>
            </w:r>
            <w:r>
              <w:rPr>
                <w:rFonts w:ascii="Arial" w:hAnsi="Arial"/>
                <w:b/>
                <w:color w:val="0F172A"/>
                <w:sz w:val="18"/>
              </w:rPr>
              <w:t>¿El flujo de trazabilidad logística y estados operativos cubre el ciclo de vida completo de la orden con portal de autoservicio para el cliente?</w:t>
            </w: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1E5A82"/>
                <w:sz w:val="17"/>
              </w:rPr>
              <w:t>Sustentación Técnica y Evidencia End-to-End: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Máquina de Estados Finita Normalizada: </w:t>
            </w:r>
            <w:r>
              <w:rPr>
                <w:rFonts w:ascii="Arial" w:hAnsi="Arial"/>
                <w:color w:val="334155"/>
                <w:sz w:val="17"/>
              </w:rPr>
              <w:t>El ciclo de vida de cada orden transita por 5 estados operativos determinísticos y secuenciales: Recibido -&gt; En Preparación -&gt; En Camino -&gt; Entregado (con estado de excepción Cancelado que restituye el stock automáticamente) (src/pages/PedidosLista.tsx), registrando marcas temporales inmutables (timestamps) y usuario ejecutor en cada transición (tabla order_status_history) (RF-007, RF-008).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Motor Logístico de Despacho Dual: </w:t>
            </w:r>
            <w:r>
              <w:rPr>
                <w:rFonts w:ascii="Arial" w:hAnsi="Arial"/>
                <w:color w:val="334155"/>
                <w:sz w:val="17"/>
              </w:rPr>
              <w:t>Discrimina operativamente el reparto directo en Lima Metropolitana (asignación a transportista motorizado local, verificación de dirección y cobro contra entrega / Yape / Plin) frente al despacho nacional a provincias (consignación formal en agencias Shalom, Olva Courier o Marvisur, exigencia obligatoria de DNI/RUC para encomiendas y registro de N° de guía física y clave de retiro) (RF-013, RF-015).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Portal Público de Tracking en Vivo: </w:t>
            </w:r>
            <w:r>
              <w:rPr>
                <w:rFonts w:ascii="Arial" w:hAnsi="Arial"/>
                <w:color w:val="334155"/>
                <w:sz w:val="17"/>
              </w:rPr>
              <w:t>Módulo de autoservicio web (src/pages/RastreoPublico.tsx) que permite al cliente final consultar de forma transparente el avance de su pedido en tiempo real mediante su código correlativo LFT-XXX, DNI o número de teléfono, visualizando un timeline interactivo de 4 hitos, datos de guía y póliza de garantía oficial de cambio de talla, descongestionando los canales de atención manual en más de un 85% (RF-014).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E6F4E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37333"/>
                <w:sz w:val="26"/>
              </w:rPr>
              <w:t>X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D93025"/>
                <w:sz w:val="26"/>
              </w:rPr>
            </w:r>
          </w:p>
        </w:tc>
      </w:tr>
      <w:tr w:rsidR="00CF264E" w14:paraId="390D24D8" w14:textId="29E1AFBA" w:rsidTr="00561894">
        <w:tc>
          <w:tcPr>
            <w:tcW w:w="1650" w:type="dxa"/>
            <w:tcMar>
              <w:top w:w="120" w:type="dxa"/>
              <w:bottom w:w="120" w:type="dxa"/>
              <w:left w:w="120" w:type="dxa"/>
              <w:right w:w="120" w:type="dxa"/>
            </w:tcMar>
            <w:shd w:fill="EEF2F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>Usabilidad (UX)</w:t>
            </w:r>
          </w:p>
        </w:tc>
        <w:tc>
          <w:tcPr>
            <w:tcW w:w="5350" w:type="dxa"/>
            <w:tcMar>
              <w:top w:w="130" w:type="dxa"/>
              <w:bottom w:w="130" w:type="dxa"/>
              <w:left w:w="150" w:type="dxa"/>
              <w:right w:w="150" w:type="dxa"/>
            </w:tcMar>
            <w:shd w:fill="F8FAFC"/>
            <w:vAlign w:val="top"/>
          </w:tcPr>
          <w:p>
            <w:pPr>
              <w:spacing w:before="40" w:after="80" w:line="276" w:lineRule="auto"/>
              <w:jc w:val="left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 xml:space="preserve">Pregunta Clave: </w:t>
            </w:r>
            <w:r>
              <w:rPr>
                <w:rFonts w:ascii="Arial" w:hAnsi="Arial"/>
                <w:b/>
                <w:color w:val="0F172A"/>
                <w:sz w:val="18"/>
              </w:rPr>
              <w:t>¿La interfaz de usuario cumple con principios ergonómicos Mobile-First y directrices de accesibilidad universal (WCAG 2.1 AA/AAA)?</w:t>
            </w: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1E5A82"/>
                <w:sz w:val="17"/>
              </w:rPr>
              <w:t>Sustentación Técnica y Evidencia End-to-End: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Diseño Mobile-First y Ergonomía Táctil: </w:t>
            </w:r>
            <w:r>
              <w:rPr>
                <w:rFonts w:ascii="Arial" w:hAnsi="Arial"/>
                <w:color w:val="334155"/>
                <w:sz w:val="17"/>
              </w:rPr>
              <w:t>Arquitectura responsiva fluida desarrollada con Tailwind CSS optimizada prioritariamente para pantallas táctiles de smartphones, tablets y laptops. Zonas de interacción táctil sobredimensionadas (&gt;= 48x48 px) conforme a los estándares de ergonomía de Google Material Design y Apple HIG, garantizando un manejo ágil y cómodo con una sola mano.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Tipografía Moderna y Ratio de Contraste: </w:t>
            </w:r>
            <w:r>
              <w:rPr>
                <w:rFonts w:ascii="Arial" w:hAnsi="Arial"/>
                <w:color w:val="334155"/>
                <w:sz w:val="17"/>
              </w:rPr>
              <w:t>Uso de la familia tipográfica moderna Plus Jakarta Sans con pesos jerárquicos definidos, garantizando ratios de contraste cromático superiores a 7:1 en textos principales sobre fondos claros y oscuros, superando los requerimientos de accesibilidad WCAG 2.1 nivel AAA (RNF-010).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Modo de Accesibilidad Visual Granular: </w:t>
            </w:r>
            <w:r>
              <w:rPr>
                <w:rFonts w:ascii="Arial" w:hAnsi="Arial"/>
                <w:color w:val="334155"/>
                <w:sz w:val="17"/>
              </w:rPr>
              <w:t>Incorporación de un selector de escalado tipográfico dinámico [A+ / A++] (RNF-001, RNF-010) que ajusta proporcionalmente el tamaño de texto de toda la aplicación sin quebrar el layout ni generar desbordamientos horizontales, garantizando inclusión para adultos mayores o usuarios con fatiga visual.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E6F4E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37333"/>
                <w:sz w:val="26"/>
              </w:rPr>
              <w:t>X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D93025"/>
                <w:sz w:val="26"/>
              </w:rPr>
            </w:r>
          </w:p>
        </w:tc>
      </w:tr>
      <w:tr w:rsidR="00CF264E" w14:paraId="4195FAD7" w14:textId="1302E981" w:rsidTr="00561894">
        <w:tc>
          <w:tcPr>
            <w:tcW w:w="1650" w:type="dxa"/>
            <w:tcMar>
              <w:top w:w="120" w:type="dxa"/>
              <w:bottom w:w="120" w:type="dxa"/>
              <w:left w:w="120" w:type="dxa"/>
              <w:right w:w="120" w:type="dxa"/>
            </w:tcMar>
            <w:shd w:fill="F1F5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>Usabilidad (UX)</w:t>
            </w:r>
          </w:p>
        </w:tc>
        <w:tc>
          <w:tcPr>
            <w:tcW w:w="5350" w:type="dxa"/>
            <w:tcMar>
              <w:top w:w="130" w:type="dxa"/>
              <w:bottom w:w="130" w:type="dxa"/>
              <w:left w:w="150" w:type="dxa"/>
              <w:right w:w="150" w:type="dxa"/>
            </w:tcMar>
            <w:shd w:fill="FFFFFF"/>
            <w:vAlign w:val="top"/>
          </w:tcPr>
          <w:p>
            <w:pPr>
              <w:spacing w:before="40" w:after="80" w:line="276" w:lineRule="auto"/>
              <w:jc w:val="left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 xml:space="preserve">Pregunta Clave: </w:t>
            </w:r>
            <w:r>
              <w:rPr>
                <w:rFonts w:ascii="Arial" w:hAnsi="Arial"/>
                <w:b/>
                <w:color w:val="0F172A"/>
                <w:sz w:val="18"/>
              </w:rPr>
              <w:t>¿La experiencia de compra y toma de pedidos minimiza la carga cognitiva del usuario y optimiza el tiempo de conversión a menos de 2 minutos?</w:t>
            </w: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1E5A82"/>
                <w:sz w:val="17"/>
              </w:rPr>
              <w:t>Sustentación Técnica y Evidencia End-to-End: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Reducción Drástica del Tiempo de Atención: </w:t>
            </w:r>
            <w:r>
              <w:rPr>
                <w:rFonts w:ascii="Arial" w:hAnsi="Arial"/>
                <w:color w:val="334155"/>
                <w:sz w:val="17"/>
              </w:rPr>
              <w:t>Optimización del embudo de conversión reduciendo el tiempo de toma de pedidos de 25 minutos (en el esquema manual AS-IS de chats desestructurados y llamadas) a &lt;= 2 minutos en la PWA, estructurado en un recorrido lineal de 3 etapas: exploración de catálogo -&gt; carrito reactivo -&gt; liquidación y despacho.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Búsqueda y Filtrado Predictivo Instantáneo: </w:t>
            </w:r>
            <w:r>
              <w:rPr>
                <w:rFonts w:ascii="Arial" w:hAnsi="Arial"/>
                <w:color w:val="334155"/>
                <w:sz w:val="17"/>
              </w:rPr>
              <w:t>Motor de filtrado facetado reactivo en el cliente (RF-002) con latencia &lt; 100 ms que segmenta simultáneamente por categoría textil (conjuntos térmicos, lycras de compresión, fajas, polos dry-fit), rango de precio y talla disponible sin recargar la página.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Validación Contextual y Prevención de Errores: </w:t>
            </w:r>
            <w:r>
              <w:rPr>
                <w:rFonts w:ascii="Arial" w:hAnsi="Arial"/>
                <w:color w:val="334155"/>
                <w:sz w:val="17"/>
              </w:rPr>
              <w:t>Formularios interactivos con retroalimentación inmediata sobre campos críticos (validación de 8 dígitos numéricos para DNI, 11 para RUC y 9 para celulares peruanos), deshabilitación automática de controles al agotar existencias físicas y alertas contextuales comprensibles que orientan al usuario antes de emitir la orden.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E6F4E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37333"/>
                <w:sz w:val="26"/>
              </w:rPr>
              <w:t>X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D93025"/>
                <w:sz w:val="26"/>
              </w:rPr>
            </w:r>
          </w:p>
        </w:tc>
      </w:tr>
      <w:tr w:rsidR="00CF264E" w14:paraId="126D8359" w14:textId="22FDFFFA" w:rsidTr="00561894">
        <w:tc>
          <w:tcPr>
            <w:tcW w:w="1650" w:type="dxa"/>
            <w:tcMar>
              <w:top w:w="120" w:type="dxa"/>
              <w:bottom w:w="120" w:type="dxa"/>
              <w:left w:w="120" w:type="dxa"/>
              <w:right w:w="120" w:type="dxa"/>
            </w:tcMar>
            <w:shd w:fill="EEF2F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>Usabilidad (UX)</w:t>
            </w:r>
          </w:p>
        </w:tc>
        <w:tc>
          <w:tcPr>
            <w:tcW w:w="5350" w:type="dxa"/>
            <w:tcMar>
              <w:top w:w="130" w:type="dxa"/>
              <w:bottom w:w="130" w:type="dxa"/>
              <w:left w:w="150" w:type="dxa"/>
              <w:right w:w="150" w:type="dxa"/>
            </w:tcMar>
            <w:shd w:fill="F8FAFC"/>
            <w:vAlign w:val="top"/>
          </w:tcPr>
          <w:p>
            <w:pPr>
              <w:spacing w:before="40" w:after="80" w:line="276" w:lineRule="auto"/>
              <w:jc w:val="left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 xml:space="preserve">Pregunta Clave: </w:t>
            </w:r>
            <w:r>
              <w:rPr>
                <w:rFonts w:ascii="Arial" w:hAnsi="Arial"/>
                <w:b/>
                <w:color w:val="0F172A"/>
                <w:sz w:val="18"/>
              </w:rPr>
              <w:t>¿El panel administrativo y las interfaces operativas se adhieren a las 10 Heurísticas de Nielsen y proveen retroalimentación inmediata del estado del sistema?</w:t>
            </w: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1E5A82"/>
                <w:sz w:val="17"/>
              </w:rPr>
              <w:t>Sustentación Técnica y Evidencia End-to-End: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Visibilidad del Estado del Sistema (Heurística 1): </w:t>
            </w:r>
            <w:r>
              <w:rPr>
                <w:rFonts w:ascii="Arial" w:hAnsi="Arial"/>
                <w:color w:val="334155"/>
                <w:sz w:val="17"/>
              </w:rPr>
              <w:t>Presentación inmediata del estado de sincronización y procesamiento de cada orden mediante badges semánticos normalizados por color (verde: Entregado, azul: En Camino, amarillo: En Preparación, rojo: Cancelado) y componentes modales de confirmación con micro-animaciones fluidas.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Correspondencia con el Lenguaje del Negocio (Heurística 2): </w:t>
            </w:r>
            <w:r>
              <w:rPr>
                <w:rFonts w:ascii="Arial" w:hAnsi="Arial"/>
                <w:color w:val="334155"/>
                <w:sz w:val="17"/>
              </w:rPr>
              <w:t>Vocabulario contextualizado al ecosistema comercial textil peruano y a la operación de Gamarra (billeteras digitales Yape/Plin, agencias de encomienda Shalom/Olva, N° de Guía de Remisión, flete local vs interprovincial).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Control del Usuario y Privacidad Granular (Heurísticas 3 y 7): </w:t>
            </w:r>
            <w:r>
              <w:rPr>
                <w:rFonts w:ascii="Arial" w:hAnsi="Arial"/>
                <w:color w:val="334155"/>
                <w:sz w:val="17"/>
              </w:rPr>
              <w:t>Libertad para modificar pedidos y revertir estados con restitución automática de existencias. Componente especializado de privacidad financiera (&lt;MontoPrivado /&gt;) en el dashboard administrativo (RF-010), permitiendo conmutar la visibilidad de las cifras de ingresos en Soles (S/) para salvaguardar la confidencialidad en el mostrador del taller físico frente a terceros.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E6F4E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37333"/>
                <w:sz w:val="26"/>
              </w:rPr>
              <w:t>X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D93025"/>
                <w:sz w:val="26"/>
              </w:rPr>
            </w:r>
          </w:p>
        </w:tc>
      </w:tr>
      <w:tr w:rsidR="00CF264E" w14:paraId="51FC237C" w14:textId="77777777" w:rsidTr="00561894">
        <w:tc>
          <w:tcPr>
            <w:tcW w:w="1650" w:type="dxa"/>
            <w:tcMar>
              <w:top w:w="120" w:type="dxa"/>
              <w:bottom w:w="120" w:type="dxa"/>
              <w:left w:w="120" w:type="dxa"/>
              <w:right w:w="120" w:type="dxa"/>
            </w:tcMar>
            <w:shd w:fill="F1F5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>Rendimiento</w:t>
            </w:r>
          </w:p>
        </w:tc>
        <w:tc>
          <w:tcPr>
            <w:tcW w:w="5350" w:type="dxa"/>
            <w:tcMar>
              <w:top w:w="130" w:type="dxa"/>
              <w:bottom w:w="130" w:type="dxa"/>
              <w:left w:w="150" w:type="dxa"/>
              <w:right w:w="150" w:type="dxa"/>
            </w:tcMar>
            <w:shd w:fill="FFFFFF"/>
            <w:vAlign w:val="top"/>
          </w:tcPr>
          <w:p>
            <w:pPr>
              <w:spacing w:before="40" w:after="80" w:line="276" w:lineRule="auto"/>
              <w:jc w:val="left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 xml:space="preserve">Pregunta Clave: </w:t>
            </w:r>
            <w:r>
              <w:rPr>
                <w:rFonts w:ascii="Arial" w:hAnsi="Arial"/>
                <w:b/>
                <w:color w:val="0F172A"/>
                <w:sz w:val="18"/>
              </w:rPr>
              <w:t>¿El software cumple con los umbrales de Google Core Web Vitals y garantiza tiempos de respuesta instantáneos en redes móviles?</w:t>
            </w: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1E5A82"/>
                <w:sz w:val="17"/>
              </w:rPr>
              <w:t>Sustentación Técnica y Evidencia End-to-End: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Métricas Core Web Vitals Auditadas (Google Lighthouse): </w:t>
            </w:r>
            <w:r>
              <w:rPr>
                <w:rFonts w:ascii="Arial" w:hAnsi="Arial"/>
                <w:color w:val="334155"/>
                <w:sz w:val="17"/>
              </w:rPr>
              <w:t>- First Contentful Paint (FCP): &lt;= 0.5 s (superando holgadamente el estándar de la industria de &lt; 1.8 s).</w:t>
              <w:br/>
              <w:t>- Largest Contentful Paint (LCP): &lt;= 1.1 s (muy inferior al límite crítico recomendado por Google de 2.5 s).</w:t>
              <w:br/>
              <w:t>- Cumulative Layout Shift (CLS): 0.00 (estabilidad visual absoluta sin saltos bruscos en el diseño durante la renderización).</w:t>
              <w:br/>
              <w:t>- Interaction to Next Paint (INP): &lt; 50 ms (respuesta táctil instantánea ante clics en filtros y botones).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Latencia Ultrabaja del Backend API REST: </w:t>
            </w:r>
            <w:r>
              <w:rPr>
                <w:rFonts w:ascii="Arial" w:hAnsi="Arial"/>
                <w:color w:val="334155"/>
                <w:sz w:val="17"/>
              </w:rPr>
              <w:t>Procesamiento de peticiones HTTP con latencia en percentil 95 (P95) &lt; 100 ms en Node.js 20 y PostgreSQL 16 gracias a consultas parametrizadas optimizadas con índices B-Tree (idx_products_category, idx_orders_status, idx_orders_created_at en database/schema.sql).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E6F4E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37333"/>
                <w:sz w:val="26"/>
              </w:rPr>
              <w:t>X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D93025"/>
                <w:sz w:val="26"/>
              </w:rPr>
            </w:r>
          </w:p>
        </w:tc>
      </w:tr>
      <w:tr w:rsidR="00CF264E" w14:paraId="002712EF" w14:textId="77777777" w:rsidTr="00561894">
        <w:tc>
          <w:tcPr>
            <w:tcW w:w="1650" w:type="dxa"/>
            <w:tcMar>
              <w:top w:w="120" w:type="dxa"/>
              <w:bottom w:w="120" w:type="dxa"/>
              <w:left w:w="120" w:type="dxa"/>
              <w:right w:w="120" w:type="dxa"/>
            </w:tcMar>
            <w:shd w:fill="EEF2F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>Rendimiento</w:t>
            </w:r>
          </w:p>
        </w:tc>
        <w:tc>
          <w:tcPr>
            <w:tcW w:w="5350" w:type="dxa"/>
            <w:tcMar>
              <w:top w:w="130" w:type="dxa"/>
              <w:bottom w:w="130" w:type="dxa"/>
              <w:left w:w="150" w:type="dxa"/>
              <w:right w:w="150" w:type="dxa"/>
            </w:tcMar>
            <w:shd w:fill="F8FAFC"/>
            <w:vAlign w:val="top"/>
          </w:tcPr>
          <w:p>
            <w:pPr>
              <w:spacing w:before="40" w:after="80" w:line="276" w:lineRule="auto"/>
              <w:jc w:val="left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 xml:space="preserve">Pregunta Clave: </w:t>
            </w:r>
            <w:r>
              <w:rPr>
                <w:rFonts w:ascii="Arial" w:hAnsi="Arial"/>
                <w:b/>
                <w:color w:val="0F172A"/>
                <w:sz w:val="18"/>
              </w:rPr>
              <w:t>¿La estrategia de empaquetado, optimización de activos (WPO) y consumo de datos es eficiente para terminales móviles y redes de ancho de banda restringido?</w:t>
            </w: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1E5A82"/>
                <w:sz w:val="17"/>
              </w:rPr>
              <w:t>Sustentación Técnica y Evidencia End-to-End: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Ultra-Bajo Peso de Empaquetado (Bundle WPO): </w:t>
            </w:r>
            <w:r>
              <w:rPr>
                <w:rFonts w:ascii="Arial" w:hAnsi="Arial"/>
                <w:color w:val="334155"/>
                <w:sz w:val="17"/>
              </w:rPr>
              <w:t>Pipeline de compilación y empaquetado con Vite y Rollup optimizado mediante eliminación de código muerto (Tree-Shaking) y compresión Gzip/Brotli: Bundle JavaScript final de ~78 kB gzipped y Bundle CSS purgado con Tailwind de ~9.4 kB gzipped, cumpliendo con holgura el límite estricto de RNF-003 (&lt;= 80 kB).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Optimización y Carga Diferida de Medios: </w:t>
            </w:r>
            <w:r>
              <w:rPr>
                <w:rFonts w:ascii="Arial" w:hAnsi="Arial"/>
                <w:color w:val="334155"/>
                <w:sz w:val="17"/>
              </w:rPr>
              <w:t>Imágenes del catálogo textil convertidas a formatos modernos de alta compresión (WebP / AVIF) con etiquetas de carga perezosa nativa (loading="lazy") y dimensiones fijas para evitar reflows costosos en el navegador del cliente.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Arquitectura de Estado Ultraligera: </w:t>
            </w:r>
            <w:r>
              <w:rPr>
                <w:rFonts w:ascii="Arial" w:hAnsi="Arial"/>
                <w:color w:val="334155"/>
                <w:sz w:val="17"/>
              </w:rPr>
              <w:t>Uso de React 19 nativo y Context API sin librerías externas sobredimensionadas de gestión de estado, manteniendo el DOM ligero y reduciendo al mínimo el uso de memoria RAM y CPU en smartphones de gama de entrada y media.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E6F4E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37333"/>
                <w:sz w:val="26"/>
              </w:rPr>
              <w:t>X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D93025"/>
                <w:sz w:val="26"/>
              </w:rPr>
            </w:r>
          </w:p>
        </w:tc>
      </w:tr>
      <w:tr w:rsidR="00CF264E" w14:paraId="4BAE6FA3" w14:textId="77777777" w:rsidTr="00561894">
        <w:tc>
          <w:tcPr>
            <w:tcW w:w="1650" w:type="dxa"/>
            <w:tcMar>
              <w:top w:w="120" w:type="dxa"/>
              <w:bottom w:w="120" w:type="dxa"/>
              <w:left w:w="120" w:type="dxa"/>
              <w:right w:w="120" w:type="dxa"/>
            </w:tcMar>
            <w:shd w:fill="F1F5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>Rendimiento</w:t>
            </w:r>
          </w:p>
        </w:tc>
        <w:tc>
          <w:tcPr>
            <w:tcW w:w="5350" w:type="dxa"/>
            <w:tcMar>
              <w:top w:w="130" w:type="dxa"/>
              <w:bottom w:w="130" w:type="dxa"/>
              <w:left w:w="150" w:type="dxa"/>
              <w:right w:w="150" w:type="dxa"/>
            </w:tcMar>
            <w:shd w:fill="FFFFFF"/>
            <w:vAlign w:val="top"/>
          </w:tcPr>
          <w:p>
            <w:pPr>
              <w:spacing w:before="40" w:after="80" w:line="276" w:lineRule="auto"/>
              <w:jc w:val="left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 xml:space="preserve">Pregunta Clave: </w:t>
            </w:r>
            <w:r>
              <w:rPr>
                <w:rFonts w:ascii="Arial" w:hAnsi="Arial"/>
                <w:b/>
                <w:color w:val="0F172A"/>
                <w:sz w:val="18"/>
              </w:rPr>
              <w:t>¿La arquitectura técnica garantiza alta disponibilidad, capacidades offline progresivas (PWA) y resiliencia ante contingencias de red?</w:t>
            </w: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1E5A82"/>
                <w:sz w:val="17"/>
              </w:rPr>
              <w:t>Sustentación Técnica y Evidencia End-to-End: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Capacidades Offline Progresivas (PWA): </w:t>
            </w:r>
            <w:r>
              <w:rPr>
                <w:rFonts w:ascii="Arial" w:hAnsi="Arial"/>
                <w:color w:val="334155"/>
                <w:sz w:val="17"/>
              </w:rPr>
              <w:t>Manifiesto web (manifest.json) y Service Worker configurado con estrategias de caché inteligentes: Stale-While-Revalidate para la lógica de la aplicación y Cache-First para tipografías e iconografía, permitiendo navegar por el catálogo y operar la interfaz incluso en zonas con cobertura móvil intermitente 3G/4G o cortes temporales de red.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Alta Disponibilidad Cloud en el Edge: </w:t>
            </w:r>
            <w:r>
              <w:rPr>
                <w:rFonts w:ascii="Arial" w:hAnsi="Arial"/>
                <w:color w:val="334155"/>
                <w:sz w:val="17"/>
              </w:rPr>
              <w:t>Despliegue distribuido en la red perimetral de Vercel Edge Network (CDN global con Anycast DNS) y contenedores Docker en Render.com (backend/Dockerfile) con reinicio automático ante fallos (restart: unless-stopped) y verificación de salud continua (/api/health), garantizando un SLA de disponibilidad mensual &gt;= 99.5% (RNF-004).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Resiliencia y Fallback de Datos: </w:t>
            </w:r>
            <w:r>
              <w:rPr>
                <w:rFonts w:ascii="Arial" w:hAnsi="Arial"/>
                <w:color w:val="334155"/>
                <w:sz w:val="17"/>
              </w:rPr>
              <w:t>Implementación del patrón Fallback en memoria (MemoryOrderRepository) en el backend que permite mantener la ejecución de pruebas unitarias/integración (18/18 tests aprobados con Jest/Supertest) y asegurar la continuidad operativa frente a desconexiones transitorias con PostgreSQL.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E6F4E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37333"/>
                <w:sz w:val="26"/>
              </w:rPr>
              <w:t>X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D93025"/>
                <w:sz w:val="26"/>
              </w:rPr>
            </w:r>
          </w:p>
        </w:tc>
      </w:tr>
      <w:tr w:rsidR="00CF264E" w14:paraId="10BFBAFB" w14:textId="77777777" w:rsidTr="00561894">
        <w:tc>
          <w:tcPr>
            <w:tcW w:w="1650" w:type="dxa"/>
            <w:tcMar>
              <w:top w:w="120" w:type="dxa"/>
              <w:bottom w:w="120" w:type="dxa"/>
              <w:left w:w="120" w:type="dxa"/>
              <w:right w:w="120" w:type="dxa"/>
            </w:tcMar>
            <w:shd w:fill="EEF2F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>Seguridad y costos</w:t>
            </w:r>
          </w:p>
        </w:tc>
        <w:tc>
          <w:tcPr>
            <w:tcW w:w="5350" w:type="dxa"/>
            <w:tcMar>
              <w:top w:w="130" w:type="dxa"/>
              <w:bottom w:w="130" w:type="dxa"/>
              <w:left w:w="150" w:type="dxa"/>
              <w:right w:w="150" w:type="dxa"/>
            </w:tcMar>
            <w:shd w:fill="F8FAFC"/>
            <w:vAlign w:val="top"/>
          </w:tcPr>
          <w:p>
            <w:pPr>
              <w:spacing w:before="40" w:after="80" w:line="276" w:lineRule="auto"/>
              <w:jc w:val="left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 xml:space="preserve">Pregunta Clave: </w:t>
            </w:r>
            <w:r>
              <w:rPr>
                <w:rFonts w:ascii="Arial" w:hAnsi="Arial"/>
                <w:b/>
                <w:color w:val="0F172A"/>
                <w:sz w:val="18"/>
              </w:rPr>
              <w:t>¿El sistema implementa defensas integrales contra vulnerabilidades OWASP Top 10, autenticación robusta y control de acceso estricto (RBAC)?</w:t>
            </w: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1E5A82"/>
                <w:sz w:val="17"/>
              </w:rPr>
              <w:t>Sustentación Técnica y Evidencia End-to-End: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Autenticación Criptográfica Robusta (A02:2021): </w:t>
            </w:r>
            <w:r>
              <w:rPr>
                <w:rFonts w:ascii="Arial" w:hAnsi="Arial"/>
                <w:color w:val="334155"/>
                <w:sz w:val="17"/>
              </w:rPr>
              <w:t>Emisión y verificación de tokens de sesión JSON Web Tokens (JWT) firmados con algoritmo HMAC-SHA256 (HS256) empleando una clave criptográfica de 64 caracteres de alta entropía (JWT_SECRET) y vigencia estricta de 24 horas.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Control de Acceso Basado en Roles (RBAC - A01:2021): </w:t>
            </w:r>
            <w:r>
              <w:rPr>
                <w:rFonts w:ascii="Arial" w:hAnsi="Arial"/>
                <w:color w:val="334155"/>
                <w:sz w:val="17"/>
              </w:rPr>
              <w:t>Middleware de autorización estricta (requireRole('ADMIN')) en backend/src/middlewares/role.middleware.ts que restringe el acceso a endpoints mutables de ajuste de inventario, edición de precios y transición de estados, bloqueando peticiones desautorizadas con códigos HTTP 401 Unauthorized y 403 Forbidden.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Mitigación Activa de Amenazas OWASP Top 10: </w:t>
            </w:r>
            <w:r>
              <w:rPr>
                <w:rFonts w:ascii="Arial" w:hAnsi="Arial"/>
                <w:color w:val="334155"/>
                <w:sz w:val="17"/>
              </w:rPr>
              <w:t>- Inyecciones SQL (A03:2021): Consultas parametrizadas con placeholders ($1, $2, ...) en PgOrderRepository y PgProductRepository, eliminando por completo el riesgo de inyección por concatenación.</w:t>
              <w:br/>
              <w:t>- Validación Estricta de Esquemas: Saneamiento y validación rigurosa de todas las entradas del cliente mediante la biblioteca Zod (backend/src/infrastructure/validators/schemas.ts), neutralizando vectores Cross-Site Scripting (XSS).</w:t>
              <w:br/>
              <w:t>- Endurecimiento Perimetral: Cabeceras seguras con Helmet (HSTS forzado, No-Sniff, Frameguard anti-clickjacking) y limitador de tasa (Rate Limiting) de 20 intentos cada 15 min en autenticación (backend/src/middlewares/rateLimit.middleware.ts) contra ataques de fuerza bruta y DoS (A05:2021, A07:2021).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E6F4E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37333"/>
                <w:sz w:val="26"/>
              </w:rPr>
              <w:t>X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D93025"/>
                <w:sz w:val="26"/>
              </w:rPr>
            </w:r>
          </w:p>
        </w:tc>
      </w:tr>
      <w:tr w:rsidR="00CF264E" w14:paraId="0427DD1B" w14:textId="77777777" w:rsidTr="00561894">
        <w:tc>
          <w:tcPr>
            <w:tcW w:w="1650" w:type="dxa"/>
            <w:tcMar>
              <w:top w:w="120" w:type="dxa"/>
              <w:bottom w:w="120" w:type="dxa"/>
              <w:left w:w="120" w:type="dxa"/>
              <w:right w:w="120" w:type="dxa"/>
            </w:tcMar>
            <w:shd w:fill="F1F5F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>Seguridad y costos</w:t>
            </w:r>
          </w:p>
        </w:tc>
        <w:tc>
          <w:tcPr>
            <w:tcW w:w="5350" w:type="dxa"/>
            <w:tcMar>
              <w:top w:w="130" w:type="dxa"/>
              <w:bottom w:w="130" w:type="dxa"/>
              <w:left w:w="150" w:type="dxa"/>
              <w:right w:w="150" w:type="dxa"/>
            </w:tcMar>
            <w:shd w:fill="FFFFFF"/>
            <w:vAlign w:val="top"/>
          </w:tcPr>
          <w:p>
            <w:pPr>
              <w:spacing w:before="40" w:after="80" w:line="276" w:lineRule="auto"/>
              <w:jc w:val="left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 xml:space="preserve">Pregunta Clave: </w:t>
            </w:r>
            <w:r>
              <w:rPr>
                <w:rFonts w:ascii="Arial" w:hAnsi="Arial"/>
                <w:b/>
                <w:color w:val="0F172A"/>
                <w:sz w:val="18"/>
              </w:rPr>
              <w:t>¿Se garantiza la privacidad de datos personales, el cifrado de información sensible y la pista de auditoría forense inmutable de transacciones?</w:t>
            </w: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1E5A82"/>
                <w:sz w:val="17"/>
              </w:rPr>
              <w:t>Sustentación Técnica y Evidencia End-to-End: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Protección Criptográfica en Reposo y Tránsito: </w:t>
            </w:r>
            <w:r>
              <w:rPr>
                <w:rFonts w:ascii="Arial" w:hAnsi="Arial"/>
                <w:color w:val="334155"/>
                <w:sz w:val="17"/>
              </w:rPr>
              <w:t>Contraseñas de acceso administrativo nunca almacenadas en texto plano; procesadas mediante función de derivación bcrypt aplicando 10 rondas de salt criptográfico aleatorio. Toda la comunicación entre cliente PWA, backend y base de datos viaja cifrada bajo protocolo TLS 1.3 / HTTPS obligatorio con certificados SSL Let's Encrypt.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Cumplimiento de la Ley de Protección de Datos Personales (Ley N° 29733): </w:t>
            </w:r>
            <w:r>
              <w:rPr>
                <w:rFonts w:ascii="Arial" w:hAnsi="Arial"/>
                <w:color w:val="334155"/>
                <w:sz w:val="17"/>
              </w:rPr>
              <w:t>Recopilación restringida y tratamiento confidencial de datos de contacto y despacho de clientes deportivos (DNI/RUC, teléfono, dirección de entrega), empleados exclusivamente para la facturación fiscal del flete y la entrega de encomiendas.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Pista de Auditoría Forense Inmutable (A09:2021): </w:t>
            </w:r>
            <w:r>
              <w:rPr>
                <w:rFonts w:ascii="Arial" w:hAnsi="Arial"/>
                <w:color w:val="334155"/>
                <w:sz w:val="17"/>
              </w:rPr>
              <w:t>Cada modificación de estado de una orden se registra automáticamente en la tabla relacional order_status_history de PostgreSQL, conservando un registro histórico inmutable con marca temporal UTC (CURRENT_TIMESTAMP), ID del pedido, estado previo, nuevo estado y usuario ejecutor para auditoría y trazabilidad operativa.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Gobernanza de Secretos: </w:t>
            </w:r>
            <w:r>
              <w:rPr>
                <w:rFonts w:ascii="Arial" w:hAnsi="Arial"/>
                <w:color w:val="334155"/>
                <w:sz w:val="17"/>
              </w:rPr>
              <w:t>Aislamiento riguroso de credenciales críticas en variables de entorno del servidor (DATABASE_URL, JWT_SECRET) sin exposición en repositorios públicos conforme a la directiva SECURITY.md.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E6F4E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37333"/>
                <w:sz w:val="26"/>
              </w:rPr>
              <w:t>X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D93025"/>
                <w:sz w:val="26"/>
              </w:rPr>
            </w:r>
          </w:p>
        </w:tc>
      </w:tr>
      <w:tr w:rsidR="00CF264E" w14:paraId="5FE3BEB0" w14:textId="77777777" w:rsidTr="00561894">
        <w:tc>
          <w:tcPr>
            <w:tcW w:w="1650" w:type="dxa"/>
            <w:tcMar>
              <w:top w:w="120" w:type="dxa"/>
              <w:bottom w:w="120" w:type="dxa"/>
              <w:left w:w="120" w:type="dxa"/>
              <w:right w:w="120" w:type="dxa"/>
            </w:tcMar>
            <w:shd w:fill="EEF2F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>Seguridad y costos</w:t>
            </w:r>
          </w:p>
        </w:tc>
        <w:tc>
          <w:tcPr>
            <w:tcW w:w="5350" w:type="dxa"/>
            <w:tcMar>
              <w:top w:w="130" w:type="dxa"/>
              <w:bottom w:w="130" w:type="dxa"/>
              <w:left w:w="150" w:type="dxa"/>
              <w:right w:w="150" w:type="dxa"/>
            </w:tcMar>
            <w:shd w:fill="F8FAFC"/>
            <w:vAlign w:val="top"/>
          </w:tcPr>
          <w:p>
            <w:pPr>
              <w:spacing w:before="40" w:after="80" w:line="276" w:lineRule="auto"/>
              <w:jc w:val="left"/>
            </w:pPr>
            <w:r/>
            <w:r>
              <w:rPr>
                <w:rFonts w:ascii="Arial" w:hAnsi="Arial"/>
                <w:b/>
                <w:color w:val="0A2F41"/>
                <w:sz w:val="18"/>
              </w:rPr>
              <w:t xml:space="preserve">Pregunta Clave: </w:t>
            </w:r>
            <w:r>
              <w:rPr>
                <w:rFonts w:ascii="Arial" w:hAnsi="Arial"/>
                <w:b/>
                <w:color w:val="0F172A"/>
                <w:sz w:val="18"/>
              </w:rPr>
              <w:t>¿La solución optimiza el Costo Total de Propiedad (TCO), garantiza sostenibilidad financiera para la pyme y maximiza el Retorno de Inversión (ROI)?</w:t>
            </w:r>
          </w:p>
          <w:p>
            <w:pPr>
              <w:spacing w:before="40" w:after="60"/>
            </w:pPr>
            <w:r>
              <w:rPr>
                <w:rFonts w:ascii="Arial" w:hAnsi="Arial"/>
                <w:b/>
                <w:color w:val="1E5A82"/>
                <w:sz w:val="17"/>
              </w:rPr>
              <w:t>Sustentación Técnica y Evidencia End-to-End: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Costo Total de Propiedad (TCO) de $0.00 USD en Etapa de Lanzamiento: </w:t>
            </w:r>
            <w:r>
              <w:rPr>
                <w:rFonts w:ascii="Arial" w:hAnsi="Arial"/>
                <w:color w:val="334155"/>
                <w:sz w:val="17"/>
              </w:rPr>
              <w:t>Arquitectura Cloud Serverless y PaaS diseñada para operar con solvencia dentro de los niveles gratuitos (Free Tier) de alta disponibilidad: Vercel Edge Network para el Frontend PWA ($0/mes), Render Cloud para el contenedor API REST ($0/mes) y Supabase Cloud para el motor PostgreSQL 16 administrado con 500 MB y backups automáticos PITR ($0/mes).</w:t>
              <w:br/>
              <w:t>- Inversión en Hardware (CAPEX): S/ 0.00, al no requerir la adquisición de servidores dedicados ni licencias de software propietario en el taller textil de LeoFit.</w:t>
              <w:br/>
              <w:t>- Costo Operativo (OPEX): S/ 0.00/mes durante la fase inicial y de consolidación comercial, con un modelo de escalamiento elástico de ultra-bajo costo ($25 - $50 USD/mes) proyectado únicamente al superar los 50,000 pedidos mensuales.</w:t>
            </w:r>
          </w:p>
          <w:p>
            <w:pPr>
              <w:spacing w:before="20" w:after="40" w:line="269" w:lineRule="auto"/>
            </w:pPr>
            <w:r>
              <w:rPr>
                <w:rFonts w:ascii="Arial" w:hAnsi="Arial"/>
                <w:b/>
                <w:color w:val="1E5A82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E293B"/>
                <w:sz w:val="17"/>
              </w:rPr>
              <w:t xml:space="preserve">Retorno de Inversión (ROI) Operativo Inmediato: </w:t>
            </w:r>
            <w:r>
              <w:rPr>
                <w:rFonts w:ascii="Arial" w:hAnsi="Arial"/>
                <w:color w:val="334155"/>
                <w:sz w:val="17"/>
              </w:rPr>
              <w:t>- Ahorro de tiempo operativo del ~92% en la atención comercial y formalización de órdenes (reducción de 25 min a &lt;= 2 min por cliente), liberando más de 3 horas diarias de trabajo manual del fundador y administrador Víctor Raúl Cárdenas para actividades clave de abastecimiento y confección.</w:t>
              <w:br/>
              <w:t>- Supresión total (100%) de pérdidas financieras asociadas a pedidos duplicados, comprobantes extraviados, direcciones erróneas y sobreventas de prendas sin existencias físicas.</w:t>
              <w:br/>
              <w:t>- Incremento proyectado de conversión de ventas en un 35% derivado de la agilidad del catálogo web interactivo y la confirmación automatizada vía WhatsApp.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E6F4E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37333"/>
                <w:sz w:val="26"/>
              </w:rPr>
              <w:t>X</w:t>
            </w:r>
          </w:p>
        </w:tc>
        <w:tc>
          <w:tcPr>
            <w:tcW w:w="750" w:type="dxa"/>
            <w:tcMar>
              <w:top w:w="120" w:type="dxa"/>
              <w:bottom w:w="120" w:type="dxa"/>
              <w:left w:w="60" w:type="dxa"/>
              <w:right w:w="6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D93025"/>
                <w:sz w:val="26"/>
              </w:rPr>
            </w:r>
          </w:p>
        </w:tc>
      </w:tr>
    </w:tbl>
    <w:p w14:paraId="4B20EF20" w14:textId="77777777" w:rsidR="0093554C" w:rsidRDefault="0093554C">
      <w:pPr>
        <w:spacing w:before="0" w:after="80"/>
      </w:pPr>
    </w:p>
    <w:p w14:paraId="06D360E3" w14:textId="3AFBF697" w:rsidR="00561894" w:rsidRDefault="00561894">
      <w:pPr>
        <w:spacing w:before="280" w:after="60"/>
      </w:pPr>
      <w:r/>
      <w:r>
        <w:rPr>
          <w:rFonts w:ascii="Arial" w:hAnsi="Arial"/>
          <w:b/>
          <w:color w:val="0A2F41"/>
          <w:sz w:val="20"/>
        </w:rPr>
        <w:t xml:space="preserve">Nombre del equipo: </w:t>
      </w:r>
      <w:r>
        <w:rPr>
          <w:rFonts w:ascii="Arial" w:hAnsi="Arial"/>
          <w:b/>
          <w:color w:val="0F172A"/>
          <w:sz w:val="20"/>
        </w:rPr>
        <w:t>Grupo 01 — Leofit Solutions (Curso Integrador II: Software - Sección 35374)</w:t>
      </w:r>
    </w:p>
    <w:p w14:paraId="18A4A155" w14:textId="61C040A9" w:rsidR="00561894" w:rsidRDefault="00561894">
      <w:pPr>
        <w:spacing w:before="80" w:after="60"/>
      </w:pPr>
      <w:r/>
      <w:r>
        <w:rPr>
          <w:rFonts w:ascii="Arial" w:hAnsi="Arial"/>
          <w:b/>
          <w:color w:val="0A2F41"/>
          <w:sz w:val="20"/>
        </w:rPr>
        <w:t>Integrantes del Equipo y Roles Especializados:</w:t>
        <w:br/>
      </w:r>
      <w:r>
        <w:rPr>
          <w:rFonts w:ascii="Arial" w:hAnsi="Arial"/>
          <w:b/>
          <w:sz w:val="18"/>
        </w:rPr>
        <w:t xml:space="preserve">  1. </w:t>
      </w:r>
      <w:r>
        <w:rPr>
          <w:rFonts w:ascii="Arial" w:hAnsi="Arial"/>
          <w:b/>
          <w:color w:val="0F172A"/>
          <w:sz w:val="18"/>
        </w:rPr>
        <w:t xml:space="preserve">Loayza Rodriguez, Lady Luz </w:t>
      </w:r>
      <w:r>
        <w:rPr>
          <w:rFonts w:ascii="Arial" w:hAnsi="Arial"/>
          <w:color w:val="475569"/>
          <w:sz w:val="18"/>
        </w:rPr>
        <w:t xml:space="preserve">(Código: U22221489) — </w:t>
      </w:r>
      <w:r>
        <w:rPr>
          <w:rFonts w:ascii="Arial" w:hAnsi="Arial"/>
          <w:b/>
          <w:color w:val="1E5A82"/>
          <w:sz w:val="18"/>
        </w:rPr>
        <w:t xml:space="preserve">Rol Scrum: Scrum Master | </w:t>
      </w:r>
      <w:r>
        <w:rPr>
          <w:rFonts w:ascii="Arial" w:hAnsi="Arial"/>
          <w:i/>
          <w:color w:val="64748B"/>
          <w:sz w:val="17"/>
        </w:rPr>
        <w:t>Responsabilidad Técnica: DevSecOps, Coordinadora de Seguridad JWT &amp; Gobernanza</w:t>
        <w:br/>
      </w:r>
      <w:r>
        <w:rPr>
          <w:rFonts w:ascii="Arial" w:hAnsi="Arial"/>
          <w:b/>
          <w:sz w:val="18"/>
        </w:rPr>
        <w:t xml:space="preserve">  2. </w:t>
      </w:r>
      <w:r>
        <w:rPr>
          <w:rFonts w:ascii="Arial" w:hAnsi="Arial"/>
          <w:b/>
          <w:color w:val="0F172A"/>
          <w:sz w:val="18"/>
        </w:rPr>
        <w:t xml:space="preserve">Cárdenas Fernández, Víctor Leandro </w:t>
      </w:r>
      <w:r>
        <w:rPr>
          <w:rFonts w:ascii="Arial" w:hAnsi="Arial"/>
          <w:color w:val="475569"/>
          <w:sz w:val="18"/>
        </w:rPr>
        <w:t xml:space="preserve">(Código: U19217414) — </w:t>
      </w:r>
      <w:r>
        <w:rPr>
          <w:rFonts w:ascii="Arial" w:hAnsi="Arial"/>
          <w:b/>
          <w:color w:val="1E5A82"/>
          <w:sz w:val="18"/>
        </w:rPr>
        <w:t xml:space="preserve">Rol Scrum: Product Owner | </w:t>
      </w:r>
      <w:r>
        <w:rPr>
          <w:rFonts w:ascii="Arial" w:hAnsi="Arial"/>
          <w:i/>
          <w:color w:val="64748B"/>
          <w:sz w:val="17"/>
        </w:rPr>
        <w:t>Responsabilidad Técnica: Arquitecto de Base de Datos (DBA), BCNF &amp; Replicación WAL</w:t>
        <w:br/>
      </w:r>
      <w:r>
        <w:rPr>
          <w:rFonts w:ascii="Arial" w:hAnsi="Arial"/>
          <w:b/>
          <w:sz w:val="18"/>
        </w:rPr>
        <w:t xml:space="preserve">  3. </w:t>
      </w:r>
      <w:r>
        <w:rPr>
          <w:rFonts w:ascii="Arial" w:hAnsi="Arial"/>
          <w:b/>
          <w:color w:val="0F172A"/>
          <w:sz w:val="18"/>
        </w:rPr>
        <w:t xml:space="preserve">Roman Delgado, Harley Anthony </w:t>
      </w:r>
      <w:r>
        <w:rPr>
          <w:rFonts w:ascii="Arial" w:hAnsi="Arial"/>
          <w:color w:val="475569"/>
          <w:sz w:val="18"/>
        </w:rPr>
        <w:t xml:space="preserve">(Código: U21313032) — </w:t>
      </w:r>
      <w:r>
        <w:rPr>
          <w:rFonts w:ascii="Arial" w:hAnsi="Arial"/>
          <w:b/>
          <w:color w:val="1E5A82"/>
          <w:sz w:val="18"/>
        </w:rPr>
        <w:t xml:space="preserve">Rol Scrum: Frontend Lead | </w:t>
      </w:r>
      <w:r>
        <w:rPr>
          <w:rFonts w:ascii="Arial" w:hAnsi="Arial"/>
          <w:i/>
          <w:color w:val="64748B"/>
          <w:sz w:val="17"/>
        </w:rPr>
        <w:t>Responsabilidad Técnica: Especialista PWA, Diseñador UI/UX &amp; Optimización WPO</w:t>
        <w:br/>
      </w:r>
      <w:r>
        <w:rPr>
          <w:rFonts w:ascii="Arial" w:hAnsi="Arial"/>
          <w:b/>
          <w:sz w:val="18"/>
        </w:rPr>
        <w:t xml:space="preserve">  4. </w:t>
      </w:r>
      <w:r>
        <w:rPr>
          <w:rFonts w:ascii="Arial" w:hAnsi="Arial"/>
          <w:b/>
          <w:color w:val="0F172A"/>
          <w:sz w:val="18"/>
        </w:rPr>
        <w:t xml:space="preserve">Dávila Morales, Jim Alessandro </w:t>
      </w:r>
      <w:r>
        <w:rPr>
          <w:rFonts w:ascii="Arial" w:hAnsi="Arial"/>
          <w:color w:val="475569"/>
          <w:sz w:val="18"/>
        </w:rPr>
        <w:t xml:space="preserve">(Código: U18206081) — </w:t>
      </w:r>
      <w:r>
        <w:rPr>
          <w:rFonts w:ascii="Arial" w:hAnsi="Arial"/>
          <w:b/>
          <w:color w:val="1E5A82"/>
          <w:sz w:val="18"/>
        </w:rPr>
        <w:t xml:space="preserve">Rol Scrum: QA Engineer Lead | </w:t>
      </w:r>
      <w:r>
        <w:rPr>
          <w:rFonts w:ascii="Arial" w:hAnsi="Arial"/>
          <w:i/>
          <w:color w:val="64748B"/>
          <w:sz w:val="17"/>
        </w:rPr>
        <w:t>Responsabilidad Técnica: Desarrollador Backend Node.js/TS &amp; Pruebas Automatizadas Jest</w:t>
        <w:br/>
      </w:r>
      <w:r>
        <w:rPr>
          <w:rFonts w:ascii="Arial" w:hAnsi="Arial"/>
          <w:b/>
          <w:sz w:val="18"/>
        </w:rPr>
        <w:t xml:space="preserve">  5. </w:t>
      </w:r>
      <w:r>
        <w:rPr>
          <w:rFonts w:ascii="Arial" w:hAnsi="Arial"/>
          <w:b/>
          <w:color w:val="0F172A"/>
          <w:sz w:val="18"/>
        </w:rPr>
        <w:t xml:space="preserve">Rojas Sanchez, Daniel Enrique </w:t>
      </w:r>
      <w:r>
        <w:rPr>
          <w:rFonts w:ascii="Arial" w:hAnsi="Arial"/>
          <w:color w:val="475569"/>
          <w:sz w:val="18"/>
        </w:rPr>
        <w:t xml:space="preserve">(Código: U21214627) — </w:t>
      </w:r>
      <w:r>
        <w:rPr>
          <w:rFonts w:ascii="Arial" w:hAnsi="Arial"/>
          <w:b/>
          <w:color w:val="1E5A82"/>
          <w:sz w:val="18"/>
        </w:rPr>
        <w:t xml:space="preserve">Rol Scrum: Business Analyst | </w:t>
      </w:r>
      <w:r>
        <w:rPr>
          <w:rFonts w:ascii="Arial" w:hAnsi="Arial"/>
          <w:i/>
          <w:color w:val="64748B"/>
          <w:sz w:val="17"/>
        </w:rPr>
        <w:t>Responsabilidad Técnica: Cloud DevOps, SLA/SLO, Render/Vercel &amp; Supabase Cloud</w:t>
      </w:r>
    </w:p>
    <w:p w14:paraId="16D38EEC" w14:textId="002F3E1D" w:rsidR="00561894" w:rsidRDefault="00561894">
      <w:pPr>
        <w:spacing w:before="120" w:after="80"/>
      </w:pPr>
      <w:r/>
      <w:r>
        <w:rPr>
          <w:rFonts w:ascii="Arial" w:hAnsi="Arial"/>
          <w:b/>
          <w:color w:val="0A2F41"/>
          <w:sz w:val="20"/>
        </w:rPr>
        <w:t xml:space="preserve">Fecha de Evaluación: </w:t>
      </w:r>
      <w:r>
        <w:rPr>
          <w:rFonts w:ascii="Arial" w:hAnsi="Arial"/>
          <w:color w:val="0F172A"/>
          <w:sz w:val="20"/>
        </w:rPr>
        <w:t>23 de Septiembre de 2026 (Ciclo Académico 2026-II)</w:t>
      </w:r>
    </w:p>
    <w:sectPr w:rsidR="00561894">
      <w:pgSz w:w="11906" w:h="16838"/>
      <w:pgMar w:top="1152" w:right="1296" w:bottom="1152" w:left="129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4E"/>
    <w:rsid w:val="0010534C"/>
    <w:rsid w:val="002205DD"/>
    <w:rsid w:val="00561894"/>
    <w:rsid w:val="0093554C"/>
    <w:rsid w:val="00C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F28698"/>
  <w15:chartTrackingRefBased/>
  <w15:docId w15:val="{CB5881DE-0028-46DF-B461-EFAB14E7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2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2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2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2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2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26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26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26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26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26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26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26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26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26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2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26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264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F2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0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Dionicio Fausto Vasquez Espinoza</dc:creator>
  <cp:keywords/>
  <dc:description/>
  <cp:lastModifiedBy>Dionicio Fausto Vasquez Espinoza</cp:lastModifiedBy>
  <cp:revision>1</cp:revision>
  <dcterms:created xsi:type="dcterms:W3CDTF">2026-09-21T22:14:00Z</dcterms:created>
  <dcterms:modified xsi:type="dcterms:W3CDTF">2026-09-21T22:26:00Z</dcterms:modified>
</cp:coreProperties>
</file>