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Docente:</w:t>
      </w:r>
      <w:r>
        <w:rPr>
          <w:rFonts w:ascii="Calibri" w:hAnsi="Calibri"/>
          <w:color w:val="1E293B"/>
          <w:sz w:val="22"/>
        </w:rPr>
        <w:t xml:space="preserve"> Ing. Enrique Lee Huamani Uriarte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Grupo 01:</w:t>
      </w:r>
      <w:r>
        <w:rPr>
          <w:rFonts w:ascii="Calibri" w:hAnsi="Calibri"/>
          <w:color w:val="1E293B"/>
          <w:sz w:val="22"/>
        </w:rPr>
        <w:t xml:space="preserve"> </w:t>
      </w:r>
      <w:r>
        <w:rPr>
          <w:rFonts w:ascii="Calibri" w:hAnsi="Calibri"/>
          <w:i/>
          <w:color w:val="1E293B"/>
          <w:sz w:val="22"/>
        </w:rPr>
        <w:t>LeoFit Pedidos Sistema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 la documentación técnica y académica del proyecto se encuentra organizada bajo estándares de ingeniería de software, arquitectura limpia y normas de redacción formal.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docs/</w:t>
        <w:br/>
        <w:t>├── Entregables Oficiales Consolidados: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Plantillas institucionales y recursos UTP:</w:t>
        <w:br/>
        <w:t>│       ├── Checklist_Integral_Evaluacion_Software_Plantilla.docx # Plantilla base de evaluación de software</w:t>
        <w:br/>
        <w:t>│       ├── Ficha_Mapeo_Empresa_Semana_1.pdf                      # Ficha de mapeo empresarial</w:t>
        <w:br/>
        <w:t>│       ├── UTP_Semana_2_ASIS_TOBE_Plantilla.pptx                 # Plantilla de diagramas AS-IS / TO-BE</w:t>
        <w:br/>
        <w:t>│       └── UTP_Semana_2_Requerimientos_Plantilla.xlsx            # Matriz de requerimientos</w:t>
        <w:br/>
        <w:t>│</w:t>
        <w:br/>
        <w:t>└── Módulos Temáticos de Ingeniería (Formatos MD / DOCX / PDF):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└── 12_Manual_Despliegue_Cloud_Produccion    # Manual de Despliegue en Cloud v1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Para la entrega institucional en la plataforma académica, el archivo maestro consolidado de APF2 también se replica en [</w:t>
      </w:r>
      <w:r>
        <w:rPr>
          <w:rFonts w:ascii="Consolas" w:hAnsi="Consolas"/>
          <w:color w:val="C2410C"/>
          <w:sz w:val="19"/>
        </w:rPr>
        <w:t>Integrator/informe/DOCUMENTACION.docx</w:t>
      </w:r>
      <w:r>
        <w:rPr>
          <w:rFonts w:ascii="Calibri" w:hAnsi="Calibri"/>
          <w:color w:val="1E293B"/>
          <w:sz w:val="22"/>
        </w:rPr>
        <w:t>](../Integrator/informe/DOCUMENTACION.docx) conforme a la estructura requerida por el estándar de entrega de Curso Integrador II.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Entregables Oficiales Consolidados por Hito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Hito Académico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 / Calificación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Word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APF1 (Avance 1)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 (18/20)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](INFORME_FINAL_APF1_LEOFIT.docx)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INFORME_FINAL_APF1_LEOFIT.pdf</w:t>
            </w:r>
            <w:r>
              <w:rPr>
                <w:rFonts w:ascii="Calibri" w:hAnsi="Calibri"/>
                <w:color w:val="1E293B"/>
                <w:sz w:val="19"/>
              </w:rPr>
              <w:t>](INFORME_FINAL_APF1_LEOFIT.pdf)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APF2 (Avance 2)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100% Completado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](INFORME_FINAL_APF2_LEOFIT.docx)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INFORME_FINAL_APF2_LEOFIT.pdf</w:t>
            </w:r>
            <w:r>
              <w:rPr>
                <w:rFonts w:ascii="Calibri" w:hAnsi="Calibri"/>
                <w:color w:val="1E293B"/>
                <w:sz w:val="19"/>
              </w:rPr>
              <w:t>](INFORME_FINAL_APF2_LEOFIT.pdf)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APF3 (Avance 3)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4)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PROY (Final)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5)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Checklist Integral de Evaluación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Evaluación técnica exhaustiva (Funcionalidad, Usabilidad UX, Rendimiento y Seguridad/Costos).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Guía de Carga de Issues GitHub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](GUIA_CARGA_ISSUES_GITHUB.md)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](GUIA_CARGA_ISSUES_GITHUB.docx)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](GUIA_CARGA_ISSUES_GITHUB.pdf)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gestión ágil de sprints, backlog, tareas y trazabilidad de requerimientos.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Plan Académico GitHub Projects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 de hitos académicos, matriz de responsabilidades RACI y ponderaciones UTP.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Ficha de Identificación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](01_Ficha_Identificacion.md)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](01_Ficha_Identificacion.docx)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](01_Ficha_Identificacion.pdf)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Datos de la MYPE LeoFit, integrantes, roles y resumen del proyecto.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de Requerimientos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](02_Requerimientos.md)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](02_Requerimientos.docx)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](02_Requerimientos.pdf)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Funcionales (RF), No Funcionales (RNF) e Historias de Usuario con formato Gherkin.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Acta de Reunión N° 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](03_Acta_Reunion_1.md)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](03_Acta_Reunion_1.docx)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](03_Acta_Reunion_1.pdf)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Entrevista con el dueño de la empresa textil, levantamiento de procesos y acuerdos.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Glosario de Términos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](04_Glosario.md)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](04_Glosario.docx)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](04_Glosario.pdf)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Terminología técnica (PWA, BCNF, JWT, ACID, WAL) y textil (Oversize, Dry-Fit, SKU).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05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Preguntas Críticas de Panel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](05_Preguntas_Criticas_Panel.md)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](05_Preguntas_Criticas_Panel.docx)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](05_Preguntas_Criticas_Panel.pdf)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Balotario de 20 preguntas y respuestas técnicas preparadas para la sustentación.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06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PWA &amp; UI/UX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de interfaz, modo oscuro, 10 heurísticas de Nielsen y Service Workers.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Arquitectura de Software (SAD)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](07_Arquitectura_Sistema.md)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](07_Arquitectura_Sistema.docx)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](07_Arquitectura_Sistema.pdf)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Vistas del modelo 4+1, diagrama C4 de contenedores, patrones arquitectónicos y Clean Architecture.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Normalización de Base de Datos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](08_Normalizacion_Base_Datos.md)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](08_Normalizacion_Base_Datos.docx)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](08_Normalizacion_Base_Datos.pdf)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Proceso de normalización formal desde 1FN, 2FN, 3FN hasta BCNF y DDL en PostgreSQL.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09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Guion de Video Demo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Estructura del pitch audiovisual y código de animación en Remotion.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Controles de Seguridad OWASP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de mitigación técnica para el OWASP Top 10 (SQLi, XSS, RBAC, Rate-Limit).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Informe de Seguridad y SAST/DAST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de auditoría estática (</w:t>
            </w:r>
            <w:r>
              <w:rPr>
                <w:rFonts w:ascii="Consolas" w:hAnsi="Consolas"/>
                <w:color w:val="C2410C"/>
                <w:sz w:val="19"/>
              </w:rPr>
              <w:t>npm audit</w:t>
            </w:r>
            <w:r>
              <w:rPr>
                <w:rFonts w:ascii="Calibri" w:hAnsi="Calibri"/>
                <w:color w:val="1E293B"/>
                <w:sz w:val="19"/>
              </w:rPr>
              <w:t>), pruebas dinámicas y cifrado en tránsito/reposo.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Manual de Despliegue en Cloud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aprovisionamiento en Render (Backend), Vercel (Frontend) y Supabase (DB).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Políticas de Seguridad y Manejo de Información Sensible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Toda la documentación, scripts y ejemplos de configuración cumplen estrictamente con las siguientes directivas de privacidad y seguridad: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1. </w:t>
      </w:r>
      <w:r>
        <w:rPr>
          <w:rFonts w:ascii="Calibri" w:hAnsi="Calibri"/>
          <w:b/>
          <w:color w:val="1E293B"/>
          <w:sz w:val="22"/>
        </w:rPr>
        <w:t>Cero Credenciales en Texto Plano:</w:t>
      </w:r>
      <w:r>
        <w:rPr>
          <w:rFonts w:ascii="Calibri" w:hAnsi="Calibri"/>
          <w:color w:val="1E293B"/>
          <w:sz w:val="22"/>
        </w:rPr>
        <w:t xml:space="preserve"> Las cadenas de conexión a base de datos y llaves JWT utilizan variables de entorno (</w:t>
      </w:r>
      <w:r>
        <w:rPr>
          <w:rFonts w:ascii="Consolas" w:hAnsi="Consolas"/>
          <w:color w:val="C2410C"/>
          <w:sz w:val="19"/>
        </w:rPr>
        <w:t>process.env.DATABASE_URL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process.env.JWT_SECRET</w:t>
      </w:r>
      <w:r>
        <w:rPr>
          <w:rFonts w:ascii="Calibri" w:hAnsi="Calibri"/>
          <w:color w:val="1E293B"/>
          <w:sz w:val="22"/>
        </w:rPr>
        <w:t xml:space="preserve">) o plantillas seguras en </w:t>
      </w:r>
      <w:r>
        <w:rPr>
          <w:rFonts w:ascii="Consolas" w:hAnsi="Consolas"/>
          <w:color w:val="C2410C"/>
          <w:sz w:val="19"/>
        </w:rPr>
        <w:t>.env.example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2. </w:t>
      </w:r>
      <w:r>
        <w:rPr>
          <w:rFonts w:ascii="Calibri" w:hAnsi="Calibri"/>
          <w:b/>
          <w:color w:val="1E293B"/>
          <w:sz w:val="22"/>
        </w:rPr>
        <w:t>Datos de Demostración:</w:t>
      </w:r>
      <w:r>
        <w:rPr>
          <w:rFonts w:ascii="Calibri" w:hAnsi="Calibri"/>
          <w:color w:val="1E293B"/>
          <w:sz w:val="22"/>
        </w:rPr>
        <w:t xml:space="preserve"> Todos los clientes, números telefónicos y correos electrónicos utilizados en las semillas (</w:t>
      </w:r>
      <w:r>
        <w:rPr>
          <w:rFonts w:ascii="Consolas" w:hAnsi="Consolas"/>
          <w:color w:val="C2410C"/>
          <w:sz w:val="19"/>
        </w:rPr>
        <w:t>seeds.sql</w:t>
      </w:r>
      <w:r>
        <w:rPr>
          <w:rFonts w:ascii="Calibri" w:hAnsi="Calibri"/>
          <w:color w:val="1E293B"/>
          <w:sz w:val="22"/>
        </w:rPr>
        <w:t>) son datos simulados con fines estrictamente académicos.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3. </w:t>
      </w:r>
      <w:r>
        <w:rPr>
          <w:rFonts w:ascii="Calibri" w:hAnsi="Calibri"/>
          <w:b/>
          <w:color w:val="1E293B"/>
          <w:sz w:val="22"/>
        </w:rPr>
        <w:t>Cifrado de Contraseñas:</w:t>
      </w:r>
      <w:r>
        <w:rPr>
          <w:rFonts w:ascii="Calibri" w:hAnsi="Calibri"/>
          <w:color w:val="1E293B"/>
          <w:sz w:val="22"/>
        </w:rPr>
        <w:t xml:space="preserve"> Las credenciales de prueba en la base de datos se encuentran protegidas mediante algoritmo de derivación de claves </w:t>
      </w:r>
      <w:r>
        <w:rPr>
          <w:rFonts w:ascii="Calibri" w:hAnsi="Calibri"/>
          <w:b/>
          <w:color w:val="1E293B"/>
          <w:sz w:val="22"/>
        </w:rPr>
        <w:t>bcrypt</w:t>
      </w:r>
      <w:r>
        <w:rPr>
          <w:rFonts w:ascii="Calibri" w:hAnsi="Calibri"/>
          <w:color w:val="1E293B"/>
          <w:sz w:val="22"/>
        </w:rPr>
        <w:t xml:space="preserve">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