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0F172A"/>
          <w:sz w:val="36"/>
        </w:rPr>
        <w:t>Glosario de Terminos del Negocio y Tecnicos</w:t>
      </w:r>
    </w:p>
    <w:p>
      <w:pPr>
        <w:pStyle w:val="Heading2"/>
        <w:spacing w:before="200" w:after="80"/>
      </w:pPr>
      <w:r>
        <w:t>Proyecto: Sistema de Gestión de Pedidos - Leofit</w:t>
      </w:r>
    </w:p>
    <w:p>
      <w:pPr>
        <w:spacing w:after="80"/>
      </w:pPr>
      <w:r>
        <w:t>El presente glosario define los conceptos clave de negocio y los términos tecnológicos utilizados a lo largo del ciclo de vida del proyecto.</w:t>
      </w:r>
    </w:p>
    <w:p>
      <w:pPr>
        <w:pStyle w:val="Heading2"/>
        <w:spacing w:before="200" w:after="80"/>
      </w:pPr>
      <w:r>
        <w:t>1. Términos del Negocio y Dominio</w:t>
      </w:r>
    </w:p>
    <w:p>
      <w:pPr>
        <w:pStyle w:val="ListBullet"/>
        <w:spacing w:after="40"/>
      </w:pPr>
      <w:r>
        <w:t>AS-IS (Estado Actual): Representación del flujo de trabajo y procesos operativos tal como funcionan actualmente en Leofit (proceso manual mediante WhatsApp, llamadas y notas en cuaderno).</w:t>
      </w:r>
    </w:p>
    <w:p>
      <w:pPr>
        <w:pStyle w:val="ListBullet"/>
        <w:spacing w:after="40"/>
      </w:pPr>
      <w:r>
        <w:t>TO-BE (Estado Futuro): Representación del proceso optimizado y digitalizado con la implementación del nuevo sistema web.</w:t>
      </w:r>
    </w:p>
    <w:p>
      <w:pPr>
        <w:pStyle w:val="ListBullet"/>
        <w:spacing w:after="40"/>
      </w:pPr>
      <w:r>
        <w:t>Cuello de Botella: Punto de congestión en el proceso comercial (específicamente la atención individual de mensajes y la comprobación física de existencias) que limita la capacidad de atender más clientes.</w:t>
      </w:r>
    </w:p>
    <w:p>
      <w:pPr>
        <w:pStyle w:val="ListBullet"/>
        <w:spacing w:after="40"/>
      </w:pPr>
      <w:r>
        <w:t>Inventario / Stock Disponible: Cantidad física exacta de unidades de prendas deportivas disponibles para la venta inmediata, discriminada por modelo, talla y color.</w:t>
      </w:r>
    </w:p>
    <w:p>
      <w:pPr>
        <w:pStyle w:val="ListBullet"/>
        <w:spacing w:after="40"/>
      </w:pPr>
      <w:r>
        <w:t>Lead Time (Tiempo de Ciclo del Pedido): Tiempo transcurrido desde que el cliente solicita una compra hasta que el pedido es entregado y confirmado en su domicilio.</w:t>
      </w:r>
    </w:p>
    <w:p>
      <w:pPr>
        <w:pStyle w:val="ListBullet"/>
        <w:spacing w:after="40"/>
      </w:pPr>
      <w:r>
        <w:t>Punto de Reorden / Stock Crítico: Umbral mínimo de existencias (ej. menos de 3 unidades) que activa una alerta preventiva para reabastecimiento de confección.</w:t>
      </w:r>
    </w:p>
    <w:p>
      <w:pPr>
        <w:pStyle w:val="ListBullet"/>
        <w:spacing w:after="40"/>
      </w:pPr>
      <w:r>
        <w:t>SKU (Stock Keeping Unit): Identificador alfanumérico único asignado a cada variante de prenda (ej. TSH-OVER-BLK-M para camiseta oversized negra talla M).</w:t>
      </w:r>
    </w:p>
    <w:p>
      <w:pPr>
        <w:pStyle w:val="ListBullet"/>
        <w:spacing w:after="40"/>
      </w:pPr>
      <w:r>
        <w:t>Tasa de Conversión: Porcentaje de usuarios que inician una consulta por chat o redes sociales y finalmente concretan una compra efectiva.</w:t>
      </w:r>
    </w:p>
    <w:p>
      <w:pPr>
        <w:pStyle w:val="ListBullet"/>
        <w:spacing w:after="40"/>
      </w:pPr>
      <w:r>
        <w:t>Trazabilidad del Pedido: Capacidad de conocer en cualquier momento la etapa exacta en la que se encuentra una orden (Recibido, En Preparación, En Camino, Entregado, Cancelado).</w:t>
      </w:r>
    </w:p>
    <w:p>
      <w:pPr>
        <w:pStyle w:val="Heading2"/>
        <w:spacing w:before="200" w:after="80"/>
      </w:pPr>
      <w:r>
        <w:t>2. Términos Técnicos y de Desarrollo de Software</w:t>
      </w:r>
    </w:p>
    <w:p>
      <w:pPr>
        <w:pStyle w:val="ListBullet"/>
        <w:spacing w:after="40"/>
      </w:pPr>
      <w:r>
        <w:t>ABM / CRUD: Siglas de Altas, Bajas y Modificaciones (Create, Read, Update, Delete), operaciones básicas de manipulación de registros en bases de datos.</w:t>
      </w:r>
    </w:p>
    <w:p>
      <w:pPr>
        <w:pStyle w:val="ListBullet"/>
        <w:spacing w:after="40"/>
      </w:pPr>
      <w:r>
        <w:t>API REST (Representational State Transfer): Conjunto de endpoints HTTP utilizados para comunicar el frontend con el backend mediante intercambio de datos en formato JSON.</w:t>
      </w:r>
    </w:p>
    <w:p>
      <w:pPr>
        <w:pStyle w:val="ListBullet"/>
        <w:spacing w:after="40"/>
      </w:pPr>
      <w:r>
        <w:t>Bcrypt: Algoritmo de función hash criptográfica utilizado para proteger las contraseñas de los usuarios mediante hashing con salting.</w:t>
      </w:r>
    </w:p>
    <w:p>
      <w:pPr>
        <w:pStyle w:val="ListBullet"/>
        <w:spacing w:after="40"/>
      </w:pPr>
      <w:r>
        <w:t>JWT (JSON Web Token): Estándar abierto (RFC 7519) para la transmisión segura de información de autenticación y autorización en formato de token firmado.</w:t>
      </w:r>
    </w:p>
    <w:p>
      <w:pPr>
        <w:pStyle w:val="ListBullet"/>
        <w:spacing w:after="40"/>
      </w:pPr>
      <w:r>
        <w:t>MoSCoW: Técnica de priorización de requerimientos basada en cuatro categorías: *Must have* (Obligatorio), *Should have* (Deseable), *Could have* (Opcional) y *Won't have* (Fuera de alcance por ahora).</w:t>
      </w:r>
    </w:p>
    <w:p>
      <w:pPr>
        <w:pStyle w:val="ListBullet"/>
        <w:spacing w:after="40"/>
      </w:pPr>
      <w:r>
        <w:t>MVP (Producto Mínimo Viable): Versión inicial del producto de software que incluye únicamente las características esenciales para resolver el problema central y aportar valor inmediato al negocio.</w:t>
      </w:r>
    </w:p>
    <w:p>
      <w:pPr>
        <w:pStyle w:val="ListBullet"/>
        <w:spacing w:after="40"/>
      </w:pPr>
      <w:r>
        <w:t>ORM (Object-Relational Mapping): Herramienta o librería (ej. Prisma, Sequelize) que permite interactuar con la base de datos relacional utilizando objetos del lenguaje de programación en lugar de sentencias SQL directas.</w:t>
      </w:r>
    </w:p>
    <w:p>
      <w:pPr>
        <w:pStyle w:val="ListBullet"/>
        <w:spacing w:after="40"/>
      </w:pPr>
      <w:r>
        <w:t>PWA (Progressive Web App): Aplicación web construida con estándares modernos que ofrece una experiencia similar a una aplicación nativa (rápida, responsive, instalable en la pantalla de inicio del móvil).</w:t>
      </w:r>
    </w:p>
    <w:p>
      <w:pPr>
        <w:pStyle w:val="ListBullet"/>
        <w:spacing w:after="40"/>
      </w:pPr>
      <w:r>
        <w:t>Responsive Design: Enfoque de diseño web que asegura que las interfaces visuales se adapten fluidamente a cualquier resolución de pantalla (smartphones, tablets y computadoras).</w:t>
      </w:r>
    </w:p>
    <w:p>
      <w:pPr>
        <w:pStyle w:val="ListBullet"/>
        <w:spacing w:after="40"/>
      </w:pPr>
      <w:r>
        <w:t>Scope Creep (Ampliación del Alcance): Tendencia no planificada a agregar nuevas funcionalidades a un proyecto de software sin ajustar los plazos, recursos o presupuesto.</w:t>
      </w:r>
    </w:p>
    <w:p>
      <w:pPr>
        <w:pStyle w:val="ListBullet"/>
        <w:spacing w:after="40"/>
      </w:pPr>
      <w:r>
        <w:t>SPA (Single Page Application): Aplicación web que carga una sola página HTML y actualiza dinámicamente el contenido a medida que el usuario interactúa, sin recargar toda la ventana del navegador.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