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Informe Técnico de Seguridad, Cifrado de Datos y Pruebas Web (DAST / SAST)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Sistema de Gestión de Pedidos - Leofit Solutions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1. Arquitectura de Cifrado y Protección Criptográfica</w:t>
      </w: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A. Cifrado en Reposo (Data at Rest)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Credenciales de Usuario:</w:t>
      </w:r>
      <w:r>
        <w:rPr>
          <w:rFonts w:ascii="Calibri" w:hAnsi="Calibri"/>
          <w:color w:val="1E293B"/>
          <w:sz w:val="21"/>
        </w:rPr>
        <w:t xml:space="preserve"> No se almacenan contraseñas en texto claro. Se procesan mediante la función de derivación de claves </w:t>
      </w:r>
      <w:r>
        <w:rPr>
          <w:rFonts w:ascii="Calibri" w:hAnsi="Calibri"/>
          <w:b/>
          <w:color w:val="1E293B"/>
          <w:sz w:val="21"/>
        </w:rPr>
        <w:t>bcrypt</w:t>
      </w:r>
      <w:r>
        <w:rPr>
          <w:rFonts w:ascii="Calibri" w:hAnsi="Calibri"/>
          <w:color w:val="1E293B"/>
          <w:sz w:val="21"/>
        </w:rPr>
        <w:t xml:space="preserve"> utilizando un factor de costo (Work Factor) de 10 rondas de hashing salado criptográficamente aleatorio.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Tablas de Base de Datos:</w:t>
      </w:r>
      <w:r>
        <w:rPr>
          <w:rFonts w:ascii="Calibri" w:hAnsi="Calibri"/>
          <w:color w:val="1E293B"/>
          <w:sz w:val="21"/>
        </w:rPr>
        <w:t xml:space="preserve"> PostgreSQL en producción (Supabase / AWS RDS) opera bajo cifrado de volumen a nivel de bloque </w:t>
      </w:r>
      <w:r>
        <w:rPr>
          <w:rFonts w:ascii="Calibri" w:hAnsi="Calibri"/>
          <w:b/>
          <w:color w:val="1E293B"/>
          <w:sz w:val="21"/>
        </w:rPr>
        <w:t>AES-256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B. Cifrado en Tránsito (Data in Transit)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Protocolo:</w:t>
      </w:r>
      <w:r>
        <w:rPr>
          <w:rFonts w:ascii="Calibri" w:hAnsi="Calibri"/>
          <w:color w:val="1E293B"/>
          <w:sz w:val="21"/>
        </w:rPr>
        <w:t xml:space="preserve"> TLS 1.3 / HTTPS obligatorio en todas las conexiones entre cliente (PWA), proxy inverso y API REST.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Tokens de Sesión (JWT):</w:t>
      </w:r>
      <w:r>
        <w:rPr>
          <w:rFonts w:ascii="Calibri" w:hAnsi="Calibri"/>
          <w:color w:val="1E293B"/>
          <w:sz w:val="21"/>
        </w:rPr>
        <w:t xml:space="preserve"> Firmados mediante el algoritmo estándar </w:t>
      </w:r>
      <w:r>
        <w:rPr>
          <w:rFonts w:ascii="Consolas" w:hAnsi="Consolas"/>
          <w:color w:val="C2410C"/>
          <w:sz w:val="19"/>
        </w:rPr>
        <w:t>HS256</w:t>
      </w:r>
      <w:r>
        <w:rPr>
          <w:rFonts w:ascii="Calibri" w:hAnsi="Calibri"/>
          <w:color w:val="1E293B"/>
          <w:sz w:val="21"/>
        </w:rPr>
        <w:t xml:space="preserve"> (HMAC con SHA-256) con una clave secreta de alta entropía.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2. Metodología de Pruebas de Seguridad Web Realizadas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Se aplicó un enfoque dual compuesto por análisis estático de código (</w:t>
      </w:r>
      <w:r>
        <w:rPr>
          <w:rFonts w:ascii="Calibri" w:hAnsi="Calibri"/>
          <w:b/>
          <w:color w:val="1E293B"/>
          <w:sz w:val="22"/>
        </w:rPr>
        <w:t>SAST</w:t>
      </w:r>
      <w:r>
        <w:rPr>
          <w:rFonts w:ascii="Calibri" w:hAnsi="Calibri"/>
          <w:color w:val="1E293B"/>
          <w:sz w:val="22"/>
        </w:rPr>
        <w:t>) y pruebas dinámicas de penetración sobre la API (</w:t>
      </w:r>
      <w:r>
        <w:rPr>
          <w:rFonts w:ascii="Calibri" w:hAnsi="Calibri"/>
          <w:b/>
          <w:color w:val="1E293B"/>
          <w:sz w:val="22"/>
        </w:rPr>
        <w:t>DAST</w:t>
      </w:r>
      <w:r>
        <w:rPr>
          <w:rFonts w:ascii="Calibri" w:hAnsi="Calibri"/>
          <w:color w:val="1E293B"/>
          <w:sz w:val="22"/>
        </w:rPr>
        <w:t>):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>flowchart LR</w:t>
        <w:br/>
        <w:t xml:space="preserve">    A[Código Fuente TS] --&gt;|SAST Audit| B(npm audit / ESLint Security)</w:t>
        <w:br/>
        <w:t xml:space="preserve">    B --&gt; C{0 Vulnerabilidades Altas}</w:t>
        <w:br/>
        <w:t xml:space="preserve">    D[Endpoints API REST] --&gt;|DAST Pentesting| E(OWASP ZAP / Supertest Security Suite)</w:t>
        <w:br/>
        <w:t xml:space="preserve">    E --&gt; F[Reporte de Conformidad 100%]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3. Resultados de las Pruebas de Vulnerabilidad Automatizadas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ID Prueba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 de Vector Evaluado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Payload / Escenario Inyectado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Comportamiento del Sistema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Veredicto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SEC-01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Inyección SQL (SQLi)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' OR 1=1; DROP TABLE users; --</w:t>
            </w:r>
            <w:r>
              <w:rPr>
                <w:rFonts w:ascii="Calibri" w:hAnsi="Calibri"/>
                <w:color w:val="1E293B"/>
                <w:sz w:val="19"/>
              </w:rPr>
              <w:t xml:space="preserve"> en </w:t>
            </w:r>
            <w:r>
              <w:rPr>
                <w:rFonts w:ascii="Consolas" w:hAnsi="Consolas"/>
                <w:color w:val="C2410C"/>
                <w:sz w:val="19"/>
              </w:rPr>
              <w:t>/api/products?search=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Sanitizado por parámetro </w:t>
            </w:r>
            <w:r>
              <w:rPr>
                <w:rFonts w:ascii="Consolas" w:hAnsi="Consolas"/>
                <w:color w:val="C2410C"/>
                <w:sz w:val="19"/>
              </w:rPr>
              <w:t>$1</w:t>
            </w:r>
            <w:r>
              <w:rPr>
                <w:rFonts w:ascii="Calibri" w:hAnsi="Calibri"/>
                <w:color w:val="1E293B"/>
                <w:sz w:val="19"/>
              </w:rPr>
              <w:t>. Consulta ejecutada como string literal. 0 fugas.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SEC-02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Cross-Site Scripting (XSS)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&lt;script&gt;alert('XSS')&lt;/script&gt;</w:t>
            </w:r>
            <w:r>
              <w:rPr>
                <w:rFonts w:ascii="Calibri" w:hAnsi="Calibri"/>
                <w:color w:val="1E293B"/>
                <w:sz w:val="19"/>
              </w:rPr>
              <w:t xml:space="preserve"> en </w:t>
            </w:r>
            <w:r>
              <w:rPr>
                <w:rFonts w:ascii="Consolas" w:hAnsi="Consolas"/>
                <w:color w:val="C2410C"/>
                <w:sz w:val="19"/>
              </w:rPr>
              <w:t>/api/auth/login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Rechazado por validación de esquema Zod (HTTP 400).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SEC-03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Broken Object Level Auth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Modificar pedido ajeno sin cabecera Bearer Token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Bloqueado por middleware de autenticación (HTTP 401).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SEC-04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Elevación de Privilegios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Usuario con rol </w:t>
            </w:r>
            <w:r>
              <w:rPr>
                <w:rFonts w:ascii="Consolas" w:hAnsi="Consolas"/>
                <w:color w:val="C2410C"/>
                <w:sz w:val="19"/>
              </w:rPr>
              <w:t>OPERATOR</w:t>
            </w:r>
            <w:r>
              <w:rPr>
                <w:rFonts w:ascii="Calibri" w:hAnsi="Calibri"/>
                <w:color w:val="1E293B"/>
                <w:sz w:val="19"/>
              </w:rPr>
              <w:t xml:space="preserve"> ejecutando </w:t>
            </w:r>
            <w:r>
              <w:rPr>
                <w:rFonts w:ascii="Consolas" w:hAnsi="Consolas"/>
                <w:color w:val="C2410C"/>
                <w:sz w:val="19"/>
              </w:rPr>
              <w:t>DELETE /api/products/1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Bloqueado por middleware RBAC (HTTP 403 Forbidden).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SEC-05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Fuerza Bruta en Autenticación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30 peticiones consecutivas en 10 segundos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 partir de la petición 21, se activa Rate Limiter (HTTP 429).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APROBADO</w:t>
            </w:r>
          </w:p>
        </w:tc>
      </w:tr>
    </w:tbl>
    <w:p>
      <w:pPr>
        <w:spacing w:before="0" w:after="120"/>
      </w:pP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4. Conclusiones de Seguridad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La arquitectura implementada no presenta vectores de riesgo críticos abiertos y cumple cabalmente con las directivas exigidas para la entrega de software empresarial de alto nivel.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