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Directorio Maestro de Documentación — LeoFit Solutions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Curso Integrador II: Software (100000S12F) — UTP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Docente:</w:t>
      </w:r>
      <w:r>
        <w:rPr>
          <w:rFonts w:ascii="Calibri" w:hAnsi="Calibri"/>
          <w:color w:val="1E293B"/>
          <w:sz w:val="22"/>
        </w:rPr>
        <w:t xml:space="preserve"> Ing. Enrique Lee Huamani Uriarte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Grupo 01: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alibri" w:hAnsi="Calibri"/>
          <w:i/>
          <w:color w:val="1E293B"/>
          <w:sz w:val="22"/>
        </w:rPr>
        <w:t>LeoFit Pedidos Sistema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Índice General de Entregables y Documentos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Toda la documentación técnica y académica del proyecto se encuentra organizada bajo estándares de ingeniería de software, arquitectura limpia y normas de redacción formal.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>docs/</w:t>
        <w:br/>
        <w:t>├── FUENTE ÚNICA DE VERDAD (DOCUMENTO MAESTRO TOTAL):</w:t>
        <w:br/>
        <w:t>│   ├── DOCUMENTO_MAESTRO_INTEGRAL_LEOFIT.pdf   # Libro Maestro Integral (70 págs, 13 Capítulos, Diagramas y 14 Pantallas)</w:t>
        <w:br/>
        <w:t>│   ├── DOCUMENTO_MAESTRO_INTEGRAL_LEOFIT.docx  # Documento Maestro Editable en Microsoft Word</w:t>
        <w:br/>
        <w:t>│   └── DOCUMENTO_MAESTRO_INTEGRAL_LEOFIT.md    # Versión Markdown completa y trazable</w:t>
        <w:br/>
        <w:t>│</w:t>
        <w:br/>
        <w:t>├── entregas_academicas/                # Entregables Oficiales y Gobernanza:</w:t>
        <w:br/>
        <w:t>│   ├── INFORME_FINAL_APF2_LEOFIT.pdf       # Entregable Oficial Maestro APF2 (PDF)</w:t>
        <w:br/>
        <w:t>│   ├── INFORME_FINAL_APF2_LEOFIT.docx      # Entregable Oficial Maestro APF2 (Word)</w:t>
        <w:br/>
        <w:t>│   ├── INFORME_FINAL_APF1_LEOFIT.pdf       # Entregable Oficial Maestro APF1 (PDF - Calificación: 18/20)</w:t>
        <w:br/>
        <w:t>│   └── INFORME_FINAL_APF1_LEOFIT.docx      # Entregable Oficial Maestro APF1 (Word)</w:t>
        <w:br/>
        <w:t>│</w:t>
        <w:br/>
        <w:t>├── Instrumentos de Evaluación y Gobernanza:</w:t>
        <w:br/>
        <w:t>│   ├── Checklist_Integral_Evaluacion_Software.md / .docx / .pdf  # Checklist Integral UTP (Funcionalidad, UX, Rendimiento, Seguridad)</w:t>
        <w:br/>
        <w:t>│   ├── GUIA_CARGA_ISSUES_GITHUB.md / .docx / .pdf               # Guía Maestra del Tablero GitHub Projects (Sprints 1 al 5)</w:t>
        <w:br/>
        <w:t>│   └── PLAN_ACADEMICO_GITHUB_PROJECTS_LEOFIT.md / .docx / .pdf   # Plan de Evaluaciones, RACI y Fórmulas UTP</w:t>
        <w:br/>
        <w:t>│</w:t>
        <w:br/>
        <w:t>├── academic/                           # Material Académico, Rúbricas y Diapositivas UTP</w:t>
        <w:br/>
        <w:t>│   ├── Silabo_Curso_Integrador_II.pdf  # Sílabo oficial del curso</w:t>
        <w:br/>
        <w:t>│   ├── rubricas/                       # Rúbricas oficiales de evaluación (APF1, APF2, APF3)</w:t>
        <w:br/>
        <w:t>│   ├── diapositivas/                   # Diapositivas de clase (Semanas 01 a 18)</w:t>
        <w:br/>
        <w:t>│   ├── evaluaciones/                   # Retroalimentación oficial de notas UTP</w:t>
        <w:br/>
        <w:t>│   └── recursos/                       # Documentación institucional y recursos UTP:</w:t>
        <w:br/>
        <w:t>│       └── Ficha_Mapeo_Empresa_Semana_1.pdf # Ficha oficial de mapeo empresarial suscrita</w:t>
        <w:br/>
        <w:t>│</w:t>
        <w:br/>
        <w:t>└── modulos_tecnicos/                  # Anexos Especializados de Ingeniería (01 al 13):</w:t>
        <w:br/>
        <w:t xml:space="preserve">    ├── 01_Ficha_Identificacion         # Ficha institucional de identificación del proyecto</w:t>
        <w:br/>
        <w:t xml:space="preserve">    ├── 02_Requerimientos               # Especificación de Requerimientos de Software (ERS/IEEE 830)</w:t>
        <w:br/>
        <w:t xml:space="preserve">    ├── 03_Acta_Reunion_1               # Acta y minuta de reunión con la empresa LeoFit</w:t>
        <w:br/>
        <w:t xml:space="preserve">    ├── 04_Glosario                     # Glosario de términos del negocio textil e ingeniería</w:t>
        <w:br/>
        <w:t xml:space="preserve">    ├── 05_Preguntas_Criticas_Panel     # Balotario de defensa y sustentación técnica</w:t>
        <w:br/>
        <w:t xml:space="preserve">    ├── 06_Especificacion_PWA_Prompt    # Especificación de interfaz y componentes PWA</w:t>
        <w:br/>
        <w:t xml:space="preserve">    ├── 07_Arquitectura_Sistema         # Documento de Arquitectura de Software (SAD - Modelo 4+1)</w:t>
        <w:br/>
        <w:t xml:space="preserve">    ├── 08_Normalizacion_Base_Datos     # Normalización Relacional (1FN, 2FN, 3FN y BCNF)</w:t>
        <w:br/>
        <w:t xml:space="preserve">    ├── 09_Guion_Video_Demo_Remotion    # Guion técnico y código de video demo</w:t>
        <w:br/>
        <w:t xml:space="preserve">    ├── 10_Catalogo_Controles_Seguridad_OWASP # Matriz de mitigación OWASP Top 10</w:t>
        <w:br/>
        <w:t xml:space="preserve">    ├── 11_Informe_Seguridad_Cifrado_Pruebas_Web # Reporte técnico SAST/DAST y Cifrado</w:t>
        <w:br/>
        <w:t xml:space="preserve">    ├── 12_Manual_Despliegue_Cloud_Produccion    # Manual de Despliegue en Cloud v1</w:t>
        <w:br/>
        <w:t xml:space="preserve">    └── 13_Evidencia_Cumplimiento_Requerimientos_Software # Informe formal con capturas de pantalla de todos los RF/RNF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 Documento Maestro y Entregables Consolidados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Documento / Hito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Formato Word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Formato PDF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Formato MD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DOCUMENTO MAESTRO INTEGRAL (SSOT)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Consolidado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 (Definitivo)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[Descargar .docx](./DOCUMENTO_MAESTRO_INTEGRAL_LEOFIT.docx)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[Descargar .pdf](./DOCUMENTO_MAESTRO_INTEGRAL_LEOFIT.pdf)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[Ver .md](./DOCUMENTO_MAESTRO_INTEGRAL_LEOFIT.md)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Avance de Proyecto Final 2 (APF2)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S12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Entregado / Calificado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[Descargar .docx](./entregas_academicas/INFORME_FINAL_APF2_LEOFIT.docx)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[Descargar .pdf](./entregas_academicas/INFORME_FINAL_APF2_LEOFIT.pdf)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Avance de Proyecto Final 1 (APF1)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S07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Aprobado (</w:t>
            </w:r>
            <w:r>
              <w:rPr>
                <w:rFonts w:ascii="Calibri" w:hAnsi="Calibri"/>
                <w:b/>
                <w:color w:val="1E293B"/>
                <w:sz w:val="19"/>
              </w:rPr>
              <w:t>18/20</w:t>
            </w:r>
            <w:r>
              <w:rPr>
                <w:rFonts w:ascii="Calibri" w:hAnsi="Calibri"/>
                <w:color w:val="1E293B"/>
                <w:sz w:val="19"/>
              </w:rPr>
              <w:t>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[Descargar .docx](./entregas_academicas/INFORME_FINAL_APF1_LEOFIT.docx)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[Descargar .pdf](./entregas_academicas/INFORME_FINAL_APF1_LEOFIT.pdf)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[Ver .md](./entregas_academicas/INFORME_FINAL_APF1_LEOFIT.md)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Avance de Proyecto Final 3 (APF3)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S14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Planificado (Sprint 4)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En desarrollo para Semana 14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En desarrollo para Semana 14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Evaluación Final (PROY)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S18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Planificado (Sprint 5)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En desarrollo para Semana 18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En desarrollo para Semana 18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 Instrumentos de Evaluación y Gobernanza Transversal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Formato MD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Formato DOCX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Formato PDF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Checklist Integral de Evaluación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](./entregas_academicas/Checklist_Integral_Evaluacion_Software.md)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](./entregas_academicas/Checklist_Integral_Evaluacion_Software.docx)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](./entregas_academicas/Checklist_Integral_Evaluacion_Software.pdf)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Evaluación técnica exhaustiva (Funcionalidad, Usabilidad UX, Rendimiento y Seguridad/Costos).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Guía de Carga de Issues GitHub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](./entregas_academicas/GUIA_CARGA_ISSUES_GITHUB.md)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](./entregas_academicas/GUIA_CARGA_ISSUES_GITHUB.docx)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](./entregas_academicas/GUIA_CARGA_ISSUES_GITHUB.pdf)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Guía de gestión ágil de sprints, backlog, tareas y trazabilidad de requerimientos.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Plan Académico GitHub Projects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](./entregas_academicas/PLAN_ACADEMICO_GITHUB_PROJECTS_LEOFIT.md)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](./entregas_academicas/PLAN_ACADEMICO_GITHUB_PROJECTS_LEOFIT.docx)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](./entregas_academicas/PLAN_ACADEMICO_GITHUB_PROJECTS_LEOFIT.pdf)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Plan de hitos académicos, matriz de responsabilidades RACI y ponderaciones UTP.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3. Módulos Temáticos de Ingeniería y Arquitectura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Formato MD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Formato DOCX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Formato PDF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Ficha de Identificación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](./modulos_tecnicos/01_Ficha_Identificacion.md)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](./modulos_tecnicos/01_Ficha_Identificacion.docx)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](./modulos_tecnicos/01_Ficha_Identificacion.pdf)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Datos de la MYPE LeoFit, integrantes, roles y resumen del proyecto.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02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Especificación de Requerimientos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](./modulos_tecnicos/02_Requerimientos.md)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](./modulos_tecnicos/02_Requerimientos.docx)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](./modulos_tecnicos/02_Requerimientos.pdf)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Requerimientos Funcionales (RF), No Funcionales (RNF) e Historias de Usuario con formato Gherkin.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03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Acta de Reunión N° 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](./modulos_tecnicos/03_Acta_Reunion_1.md)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](./modulos_tecnicos/03_Acta_Reunion_1.docx)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](./modulos_tecnicos/03_Acta_Reunion_1.pdf)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Entrevista con el dueño de la empresa textil, levantamiento de procesos y acuerdos.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04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Glosario de Términos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](./modulos_tecnicos/04_Glosario.md)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](./modulos_tecnicos/04_Glosario.docx)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](./modulos_tecnicos/04_Glosario.pdf)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Terminología técnica (PWA, BCNF, JWT, ACID, WAL) y textil (Oversize, Dry-Fit, SKU).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05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Preguntas Críticas de Panel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](./modulos_tecnicos/05_Preguntas_Criticas_Panel.md)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](./modulos_tecnicos/05_Preguntas_Criticas_Panel.docx)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](./modulos_tecnicos/05_Preguntas_Criticas_Panel.pdf)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Balotario de 20 preguntas y respuestas técnicas preparadas para la sustentación.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06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Especificación PWA &amp; UI/UX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](./modulos_tecnicos/06_Especificacion_PWA_Prompt.md)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](./modulos_tecnicos/06_Especificacion_PWA_Prompt.docx)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](./modulos_tecnicos/06_Especificacion_PWA_Prompt.pdf)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Diseño de interfaz, modo oscuro, 10 heurísticas de Nielsen y Service Workers.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07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Arquitectura de Software (SAD)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](./modulos_tecnicos/07_Arquitectura_Sistema.md)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](./modulos_tecnicos/07_Arquitectura_Sistema.docx)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](./modulos_tecnicos/07_Arquitectura_Sistema.pdf)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Vistas del modelo 4+1, diagrama C4 de contenedores, patrones arquitectónicos y Clean Architecture.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08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Normalización de Base de Datos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](./modulos_tecnicos/08_Normalizacion_Base_Datos.md)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](./modulos_tecnicos/08_Normalizacion_Base_Datos.docx)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](./modulos_tecnicos/08_Normalizacion_Base_Datos.pdf)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Proceso de normalización formal desde 1FN, 2FN, 3FN hasta BCNF y DDL en PostgreSQL.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09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Guion de Video Demo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](./modulos_tecnicos/09_Guion_Video_Demo_Remotion.md)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](./modulos_tecnicos/09_Guion_Video_Demo_Remotion.docx)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](./modulos_tecnicos/09_Guion_Video_Demo_Remotion.pdf)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Estructura del pitch audiovisual y código de animación en Remotion.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Controles de Seguridad OWASP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](./modulos_tecnicos/10_Catalogo_Controles_Seguridad_OWASP.md)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](./modulos_tecnicos/10_Catalogo_Controles_Seguridad_OWASP.docx)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](./modulos_tecnicos/10_Catalogo_Controles_Seguridad_OWASP.pdf)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Catálogo de mitigación técnica para el OWASP Top 10 (SQLi, XSS, RBAC, Rate-Limit).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Informe de Seguridad y SAST/DAST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](./modulos_tecnicos/11_Informe_Seguridad_Cifrado_Pruebas_Web.md)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](./modulos_tecnicos/11_Informe_Seguridad_Cifrado_Pruebas_Web.docx)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](./modulos_tecnicos/11_Informe_Seguridad_Cifrado_Pruebas_Web.pdf)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Informe de auditoría estática (</w:t>
            </w:r>
            <w:r>
              <w:rPr>
                <w:rFonts w:ascii="Consolas" w:hAnsi="Consolas"/>
                <w:color w:val="C2410C"/>
                <w:sz w:val="19"/>
              </w:rPr>
              <w:t>npm audit</w:t>
            </w:r>
            <w:r>
              <w:rPr>
                <w:rFonts w:ascii="Calibri" w:hAnsi="Calibri"/>
                <w:color w:val="1E293B"/>
                <w:sz w:val="19"/>
              </w:rPr>
              <w:t>), pruebas dinámicas y cifrado en tránsito/reposo.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12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Manual de Despliegue en Cloud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](./modulos_tecnicos/12_Manual_Despliegue_Cloud_Produccion.md)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](./modulos_tecnicos/12_Manual_Despliegue_Cloud_Produccion.docx)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](./modulos_tecnicos/12_Manual_Despliegue_Cloud_Produccion.pdf)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Guía de aprovisionamiento en Render (Backend), Vercel (Frontend) y Supabase (DB).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13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Evidencia de Requerimientos de Software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MD</w:t>
            </w:r>
            <w:r>
              <w:rPr>
                <w:rFonts w:ascii="Calibri" w:hAnsi="Calibri"/>
                <w:color w:val="1E293B"/>
                <w:sz w:val="19"/>
              </w:rPr>
              <w:t>](./modulos_tecnicos/13_Evidencia_Cumplimiento_Requerimientos_Software.md)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DOCX</w:t>
            </w:r>
            <w:r>
              <w:rPr>
                <w:rFonts w:ascii="Calibri" w:hAnsi="Calibri"/>
                <w:color w:val="1E293B"/>
                <w:sz w:val="19"/>
              </w:rPr>
              <w:t>](./modulos_tecnicos/13_Evidencia_Cumplimiento_Requerimientos_Software.docx)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[</w:t>
            </w:r>
            <w:r>
              <w:rPr>
                <w:rFonts w:ascii="Consolas" w:hAnsi="Consolas"/>
                <w:color w:val="C2410C"/>
                <w:sz w:val="19"/>
              </w:rPr>
              <w:t>PDF</w:t>
            </w:r>
            <w:r>
              <w:rPr>
                <w:rFonts w:ascii="Calibri" w:hAnsi="Calibri"/>
                <w:color w:val="1E293B"/>
                <w:sz w:val="19"/>
              </w:rPr>
              <w:t>](./modulos_tecnicos/13_Evidencia_Cumplimiento_Requerimientos_Software.pdf)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Informe formal de validación con 15 capturas de pantalla de alta fidelidad de todos los RF-001/018 y RNF-001/010.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4. Políticas de Seguridad y Manejo de Información Sensible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&gt; [!NOTE]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&gt; Toda la documentación, scripts y ejemplos de configuración cumplen estrictamente con las siguientes directivas de privacidad y seguridad: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&gt; 1. </w:t>
      </w:r>
      <w:r>
        <w:rPr>
          <w:rFonts w:ascii="Calibri" w:hAnsi="Calibri"/>
          <w:b/>
          <w:color w:val="1E293B"/>
          <w:sz w:val="22"/>
        </w:rPr>
        <w:t>Cero Credenciales en Texto Plano:</w:t>
      </w:r>
      <w:r>
        <w:rPr>
          <w:rFonts w:ascii="Calibri" w:hAnsi="Calibri"/>
          <w:color w:val="1E293B"/>
          <w:sz w:val="22"/>
        </w:rPr>
        <w:t xml:space="preserve"> Se impone una política de Fail-Fast. Las llaves críticas (</w:t>
      </w:r>
      <w:r>
        <w:rPr>
          <w:rFonts w:ascii="Consolas" w:hAnsi="Consolas"/>
          <w:color w:val="C2410C"/>
          <w:sz w:val="19"/>
        </w:rPr>
        <w:t>JWT_SECRET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19"/>
        </w:rPr>
        <w:t>WEBHOOK_SECRET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19"/>
        </w:rPr>
        <w:t>CORS_ORIGIN</w:t>
      </w:r>
      <w:r>
        <w:rPr>
          <w:rFonts w:ascii="Calibri" w:hAnsi="Calibri"/>
          <w:color w:val="1E293B"/>
          <w:sz w:val="22"/>
        </w:rPr>
        <w:t xml:space="preserve"> en prod) impiden que el backend arranque si están ausentes, forzando la seguridad desde el inicio y sin usar </w:t>
      </w:r>
      <w:r>
        <w:rPr>
          <w:rFonts w:ascii="Consolas" w:hAnsi="Consolas"/>
          <w:color w:val="C2410C"/>
          <w:sz w:val="19"/>
        </w:rPr>
        <w:t>*</w:t>
      </w:r>
      <w:r>
        <w:rPr>
          <w:rFonts w:ascii="Calibri" w:hAnsi="Calibri"/>
          <w:color w:val="1E293B"/>
          <w:sz w:val="22"/>
        </w:rPr>
        <w:t xml:space="preserve"> ni fallbacks inseguros.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&gt; 2. </w:t>
      </w:r>
      <w:r>
        <w:rPr>
          <w:rFonts w:ascii="Calibri" w:hAnsi="Calibri"/>
          <w:b/>
          <w:color w:val="1E293B"/>
          <w:sz w:val="22"/>
        </w:rPr>
        <w:t>Datos de Demostración:</w:t>
      </w:r>
      <w:r>
        <w:rPr>
          <w:rFonts w:ascii="Calibri" w:hAnsi="Calibri"/>
          <w:color w:val="1E293B"/>
          <w:sz w:val="22"/>
        </w:rPr>
        <w:t xml:space="preserve"> Todos los clientes, números telefónicos y correos electrónicos utilizados en las semillas (</w:t>
      </w:r>
      <w:r>
        <w:rPr>
          <w:rFonts w:ascii="Consolas" w:hAnsi="Consolas"/>
          <w:color w:val="C2410C"/>
          <w:sz w:val="19"/>
        </w:rPr>
        <w:t>seeds.sql</w:t>
      </w:r>
      <w:r>
        <w:rPr>
          <w:rFonts w:ascii="Calibri" w:hAnsi="Calibri"/>
          <w:color w:val="1E293B"/>
          <w:sz w:val="22"/>
        </w:rPr>
        <w:t>) son datos simulados con fines estrictamente académicos.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&gt; 3. </w:t>
      </w:r>
      <w:r>
        <w:rPr>
          <w:rFonts w:ascii="Calibri" w:hAnsi="Calibri"/>
          <w:b/>
          <w:color w:val="1E293B"/>
          <w:sz w:val="22"/>
        </w:rPr>
        <w:t>Cifrado de Contraseñas:</w:t>
      </w:r>
      <w:r>
        <w:rPr>
          <w:rFonts w:ascii="Calibri" w:hAnsi="Calibri"/>
          <w:color w:val="1E293B"/>
          <w:sz w:val="22"/>
        </w:rPr>
        <w:t xml:space="preserve"> Las credenciales de prueba en la base de datos se encuentran protegidas mediante algoritmo de derivación de claves </w:t>
      </w:r>
      <w:r>
        <w:rPr>
          <w:rFonts w:ascii="Calibri" w:hAnsi="Calibri"/>
          <w:b/>
          <w:color w:val="1E293B"/>
          <w:sz w:val="22"/>
        </w:rPr>
        <w:t>bcrypt</w:t>
      </w:r>
      <w:r>
        <w:rPr>
          <w:rFonts w:ascii="Calibri" w:hAnsi="Calibri"/>
          <w:color w:val="1E293B"/>
          <w:sz w:val="22"/>
        </w:rPr>
        <w:t xml:space="preserve"> con 10 rondas de salt.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