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(0.444)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(§5.10):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(§5.7–§5.10): free-text SLAKE/VQA-RAD/PathVQA/Kvasir-VQA-x1, + RadImageNet-VQA (transfer), graded</w:t>
      </w:r>
    </w:p>
    <w:p>
      <w:r>
        <w:t xml:space="preserve">by a neutral LLM judge. Grounding (§5.10):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 (§5.5).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— the models fail together. Holding ACC's config fixed,</w:t>
      </w:r>
    </w:p>
    <w:p>
      <w:r>
        <w:t>every gate lands on one frontier (§5.1), so no gate is "better."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0.444</w:t>
      </w:r>
      <w:r>
        <w:t xml:space="preserve">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VQA-RAD 0.611 vs 0.600, PathVQA 0.441 vs 0.376, Kvasir 0.405 vs 0.301 — and loses only on SLAKE</w:t>
      </w:r>
    </w:p>
    <w:p>
      <w:r>
        <w:t>(0.762 vs 0.819), the one set where the 32B is genuinely the stronger model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ACC parity is on the competent benchmarks (MMMU/MedXpert excluded as near-chance for both</w:t>
      </w:r>
    </w:p>
    <w:p>
      <w:r>
        <w:t xml:space="preserve">models). The verifier lifts </w:t>
      </w:r>
      <w:r>
        <w:rPr>
          <w:i/>
        </w:rPr>
        <w:t>selection over a frozen generator</w:t>
      </w:r>
      <w:r>
        <w:t>; it does not beat a trained SOTA grounder in</w:t>
      </w:r>
    </w:p>
    <w:p>
      <w:r>
        <w:t>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