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Medical VLM Test-Time Compute — Project Status</w:t>
      </w:r>
    </w:p>
    <w:p>
      <w:r>
        <w:rPr>
          <w:b w:val="0"/>
          <w:i/>
          <w:color w:val="555555"/>
        </w:rPr>
        <w:t>Catch-up briefing • as of 2026-07-02 • CVGIP 2026</w:t>
      </w:r>
    </w:p>
    <w:p>
      <w:r>
        <w:rPr>
          <w:b w:val="0"/>
          <w:i/>
          <w:color w:val="555555"/>
          <w:sz w:val="18"/>
        </w:rPr>
        <w:t>Read this to get oriented. Canonical sourced summary: results/cascade_methods/docs/current/MASTER_SUMMARY_2026-07.md. Chronological log: progress/. All figures are from real checkpoints — no fabricated numbers.</w:t>
      </w:r>
    </w:p>
    <w:p>
      <w:pPr>
        <w:pStyle w:val="Heading1"/>
      </w:pPr>
      <w:r>
        <w:rPr>
          <w:color w:val="1F3A5F"/>
        </w:rPr>
        <w:t>1. What the project is</w:t>
      </w:r>
    </w:p>
    <w:p>
      <w:r>
        <w:rPr>
          <w:b w:val="0"/>
          <w:i w:val="0"/>
        </w:rPr>
        <w:t>A medical Vision-Language Model (VLM) test-time-compute study for CVGIP 2026. A VLM takes a medical image + a question and returns an answer. The goal: spend compute adaptively so a cheap small model handles most questions and an expensive large model is used only when needed — matching (or beating) the large model at a fraction of the cost.</w:t>
      </w:r>
    </w:p>
    <w:p>
      <w:r>
        <w:rPr>
          <w:b/>
          <w:i w:val="0"/>
        </w:rPr>
        <w:t>The program has TWO positives:</w:t>
      </w:r>
    </w:p>
    <w:p>
      <w:pPr>
        <w:pStyle w:val="ListBullet"/>
      </w:pPr>
      <w:r>
        <w:rPr>
          <w:b/>
        </w:rPr>
        <w:t xml:space="preserve">(1) ACC / trained-verifier cascade — </w:t>
      </w:r>
      <w:r>
        <w:t>efficiency, best-of-N + verifier, escalate low-confidence to the strong VLM.</w:t>
      </w:r>
    </w:p>
    <w:p>
      <w:pPr>
        <w:pStyle w:val="ListBullet"/>
      </w:pPr>
      <w:r>
        <w:rPr>
          <w:b/>
        </w:rPr>
        <w:t xml:space="preserve">Two results — </w:t>
      </w:r>
      <w:r>
        <w:t>on OPEN-TEXT medical VQA, the cheap-model + trained verifier cascade BEATS the strong model's accuracy; on MCQ, a 2-tier cascade MATCHES the strong model at large compute savings.</w:t>
      </w:r>
    </w:p>
    <w:p>
      <w:pPr>
        <w:pStyle w:val="Heading1"/>
      </w:pPr>
      <w:r>
        <w:rPr>
          <w:color w:val="1F3A5F"/>
        </w:rPr>
        <w:t>2. The two settings</w:t>
      </w:r>
    </w:p>
    <w:p>
      <w:r>
        <w:rPr>
          <w:b/>
          <w:i w:val="0"/>
        </w:rPr>
        <w:t>A. Open-text medical VQA (free-text, LLM-judge graded).</w:t>
      </w:r>
    </w:p>
    <w:p>
      <w:r>
        <w:rPr>
          <w:b w:val="0"/>
          <w:i w:val="0"/>
        </w:rPr>
        <w:t>Cheap VLM samples N answers → a trained outcome verifier picks the best (best-of-N) → a verifier-confidence gate escalates low-confidence cases to the strong VLM.</w:t>
      </w:r>
    </w:p>
    <w:p>
      <w:r>
        <w:rPr>
          <w:b/>
          <w:i w:val="0"/>
        </w:rPr>
        <w:t>B. MCQ medical VQA (Lingshu's published benchmarks, faithful MedEvalKit protocol).</w:t>
      </w:r>
    </w:p>
    <w:p>
      <w:r>
        <w:rPr>
          <w:b w:val="0"/>
          <w:i w:val="0"/>
        </w:rPr>
        <w:t>2-tier cascade (cheap 7B → strong 32B) with a confidence-margin gate, at a per-benchmark iso-accuracy operating point.</w:t>
      </w:r>
    </w:p>
    <w:p>
      <w:pPr>
        <w:pStyle w:val="Heading1"/>
      </w:pPr>
      <w:r>
        <w:rPr>
          <w:color w:val="1F3A5F"/>
        </w:rPr>
        <w:t>3. Headline results</w:t>
      </w:r>
    </w:p>
    <w:p>
      <w:r>
        <w:rPr>
          <w:b/>
          <w:i w:val="0"/>
        </w:rPr>
        <w:t>Open-text (A): the method BEATS the strong model on accuracy — across 3 families (Lingshu, MedVLThinker, InternVL3), every dataset + held-out OOD (RadImageNet). Cross-architecture verifier transfer works.</w:t>
      </w:r>
    </w:p>
    <w:p>
      <w:r>
        <w:rPr>
          <w:b/>
          <w:i w:val="0"/>
        </w:rPr>
        <w:t>MCQ (B): the method MATCHES the strong model at large compute savings (faithful Lingshu eval):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Benchmark</w:t>
            </w:r>
          </w:p>
        </w:tc>
        <w:tc>
          <w:tcPr>
            <w:tcW w:type="dxa" w:w="2880"/>
          </w:tcPr>
          <w:p>
            <w:r>
              <w:t>Lingshu 2-tier vs 32B</w:t>
            </w:r>
          </w:p>
        </w:tc>
        <w:tc>
          <w:tcPr>
            <w:tcW w:type="dxa" w:w="2880"/>
          </w:tcPr>
          <w:p>
            <w:r>
              <w:t>MedVLThinker 2-tier vs 32B</w:t>
            </w:r>
          </w:p>
        </w:tc>
      </w:tr>
      <w:tr>
        <w:tc>
          <w:tcPr>
            <w:tcW w:type="dxa" w:w="2880"/>
          </w:tcPr>
          <w:p>
            <w:r>
              <w:t>PMC-VQA (33k)</w:t>
            </w:r>
          </w:p>
        </w:tc>
        <w:tc>
          <w:tcPr>
            <w:tcW w:type="dxa" w:w="2880"/>
          </w:tcPr>
          <w:p>
            <w:r>
              <w:t>match @ -69% FLOPs / -33% latency (9% esc)</w:t>
            </w:r>
          </w:p>
        </w:tc>
        <w:tc>
          <w:tcPr>
            <w:tcW w:type="dxa" w:w="2880"/>
          </w:tcPr>
          <w:p>
            <w:r>
              <w:t>match @ -49% FLOPs (29% esc)</w:t>
            </w:r>
          </w:p>
        </w:tc>
      </w:tr>
      <w:tr>
        <w:tc>
          <w:tcPr>
            <w:tcW w:type="dxa" w:w="2880"/>
          </w:tcPr>
          <w:p>
            <w:r>
              <w:t>SLAKE-closed</w:t>
            </w:r>
          </w:p>
        </w:tc>
        <w:tc>
          <w:tcPr>
            <w:tcW w:type="dxa" w:w="2880"/>
          </w:tcPr>
          <w:p>
            <w:r>
              <w:t>match @ -56% FLOPs / -22% latency (22% esc)</w:t>
            </w:r>
          </w:p>
        </w:tc>
        <w:tc>
          <w:tcPr>
            <w:tcW w:type="dxa" w:w="2880"/>
          </w:tcPr>
          <w:p>
            <w:r>
              <w:t>no win (7B weak)</w:t>
            </w:r>
          </w:p>
        </w:tc>
      </w:tr>
      <w:tr>
        <w:tc>
          <w:tcPr>
            <w:tcW w:type="dxa" w:w="2880"/>
          </w:tcPr>
          <w:p>
            <w:r>
              <w:t>VQA-RAD-closed</w:t>
            </w:r>
          </w:p>
        </w:tc>
        <w:tc>
          <w:tcPr>
            <w:tcW w:type="dxa" w:w="2880"/>
          </w:tcPr>
          <w:p>
            <w:r>
              <w:t>match @ -17% FLOPs (61% esc)</w:t>
            </w:r>
          </w:p>
        </w:tc>
        <w:tc>
          <w:tcPr>
            <w:tcW w:type="dxa" w:w="2880"/>
          </w:tcPr>
          <w:p>
            <w:r>
              <w:t>match @ -41% FLOPs (37% esc)</w:t>
            </w:r>
          </w:p>
        </w:tc>
      </w:tr>
      <w:tr>
        <w:tc>
          <w:tcPr>
            <w:tcW w:type="dxa" w:w="2880"/>
          </w:tcPr>
          <w:p>
            <w:r>
              <w:t>PathVQA-closed</w:t>
            </w:r>
          </w:p>
        </w:tc>
        <w:tc>
          <w:tcPr>
            <w:tcW w:type="dxa" w:w="2880"/>
          </w:tcPr>
          <w:p>
            <w:r>
              <w:t>0.837-&gt;0.889-&gt;0.890, -31% FLOPs (47% esc)</w:t>
            </w:r>
          </w:p>
        </w:tc>
        <w:tc>
          <w:tcPr>
            <w:tcW w:type="dxa" w:w="2880"/>
          </w:tcPr>
          <w:p>
            <w:r>
              <w:t>0.678-&gt;0.686-&gt;0.686, -68% FLOPs (10% esc)</w:t>
            </w:r>
          </w:p>
        </w:tc>
      </w:tr>
      <w:tr>
        <w:tc>
          <w:tcPr>
            <w:tcW w:type="dxa" w:w="2880"/>
          </w:tcPr>
          <w:p>
            <w:r>
              <w:t>MedXpert-MM</w:t>
            </w:r>
          </w:p>
        </w:tc>
        <w:tc>
          <w:tcPr>
            <w:tcW w:type="dxa" w:w="2880"/>
          </w:tcPr>
          <w:p>
            <w:r>
              <w:t>no win (7B near-floor)</w:t>
            </w:r>
          </w:p>
        </w:tc>
        <w:tc>
          <w:tcPr>
            <w:tcW w:type="dxa" w:w="2880"/>
          </w:tcPr>
          <w:p>
            <w:r>
              <w:t>no win</w:t>
            </w:r>
          </w:p>
        </w:tc>
      </w:tr>
    </w:tbl>
    <w:p>
      <w:r>
        <w:rPr>
          <w:b w:val="0"/>
          <w:i/>
          <w:color w:val="555555"/>
          <w:sz w:val="18"/>
        </w:rPr>
        <w:t>Win magnitude ≈ the (32B − 7B) accuracy gap: a small gap → a big compute win. Efficiency generalizes cross-family wherever the 7B is competitive. (PathVQA numbers are from the 2026-07-02 run.)</w:t>
      </w:r>
    </w:p>
    <w:p>
      <w:pPr>
        <w:pStyle w:val="Heading1"/>
      </w:pPr>
      <w:r>
        <w:rPr>
          <w:color w:val="1F3A5F"/>
        </w:rPr>
        <w:t>4. Settled verdicts</w:t>
      </w:r>
    </w:p>
    <w:p>
      <w:pPr>
        <w:pStyle w:val="ListBullet"/>
      </w:pPr>
      <w:r>
        <w:rPr>
          <w:b/>
        </w:rPr>
        <w:t xml:space="preserve">Gate — </w:t>
      </w:r>
      <w:r>
        <w:t>verifier-confidence (open-text) / margin (MCQ) is the best gate. No trained gate beats it — CASP/CCPS, learned MLP/GBM, and the SOTA post-hoc Jitkrittum Diff-Prob all tie or lose. Binding limit = the recoverability WALL (the strong model fixes only 6–26% of cheap errors, unpredictably).</w:t>
      </w:r>
    </w:p>
    <w:p>
      <w:pPr>
        <w:pStyle w:val="ListBullet"/>
      </w:pPr>
      <w:r>
        <w:rPr>
          <w:b/>
        </w:rPr>
        <w:t xml:space="preserve">Verifier — </w:t>
      </w:r>
      <w:r>
        <w:t>near its selection ceiling; training tricks and even a 32B zero-shot verifier don't raise selection. The ceiling is intrinsic grounding difficulty. The real headroom is candidate quality (cross-model candidates raise oracle +0.11–0.15).</w:t>
      </w:r>
    </w:p>
    <w:p>
      <w:pPr>
        <w:pStyle w:val="ListBullet"/>
      </w:pPr>
      <w:r>
        <w:rPr>
          <w:b/>
        </w:rPr>
        <w:t xml:space="preserve">Faithful baseline — </w:t>
      </w:r>
      <w:r>
        <w:t>reproduced via MedEvalKit (Lingshu's own harness); the internal NGC harness is NOT faithful to the paper (MMMU-32B 0.633 = paper 62.3, exact).</w:t>
      </w:r>
    </w:p>
    <w:p>
      <w:pPr>
        <w:pStyle w:val="ListBullet"/>
      </w:pPr>
      <w:r>
        <w:rPr>
          <w:b/>
        </w:rPr>
        <w:t xml:space="preserve">Judge trusted — </w:t>
      </w:r>
      <w:r>
        <w:t>independent 2nd-judge agreement κ 0.85–0.96 + 100% exact-match anchors; open-text graded by Claude-as-judge (Max plan, no API key).</w:t>
      </w:r>
    </w:p>
    <w:p>
      <w:pPr>
        <w:pStyle w:val="ListBullet"/>
      </w:pPr>
      <w:r>
        <w:rPr>
          <w:b/>
        </w:rPr>
        <w:t xml:space="preserve">Metrics — </w:t>
      </w:r>
      <w:r>
        <w:t>cost / latency / energy are measured (rare in the cascade literature — our differentiator), plus standard proxies (%-strong-calls, deferral curve, APGR/CPT) for comparability to FrugalGPT/RouteLLM.</w:t>
      </w:r>
    </w:p>
    <w:p>
      <w:pPr>
        <w:pStyle w:val="Heading1"/>
      </w:pPr>
      <w:r>
        <w:rPr>
          <w:color w:val="1F3A5F"/>
        </w:rPr>
        <w:t>5. Where things stand right now (2026-07-02)</w:t>
      </w:r>
    </w:p>
    <w:p>
      <w:pPr>
        <w:pStyle w:val="ListBullet"/>
      </w:pPr>
      <w:r>
        <w:rPr>
          <w:b/>
        </w:rPr>
        <w:t xml:space="preserve">InternVL3-38B unblocked — </w:t>
      </w:r>
      <w:r>
        <w:t>was blocked by a masked KV-cache error at tp=2; fixed with a MAX_MODEL_LEN lever. Confirmed working.</w:t>
      </w:r>
    </w:p>
    <w:p>
      <w:pPr>
        <w:pStyle w:val="ListBullet"/>
      </w:pPr>
      <w:r>
        <w:rPr>
          <w:b/>
        </w:rPr>
        <w:t xml:space="preserve">Lingshu reasoning — CORRECTED — </w:t>
      </w:r>
      <w:r>
        <w:t>earlier 'no promptable think mode' was WRONG — a weak-prompt artifact. An empirical probe shows Lingshu reasons fully when prompted (gen_toks 3→174; emits &lt;think&gt; tags; reasons on open-text too). So a 3-tier think cascade is viable across the Qwen families; whether reasoning RAISES accuracy on MMMU/MedXpert is under test.</w:t>
      </w:r>
    </w:p>
    <w:p>
      <w:pPr>
        <w:pStyle w:val="ListBullet"/>
      </w:pPr>
      <w:r>
        <w:rPr>
          <w:b/>
        </w:rPr>
        <w:t xml:space="preserve">Eval suite — </w:t>
      </w:r>
      <w:r>
        <w:t>aligned to Lingshu's paper suite = 7 benchmarks (added OmniMedVQA, ~89k, of which 57k is RadImageNet).</w:t>
      </w:r>
    </w:p>
    <w:p>
      <w:pPr>
        <w:pStyle w:val="ListBullet"/>
      </w:pPr>
      <w:r>
        <w:rPr>
          <w:b/>
        </w:rPr>
        <w:t xml:space="preserve">Full matrix in progress — </w:t>
      </w:r>
      <w:r>
        <w:t>a resumable 3-family × 7-benchmark matrix (cascade vs always-big) is RUNNING — Phase 1 (InternVL3 on the 6-suite) nearly done; then reasoning passes; then the OmniMedVQA marathon. Multi-day. Reported per-family as it lands.</w:t>
      </w:r>
    </w:p>
    <w:p>
      <w:pPr>
        <w:pStyle w:val="ListBullet"/>
      </w:pPr>
      <w:r>
        <w:rPr>
          <w:b/>
        </w:rPr>
        <w:t xml:space="preserve">Project cleanup done — </w:t>
      </w:r>
      <w:r>
        <w:t>results/cascade_methods/ reorganized (docs/current, docs/archive_mcq, artifacts, claude_judge); repo root decluttered (progress/, meetings/); gap-filling progress logs written (June 27 → July 2).</w:t>
      </w:r>
    </w:p>
    <w:p>
      <w:pPr>
        <w:pStyle w:val="ListBullet"/>
      </w:pPr>
      <w:r>
        <w:rPr>
          <w:b/>
        </w:rPr>
        <w:t xml:space="preserve">Code review done — </w:t>
      </w:r>
      <w:r>
        <w:t>15 findings (5 independent finder angles); 3 safe fixes applied to non-running code; the one high-value issue (Phase-2 reasoning prompt truncation / MVT native-think) is flagged to fix BEFORE those results are used.</w:t>
      </w:r>
    </w:p>
    <w:p>
      <w:pPr>
        <w:pStyle w:val="Heading1"/>
      </w:pPr>
      <w:r>
        <w:rPr>
          <w:color w:val="1F3A5F"/>
        </w:rPr>
        <w:t>6. Caveats &amp; open items</w:t>
      </w:r>
    </w:p>
    <w:p>
      <w:pPr>
        <w:pStyle w:val="ListBullet"/>
      </w:pPr>
      <w:r>
        <w:rPr>
          <w:b/>
        </w:rPr>
        <w:t xml:space="preserve">MMMU-7B — </w:t>
      </w:r>
      <w:r>
        <w:t>Lingshu-7B-specific inflation (MedVLThinker-7B is normal) → excluded from MCQ cascade claims.</w:t>
      </w:r>
    </w:p>
    <w:p>
      <w:pPr>
        <w:pStyle w:val="ListBullet"/>
      </w:pPr>
      <w:r>
        <w:rPr>
          <w:b/>
        </w:rPr>
        <w:t xml:space="preserve">Reasoning passes — </w:t>
      </w:r>
      <w:r>
        <w:t>the Phase-2 reasoning passes need a higher token budget + MVT's exact think-prompt before they can be trusted as a think-tier test; this will be re-run before use.</w:t>
      </w:r>
    </w:p>
    <w:p>
      <w:pPr>
        <w:pStyle w:val="ListBullet"/>
      </w:pPr>
      <w:r>
        <w:rPr>
          <w:b/>
        </w:rPr>
        <w:t xml:space="preserve">Latency semantics — </w:t>
      </w:r>
      <w:r>
        <w:t>the cascade table's latency column is batch-amortized throughput, NOT batch-1; the headline batch-1 latency comes from measure_config.py.</w:t>
      </w:r>
    </w:p>
    <w:p>
      <w:pPr>
        <w:pStyle w:val="Heading1"/>
      </w:pPr>
      <w:r>
        <w:rPr>
          <w:color w:val="1F3A5F"/>
        </w:rPr>
        <w:t>7. Where to find things</w:t>
      </w:r>
    </w:p>
    <w:p>
      <w:pPr>
        <w:pStyle w:val="ListBullet"/>
      </w:pPr>
      <w:r>
        <w:rPr>
          <w:b/>
        </w:rPr>
        <w:t xml:space="preserve">results/cascade_methods/docs/current/ — </w:t>
      </w:r>
      <w:r>
        <w:t>MASTER_SUMMARY_2026-07.md (canonical), METHOD_ACC.md, OPENTEXT_MASTER_TABLE.md, VERIFIED_FACTS.md, UNIFIED_METHOD_EXPERIMENTS.md.</w:t>
      </w:r>
    </w:p>
    <w:p>
      <w:pPr>
        <w:pStyle w:val="ListBullet"/>
      </w:pPr>
      <w:r>
        <w:rPr>
          <w:b/>
        </w:rPr>
        <w:t xml:space="preserve">progress/ — </w:t>
      </w:r>
      <w:r>
        <w:t>dated daily logs (June 17 → July 2), the paper trail.</w:t>
      </w:r>
    </w:p>
    <w:p>
      <w:pPr>
        <w:pStyle w:val="ListBullet"/>
      </w:pPr>
      <w:r>
        <w:rPr>
          <w:b/>
        </w:rPr>
        <w:t xml:space="preserve">src/cascade_methods/ — </w:t>
      </w:r>
      <w:r>
        <w:t>cascade + analysis code (run from the repo root).</w:t>
      </w:r>
    </w:p>
    <w:p>
      <w:pPr>
        <w:pStyle w:val="ListBullet"/>
      </w:pPr>
      <w:r>
        <w:rPr>
          <w:b/>
        </w:rPr>
        <w:t xml:space="preserve">MedEvalKit/ — </w:t>
      </w:r>
      <w:r>
        <w:t>the faithful Lingshu MCQ eval harness (isolated venv /data/dan/medeval_venv).</w:t>
      </w:r>
    </w:p>
    <w:p>
      <w:pPr>
        <w:pStyle w:val="ListBullet"/>
      </w:pPr>
      <w:r>
        <w:rPr>
          <w:b/>
        </w:rPr>
        <w:t xml:space="preserve">docx/ and meetings/ — </w:t>
      </w:r>
      <w:r>
        <w:t>this file + meeting decks.</w:t>
      </w:r>
    </w:p>
    <w:p>
      <w:r>
        <w:rPr>
          <w:b w:val="0"/>
          <w:i w:val="0"/>
        </w:rPr>
      </w:r>
    </w:p>
    <w:p>
      <w:r>
        <w:rPr>
          <w:b w:val="0"/>
          <w:i/>
          <w:color w:val="555555"/>
          <w:sz w:val="18"/>
        </w:rPr>
        <w:t>Generated 2026-07-02 from the canonical summary + the current session's verified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