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A5F"/>
          <w:sz w:val="56"/>
          <w:szCs w:val="56"/>
        </w:rPr>
        <w:t xml:space="preserve">Lookalike Domain Hunting</w:t>
      </w:r>
    </w:p>
    <w:p>
      <w:pPr>
        <w:spacing w:after="400"/>
      </w:pPr>
      <w:r>
        <w:rPr>
          <w:rFonts w:ascii="Calibri" w:cs="Calibri" w:eastAsia="Calibri" w:hAnsi="Calibri"/>
          <w:color w:val="0F766E"/>
          <w:sz w:val="30"/>
          <w:szCs w:val="30"/>
        </w:rPr>
        <w:t xml:space="preserve">Proactive detection of HMRC brand-impersonation infrastructure</w:t>
      </w:r>
    </w:p>
    <w:p>
      <w:pPr>
        <w:spacing w:after="120"/>
      </w:pPr>
      <w:r>
        <w:rPr>
          <w:rFonts w:ascii="Calibri" w:cs="Calibri" w:eastAsia="Calibri" w:hAnsi="Calibri"/>
          <w:b/>
          <w:bCs/>
          <w:sz w:val="22"/>
          <w:szCs w:val="22"/>
        </w:rPr>
        <w:t xml:space="preserve">Analyst: </w:t>
      </w:r>
      <w:r>
        <w:rPr>
          <w:rFonts w:ascii="Calibri" w:cs="Calibri" w:eastAsia="Calibri" w:hAnsi="Calibri"/>
          <w:sz w:val="22"/>
          <w:szCs w:val="22"/>
        </w:rPr>
        <w:t xml:space="preserve">Leonard Abanobi, CompTIA Security+</w:t>
      </w:r>
    </w:p>
    <w:p>
      <w:pPr>
        <w:spacing w:after="120"/>
      </w:pPr>
      <w:r>
        <w:rPr>
          <w:rFonts w:ascii="Calibri" w:cs="Calibri" w:eastAsia="Calibri" w:hAnsi="Calibri"/>
          <w:b/>
          <w:bCs/>
          <w:sz w:val="22"/>
          <w:szCs w:val="22"/>
        </w:rPr>
        <w:t xml:space="preserve">Date of testing: </w:t>
      </w:r>
      <w:r>
        <w:rPr>
          <w:rFonts w:ascii="Calibri" w:cs="Calibri" w:eastAsia="Calibri" w:hAnsi="Calibri"/>
          <w:sz w:val="22"/>
          <w:szCs w:val="22"/>
        </w:rPr>
        <w:t xml:space="preserve">17–18 October 2026</w:t>
      </w:r>
    </w:p>
    <w:p>
      <w:pPr>
        <w:spacing w:after="120"/>
      </w:pPr>
      <w:r>
        <w:rPr>
          <w:rFonts w:ascii="Calibri" w:cs="Calibri" w:eastAsia="Calibri" w:hAnsi="Calibri"/>
          <w:b/>
          <w:bCs/>
          <w:sz w:val="22"/>
          <w:szCs w:val="22"/>
        </w:rPr>
        <w:t xml:space="preserve">Environment: </w:t>
      </w:r>
      <w:r>
        <w:rPr>
          <w:rFonts w:ascii="Calibri" w:cs="Calibri" w:eastAsia="Calibri" w:hAnsi="Calibri"/>
          <w:sz w:val="22"/>
          <w:szCs w:val="22"/>
        </w:rPr>
        <w:t xml:space="preserve">Kali Linux VM; dnstwist, whois, dig, jq, curl; Cert Spotter API; urlscan.io</w:t>
      </w:r>
    </w:p>
    <w:p>
      <w:pPr>
        <w:spacing w:after="120"/>
      </w:pPr>
      <w:r>
        <w:rPr>
          <w:rFonts w:ascii="Calibri" w:cs="Calibri" w:eastAsia="Calibri" w:hAnsi="Calibri"/>
          <w:b/>
          <w:bCs/>
          <w:sz w:val="22"/>
          <w:szCs w:val="22"/>
        </w:rPr>
        <w:t xml:space="preserve">Classification: </w:t>
      </w:r>
      <w:r>
        <w:rPr>
          <w:rFonts w:ascii="Calibri" w:cs="Calibri" w:eastAsia="Calibri" w:hAnsi="Calibri"/>
          <w:sz w:val="22"/>
          <w:szCs w:val="22"/>
        </w:rPr>
        <w:t xml:space="preserve">Lab exercise using public OSINT only. No suspect site was browsed directly. Indicators are defanged.</w:t>
      </w:r>
    </w:p>
    <w:p>
      <w:r>
        <w:br w:type="page"/>
      </w:r>
    </w:p>
    <w:p>
      <w:pPr>
        <w:pStyle w:val="Heading1"/>
        <w:spacing w:after="120" w:before="240"/>
      </w:pPr>
      <w:r>
        <w:rPr>
          <w:rFonts w:ascii="Calibri" w:cs="Calibri" w:eastAsia="Calibri" w:hAnsi="Calibri"/>
          <w:b/>
          <w:bCs/>
          <w:color w:val="1F3A5F"/>
          <w:sz w:val="32"/>
          <w:szCs w:val="32"/>
        </w:rPr>
        <w:t xml:space="preserve">1. Executive summary</w:t>
      </w:r>
    </w:p>
    <w:p>
      <w:pPr>
        <w:spacing w:after="120"/>
      </w:pPr>
      <w:r>
        <w:rPr>
          <w:rFonts w:ascii="Calibri" w:cs="Calibri" w:eastAsia="Calibri" w:hAnsi="Calibri"/>
          <w:sz w:val="22"/>
          <w:szCs w:val="22"/>
        </w:rPr>
        <w:t xml:space="preserve">This lab hunted for registered lookalike domains that could be used to impersonate HMRC in phishing and refund-fraud campaigns. 97 registered permutations of the HMRC brand were generated and triaged using WHOIS, DNS, mail records, certificate transparency and a sandboxed page scan.</w:t>
      </w:r>
    </w:p>
    <w:p>
      <w:pPr>
        <w:pStyle w:val="ListParagraph"/>
        <w:numPr>
          <w:ilvl w:val="0"/>
          <w:numId w:val="2"/>
        </w:numPr>
        <w:spacing w:after="60"/>
      </w:pPr>
      <w:r>
        <w:rPr>
          <w:rFonts w:ascii="Calibri" w:cs="Calibri" w:eastAsia="Calibri" w:hAnsi="Calibri"/>
          <w:b/>
          <w:bCs/>
          <w:sz w:val="22"/>
          <w:szCs w:val="22"/>
        </w:rPr>
        <w:t xml:space="preserve">19 domains</w:t>
      </w:r>
      <w:r>
        <w:rPr>
          <w:rFonts w:ascii="Calibri" w:cs="Calibri" w:eastAsia="Calibri" w:hAnsi="Calibri"/>
          <w:sz w:val="22"/>
          <w:szCs w:val="22"/>
        </w:rPr>
        <w:t xml:space="preserve"> were identified as HMRC defensive registrations (Com Laude registrar, Demys name servers), including the obvious fraud keywords such as hmrc-refund and verify-hmrc.</w:t>
      </w:r>
    </w:p>
    <w:p>
      <w:pPr>
        <w:pStyle w:val="ListParagraph"/>
        <w:numPr>
          <w:ilvl w:val="0"/>
          <w:numId w:val="2"/>
        </w:numPr>
        <w:spacing w:after="60"/>
      </w:pPr>
      <w:r>
        <w:rPr>
          <w:rFonts w:ascii="Calibri" w:cs="Calibri" w:eastAsia="Calibri" w:hAnsi="Calibri"/>
          <w:b/>
          <w:bCs/>
          <w:sz w:val="22"/>
          <w:szCs w:val="22"/>
        </w:rPr>
        <w:t xml:space="preserve">4 lookalikes</w:t>
      </w:r>
      <w:r>
        <w:rPr>
          <w:rFonts w:ascii="Calibri" w:cs="Calibri" w:eastAsia="Calibri" w:hAnsi="Calibri"/>
          <w:sz w:val="22"/>
          <w:szCs w:val="22"/>
        </w:rPr>
        <w:t xml:space="preserve"> were closed as benign on evidence: long-established, named, unrelated organisations.</w:t>
      </w:r>
    </w:p>
    <w:p>
      <w:pPr>
        <w:pStyle w:val="ListParagraph"/>
        <w:numPr>
          <w:ilvl w:val="0"/>
          <w:numId w:val="2"/>
        </w:numPr>
        <w:spacing w:after="60"/>
      </w:pPr>
      <w:r>
        <w:rPr>
          <w:rFonts w:ascii="Calibri" w:cs="Calibri" w:eastAsia="Calibri" w:hAnsi="Calibri"/>
          <w:b/>
          <w:bCs/>
          <w:sz w:val="22"/>
          <w:szCs w:val="22"/>
        </w:rPr>
        <w:t xml:space="preserve">3 domains</w:t>
      </w:r>
      <w:r>
        <w:rPr>
          <w:rFonts w:ascii="Calibri" w:cs="Calibri" w:eastAsia="Calibri" w:hAnsi="Calibri"/>
          <w:sz w:val="22"/>
          <w:szCs w:val="22"/>
        </w:rPr>
        <w:t xml:space="preserve"> were placed on monitoring: parked or dormant exact-brand registrations.</w:t>
      </w:r>
    </w:p>
    <w:p>
      <w:pPr>
        <w:pStyle w:val="ListParagraph"/>
        <w:numPr>
          <w:ilvl w:val="0"/>
          <w:numId w:val="2"/>
        </w:numPr>
        <w:spacing w:after="60"/>
      </w:pPr>
      <w:r>
        <w:rPr>
          <w:rFonts w:ascii="Calibri" w:cs="Calibri" w:eastAsia="Calibri" w:hAnsi="Calibri"/>
          <w:b/>
          <w:bCs/>
          <w:sz w:val="22"/>
          <w:szCs w:val="22"/>
        </w:rPr>
        <w:t xml:space="preserve">1 domain, onlinehmrc[.]com, was assessed HIGH</w:t>
      </w:r>
      <w:r>
        <w:rPr>
          <w:rFonts w:ascii="Calibri" w:cs="Calibri" w:eastAsia="Calibri" w:hAnsi="Calibri"/>
          <w:sz w:val="22"/>
          <w:szCs w:val="22"/>
        </w:rPr>
        <w:t xml:space="preserve">: suspected staged phishing infrastructure. It is privacy-masked, about one year old, mail-enabled, has a fresh Let's Encrypt certificate, is live on a German-hosted server, and had no prior public scan history. No lure page was observed at the time of testing.</w:t>
      </w:r>
    </w:p>
    <w:p>
      <w:pPr>
        <w:spacing w:after="120"/>
      </w:pPr>
      <w:r>
        <w:rPr>
          <w:rFonts w:ascii="Calibri" w:cs="Calibri" w:eastAsia="Calibri" w:hAnsi="Calibri"/>
          <w:b/>
          <w:bCs/>
          <w:sz w:val="22"/>
          <w:szCs w:val="22"/>
        </w:rPr>
        <w:t xml:space="preserve">Recommendation: </w:t>
      </w:r>
      <w:r>
        <w:rPr>
          <w:rFonts w:ascii="Calibri" w:cs="Calibri" w:eastAsia="Calibri" w:hAnsi="Calibri"/>
          <w:sz w:val="22"/>
          <w:szCs w:val="22"/>
        </w:rPr>
        <w:t xml:space="preserve">block onlinehmrc[.]com at the mail and web gateway now, route a takedown request through the organisation's takedown process (for UK government brands, the NCSC Takedown Service), and monitor for content changes and the certificate renewal due around 30 October 2026.</w:t>
      </w:r>
    </w:p>
    <w:p>
      <w:pPr>
        <w:pStyle w:val="Heading1"/>
        <w:spacing w:after="120" w:before="240"/>
      </w:pPr>
      <w:r>
        <w:rPr>
          <w:rFonts w:ascii="Calibri" w:cs="Calibri" w:eastAsia="Calibri" w:hAnsi="Calibri"/>
          <w:b/>
          <w:bCs/>
          <w:color w:val="1F3A5F"/>
          <w:sz w:val="32"/>
          <w:szCs w:val="32"/>
        </w:rPr>
        <w:t xml:space="preserve">2. Objectives and scope</w:t>
      </w:r>
    </w:p>
    <w:p>
      <w:pPr>
        <w:pStyle w:val="ListParagraph"/>
        <w:numPr>
          <w:ilvl w:val="0"/>
          <w:numId w:val="2"/>
        </w:numPr>
        <w:spacing w:after="60"/>
      </w:pPr>
      <w:r>
        <w:rPr>
          <w:rFonts w:ascii="Calibri" w:cs="Calibri" w:eastAsia="Calibri" w:hAnsi="Calibri"/>
          <w:sz w:val="22"/>
          <w:szCs w:val="22"/>
        </w:rPr>
        <w:t xml:space="preserve">Enumerate registered typosquat, keyword and TLD-swap variants of the HMRC brand.</w:t>
      </w:r>
    </w:p>
    <w:p>
      <w:pPr>
        <w:pStyle w:val="ListParagraph"/>
        <w:numPr>
          <w:ilvl w:val="0"/>
          <w:numId w:val="2"/>
        </w:numPr>
        <w:spacing w:after="60"/>
      </w:pPr>
      <w:r>
        <w:rPr>
          <w:rFonts w:ascii="Calibri" w:cs="Calibri" w:eastAsia="Calibri" w:hAnsi="Calibri"/>
          <w:sz w:val="22"/>
          <w:szCs w:val="22"/>
        </w:rPr>
        <w:t xml:space="preserve">Separate defensive registrations from third-party domains.</w:t>
      </w:r>
    </w:p>
    <w:p>
      <w:pPr>
        <w:pStyle w:val="ListParagraph"/>
        <w:numPr>
          <w:ilvl w:val="0"/>
          <w:numId w:val="2"/>
        </w:numPr>
        <w:spacing w:after="60"/>
      </w:pPr>
      <w:r>
        <w:rPr>
          <w:rFonts w:ascii="Calibri" w:cs="Calibri" w:eastAsia="Calibri" w:hAnsi="Calibri"/>
          <w:sz w:val="22"/>
          <w:szCs w:val="22"/>
        </w:rPr>
        <w:t xml:space="preserve">Prioritise domains showing the phishing-infrastructure profile and gather evidence for action.</w:t>
      </w:r>
    </w:p>
    <w:p>
      <w:pPr>
        <w:spacing w:after="120"/>
      </w:pPr>
      <w:r>
        <w:rPr>
          <w:rFonts w:ascii="Calibri" w:cs="Calibri" w:eastAsia="Calibri" w:hAnsi="Calibri"/>
          <w:sz w:val="22"/>
          <w:szCs w:val="22"/>
        </w:rPr>
        <w:t xml:space="preserve">Out of scope: active interaction with suspect sites, sending abuse reports, and any non-public data source.</w:t>
      </w:r>
    </w:p>
    <w:p>
      <w:pPr>
        <w:pStyle w:val="Heading1"/>
        <w:spacing w:after="120" w:before="240"/>
      </w:pPr>
      <w:r>
        <w:rPr>
          <w:rFonts w:ascii="Calibri" w:cs="Calibri" w:eastAsia="Calibri" w:hAnsi="Calibri"/>
          <w:b/>
          <w:bCs/>
          <w:color w:val="1F3A5F"/>
          <w:sz w:val="32"/>
          <w:szCs w:val="32"/>
        </w:rPr>
        <w:t xml:space="preserve">3. Methodology</w:t>
      </w:r>
    </w:p>
    <w:p>
      <w:pPr>
        <w:pStyle w:val="Heading2"/>
        <w:spacing w:after="100" w:before="200"/>
      </w:pPr>
      <w:r>
        <w:rPr>
          <w:rFonts w:ascii="Calibri" w:cs="Calibri" w:eastAsia="Calibri" w:hAnsi="Calibri"/>
          <w:b/>
          <w:bCs/>
          <w:color w:val="0F766E"/>
          <w:sz w:val="26"/>
          <w:szCs w:val="26"/>
        </w:rPr>
        <w:t xml:space="preserve">3.1 Permutation generation (dnstwist)</w:t>
      </w:r>
    </w:p>
    <w:p>
      <w:pPr>
        <w:spacing w:after="120"/>
      </w:pPr>
      <w:r>
        <w:rPr>
          <w:rFonts w:ascii="Calibri" w:cs="Calibri" w:eastAsia="Calibri" w:hAnsi="Calibri"/>
          <w:sz w:val="22"/>
          <w:szCs w:val="22"/>
        </w:rPr>
        <w:t xml:space="preserve">A baseline scan of hmrc.gov.uk was run first. .gov.uk names can only be registered through the government registrar, so the real exposure is in open TLDs. The main hunt used custom TLD and fraud-keyword lists:</w:t>
      </w:r>
    </w:p>
    <w:p>
      <w:pPr>
        <w:shd w:fill="F2F4F7" w:val="clear"/>
        <w:spacing w:after="40"/>
      </w:pPr>
      <w:r>
        <w:rPr>
          <w:rFonts w:ascii="Consolas" w:cs="Consolas" w:eastAsia="Consolas" w:hAnsi="Consolas"/>
          <w:sz w:val="18"/>
          <w:szCs w:val="18"/>
        </w:rPr>
        <w:t xml:space="preserve">dnstwist --registered --mxcheck --geoip --threads 20 \</w:t>
      </w:r>
    </w:p>
    <w:p>
      <w:pPr>
        <w:shd w:fill="F2F4F7" w:val="clear"/>
        <w:spacing w:after="40"/>
      </w:pPr>
      <w:r>
        <w:rPr>
          <w:rFonts w:ascii="Consolas" w:cs="Consolas" w:eastAsia="Consolas" w:hAnsi="Consolas"/>
          <w:sz w:val="18"/>
          <w:szCs w:val="18"/>
        </w:rPr>
        <w:t xml:space="preserve">  --tld tlds.txt --dictionary words.txt --format csv hmrc.com &gt; 02_lookalikes.csv</w:t>
      </w:r>
    </w:p>
    <w:p>
      <w:pPr>
        <w:spacing w:after="120"/>
      </w:pPr>
      <w:r>
        <w:rPr>
          <w:rFonts w:ascii="Calibri" w:cs="Calibri" w:eastAsia="Calibri" w:hAnsi="Calibri"/>
          <w:sz w:val="22"/>
          <w:szCs w:val="22"/>
        </w:rPr>
        <w:t xml:space="preserve">Keywords: refund, rebate, tax, gov, claim, online, secure, login, verify, payment. TLDs: com, co.uk, uk, net, org, online, site, info, support, services.</w:t>
      </w:r>
    </w:p>
    <w:p>
      <w:pPr>
        <w:pStyle w:val="Heading2"/>
        <w:spacing w:after="100" w:before="200"/>
      </w:pPr>
      <w:r>
        <w:rPr>
          <w:rFonts w:ascii="Calibri" w:cs="Calibri" w:eastAsia="Calibri" w:hAnsi="Calibri"/>
          <w:b/>
          <w:bCs/>
          <w:color w:val="0F766E"/>
          <w:sz w:val="26"/>
          <w:szCs w:val="26"/>
        </w:rPr>
        <w:t xml:space="preserve">3.2 Triage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Stage</w:t>
            </w:r>
          </w:p>
        </w:tc>
        <w:tc>
          <w:tcPr>
            <w:tcW w:type="dxa" w:w="40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Technique</w:t>
            </w:r>
          </w:p>
        </w:tc>
        <w:tc>
          <w:tcPr>
            <w:tcW w:type="dxa" w:w="3226"/>
            <w:shd w:fill="1F3A5F" w:val="clear"/>
            <w:tcMar>
              <w:top w:type="dxa" w:w="60"/>
              <w:left w:type="dxa" w:w="90"/>
              <w:bottom w:type="dxa" w:w="60"/>
              <w:right w:type="dxa" w:w="90"/>
            </w:tcMar>
          </w:tcPr>
          <w:p>
            <w:r>
              <w:rPr>
                <w:rFonts w:ascii="Calibri" w:cs="Calibri" w:eastAsia="Calibri" w:hAnsi="Calibri"/>
                <w:b/>
                <w:bCs/>
                <w:color w:val="FFFFFF"/>
                <w:sz w:val="18"/>
                <w:szCs w:val="18"/>
              </w:rPr>
              <w:t xml:space="preserve">Question answered</w:t>
            </w:r>
          </w:p>
        </w:tc>
      </w:tr>
      <w:tr>
        <w:tc>
          <w:tcPr>
            <w:tcW w:type="dxa" w:w="18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Cluster</w:t>
            </w:r>
          </w:p>
        </w:tc>
        <w:tc>
          <w:tcPr>
            <w:tcW w:type="dxa" w:w="4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Shared IP / name server (18.185.24.46, demysdns.net)</w:t>
            </w:r>
          </w:p>
        </w:tc>
        <w:tc>
          <w:tcPr>
            <w:tcW w:type="dxa" w:w="3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Is this a defensive registration?</w:t>
            </w:r>
          </w:p>
        </w:tc>
      </w:tr>
      <w:tr>
        <w:tc>
          <w:tcPr>
            <w:tcW w:type="dxa" w:w="18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Mail readiness</w:t>
            </w:r>
          </w:p>
        </w:tc>
        <w:tc>
          <w:tcPr>
            <w:tcW w:type="dxa" w:w="4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MX record check</w:t>
            </w:r>
          </w:p>
        </w:tc>
        <w:tc>
          <w:tcPr>
            <w:tcW w:type="dxa" w:w="3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Can it send or receive phishing email?</w:t>
            </w:r>
          </w:p>
        </w:tc>
      </w:tr>
      <w:tr>
        <w:tc>
          <w:tcPr>
            <w:tcW w:type="dxa" w:w="18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Registration</w:t>
            </w:r>
          </w:p>
        </w:tc>
        <w:tc>
          <w:tcPr>
            <w:tcW w:type="dxa" w:w="4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WHOIS: creation date, registrar, registrant</w:t>
            </w:r>
          </w:p>
        </w:tc>
        <w:tc>
          <w:tcPr>
            <w:tcW w:type="dxa" w:w="3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Young + privacy proxy + retail registrar?</w:t>
            </w:r>
          </w:p>
        </w:tc>
      </w:tr>
      <w:tr>
        <w:tc>
          <w:tcPr>
            <w:tcW w:type="dxa" w:w="18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Certificates</w:t>
            </w:r>
          </w:p>
        </w:tc>
        <w:tc>
          <w:tcPr>
            <w:tcW w:type="dxa" w:w="4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Cert Spotter CT API (crt.sh fallback failed with 502)</w:t>
            </w:r>
          </w:p>
        </w:tc>
        <w:tc>
          <w:tcPr>
            <w:tcW w:type="dxa" w:w="3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Is HTTPS being prepared?</w:t>
            </w:r>
          </w:p>
        </w:tc>
      </w:tr>
      <w:tr>
        <w:tc>
          <w:tcPr>
            <w:tcW w:type="dxa" w:w="18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Hosting</w:t>
            </w:r>
          </w:p>
        </w:tc>
        <w:tc>
          <w:tcPr>
            <w:tcW w:type="dxa" w:w="4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dig + IP WHOIS</w:t>
            </w:r>
          </w:p>
        </w:tc>
        <w:tc>
          <w:tcPr>
            <w:tcW w:type="dxa" w:w="3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Where is it hosted and who handles abuse?</w:t>
            </w:r>
          </w:p>
        </w:tc>
      </w:tr>
      <w:tr>
        <w:tc>
          <w:tcPr>
            <w:tcW w:type="dxa" w:w="18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Content</w:t>
            </w:r>
          </w:p>
        </w:tc>
        <w:tc>
          <w:tcPr>
            <w:tcW w:type="dxa" w:w="4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urlscan.io private scan</w:t>
            </w:r>
          </w:p>
        </w:tc>
        <w:tc>
          <w:tcPr>
            <w:tcW w:type="dxa" w:w="3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Is a lure page live?</w:t>
            </w:r>
          </w:p>
        </w:tc>
      </w:tr>
    </w:tbl>
    <w:p>
      <w:pPr>
        <w:pStyle w:val="Heading1"/>
        <w:spacing w:after="120" w:before="240"/>
      </w:pPr>
      <w:r>
        <w:rPr>
          <w:rFonts w:ascii="Calibri" w:cs="Calibri" w:eastAsia="Calibri" w:hAnsi="Calibri"/>
          <w:b/>
          <w:bCs/>
          <w:color w:val="1F3A5F"/>
          <w:sz w:val="32"/>
          <w:szCs w:val="32"/>
        </w:rPr>
        <w:t xml:space="preserve">4. Findings</w:t>
      </w:r>
    </w:p>
    <w:p>
      <w:pPr>
        <w:pStyle w:val="Heading2"/>
        <w:spacing w:after="100" w:before="200"/>
      </w:pPr>
      <w:r>
        <w:rPr>
          <w:rFonts w:ascii="Calibri" w:cs="Calibri" w:eastAsia="Calibri" w:hAnsi="Calibri"/>
          <w:b/>
          <w:bCs/>
          <w:color w:val="0F766E"/>
          <w:sz w:val="26"/>
          <w:szCs w:val="26"/>
        </w:rPr>
        <w:t xml:space="preserve">4.1 Baseline: .gov.uk and .uk space</w:t>
      </w:r>
    </w:p>
    <w:p>
      <w:pPr>
        <w:spacing w:after="120"/>
      </w:pPr>
      <w:r>
        <w:rPr>
          <w:rFonts w:ascii="Calibri" w:cs="Calibri" w:eastAsia="Calibri" w:hAnsi="Calibri"/>
          <w:sz w:val="22"/>
          <w:szCs w:val="22"/>
        </w:rPr>
        <w:t xml:space="preserve">Two .uk lookalikes resolved: hmrc[.]uk and hmrcgov[.]uk. Both share IP 18.185.24.46 and the demysdns.net name servers, are registered through Com Laude (a corporate brand-protection registrar), and date from 2015 and 2017. They were closed as HMRC defensive registrations.</w:t>
      </w:r>
    </w:p>
    <w:p>
      <w:pPr>
        <w:pStyle w:val="Heading2"/>
        <w:spacing w:after="100" w:before="200"/>
      </w:pPr>
      <w:r>
        <w:rPr>
          <w:rFonts w:ascii="Calibri" w:cs="Calibri" w:eastAsia="Calibri" w:hAnsi="Calibri"/>
          <w:b/>
          <w:bCs/>
          <w:color w:val="0F766E"/>
          <w:sz w:val="26"/>
          <w:szCs w:val="26"/>
        </w:rPr>
        <w:t xml:space="preserve">4.2 Registered permutations by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Technique</w:t>
            </w:r>
          </w:p>
        </w:tc>
        <w:tc>
          <w:tcPr>
            <w:tcW w:type="dxa" w:w="4026"/>
            <w:shd w:fill="1F3A5F" w:val="clear"/>
            <w:tcMar>
              <w:top w:type="dxa" w:w="60"/>
              <w:left w:type="dxa" w:w="90"/>
              <w:bottom w:type="dxa" w:w="60"/>
              <w:right w:type="dxa" w:w="90"/>
            </w:tcMar>
          </w:tcPr>
          <w:p>
            <w:r>
              <w:rPr>
                <w:rFonts w:ascii="Calibri" w:cs="Calibri" w:eastAsia="Calibri" w:hAnsi="Calibri"/>
                <w:b/>
                <w:bCs/>
                <w:color w:val="FFFFFF"/>
                <w:sz w:val="18"/>
                <w:szCs w:val="18"/>
              </w:rPr>
              <w:t xml:space="preserve">Registered</w:t>
            </w:r>
          </w:p>
        </w:tc>
      </w:tr>
      <w:tr>
        <w:tc>
          <w:tcPr>
            <w:tcW w:type="dxa" w:w="5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Replacement</w:t>
            </w:r>
          </w:p>
        </w:tc>
        <w:tc>
          <w:tcPr>
            <w:tcW w:type="dxa" w:w="40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17</w:t>
            </w:r>
          </w:p>
        </w:tc>
      </w:tr>
      <w:tr>
        <w:tc>
          <w:tcPr>
            <w:tcW w:type="dxa" w:w="5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Dictionary (keyword)</w:t>
            </w:r>
          </w:p>
        </w:tc>
        <w:tc>
          <w:tcPr>
            <w:tcW w:type="dxa" w:w="40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16</w:t>
            </w:r>
          </w:p>
        </w:tc>
      </w:tr>
      <w:tr>
        <w:tc>
          <w:tcPr>
            <w:tcW w:type="dxa" w:w="5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Bitsquatting</w:t>
            </w:r>
          </w:p>
        </w:tc>
        <w:tc>
          <w:tcPr>
            <w:tcW w:type="dxa" w:w="40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16</w:t>
            </w:r>
          </w:p>
        </w:tc>
      </w:tr>
      <w:tr>
        <w:tc>
          <w:tcPr>
            <w:tcW w:type="dxa" w:w="5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Insertion</w:t>
            </w:r>
          </w:p>
        </w:tc>
        <w:tc>
          <w:tcPr>
            <w:tcW w:type="dxa" w:w="40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11</w:t>
            </w:r>
          </w:p>
        </w:tc>
      </w:tr>
      <w:tr>
        <w:tc>
          <w:tcPr>
            <w:tcW w:type="dxa" w:w="5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Homoglyph</w:t>
            </w:r>
          </w:p>
        </w:tc>
        <w:tc>
          <w:tcPr>
            <w:tcW w:type="dxa" w:w="40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10</w:t>
            </w:r>
          </w:p>
        </w:tc>
      </w:tr>
      <w:tr>
        <w:tc>
          <w:tcPr>
            <w:tcW w:type="dxa" w:w="5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Addition</w:t>
            </w:r>
          </w:p>
        </w:tc>
        <w:tc>
          <w:tcPr>
            <w:tcW w:type="dxa" w:w="40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9</w:t>
            </w:r>
          </w:p>
        </w:tc>
      </w:tr>
      <w:tr>
        <w:tc>
          <w:tcPr>
            <w:tcW w:type="dxa" w:w="5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TLD swap</w:t>
            </w:r>
          </w:p>
        </w:tc>
        <w:tc>
          <w:tcPr>
            <w:tcW w:type="dxa" w:w="40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6</w:t>
            </w:r>
          </w:p>
        </w:tc>
      </w:tr>
      <w:tr>
        <w:tc>
          <w:tcPr>
            <w:tcW w:type="dxa" w:w="5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Omission</w:t>
            </w:r>
          </w:p>
        </w:tc>
        <w:tc>
          <w:tcPr>
            <w:tcW w:type="dxa" w:w="40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4</w:t>
            </w:r>
          </w:p>
        </w:tc>
      </w:tr>
      <w:tr>
        <w:tc>
          <w:tcPr>
            <w:tcW w:type="dxa" w:w="5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Transposition</w:t>
            </w:r>
          </w:p>
        </w:tc>
        <w:tc>
          <w:tcPr>
            <w:tcW w:type="dxa" w:w="40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3</w:t>
            </w:r>
          </w:p>
        </w:tc>
      </w:tr>
      <w:tr>
        <w:tc>
          <w:tcPr>
            <w:tcW w:type="dxa" w:w="5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Repetition</w:t>
            </w:r>
          </w:p>
        </w:tc>
        <w:tc>
          <w:tcPr>
            <w:tcW w:type="dxa" w:w="40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w:t>
            </w:r>
          </w:p>
        </w:tc>
      </w:tr>
      <w:tr>
        <w:tc>
          <w:tcPr>
            <w:tcW w:type="dxa" w:w="50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Hyphenation</w:t>
            </w:r>
          </w:p>
        </w:tc>
        <w:tc>
          <w:tcPr>
            <w:tcW w:type="dxa" w:w="40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w:t>
            </w:r>
          </w:p>
        </w:tc>
      </w:tr>
      <w:tr>
        <w:tc>
          <w:tcPr>
            <w:tcW w:type="dxa" w:w="50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Total</w:t>
            </w:r>
          </w:p>
        </w:tc>
        <w:tc>
          <w:tcPr>
            <w:tcW w:type="dxa" w:w="40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97</w:t>
            </w:r>
          </w:p>
        </w:tc>
      </w:tr>
    </w:tbl>
    <w:p>
      <w:pPr>
        <w:spacing w:after="120"/>
      </w:pPr>
      <w:r>
        <w:rPr>
          <w:rFonts w:ascii="Calibri" w:cs="Calibri" w:eastAsia="Calibri" w:hAnsi="Calibri"/>
          <w:sz w:val="22"/>
          <w:szCs w:val="22"/>
        </w:rPr>
        <w:t xml:space="preserve">Most character-level hits on a four-letter brand are noise: nearly every four-character .com is already registered by investors or unrelated businesses. Keyword and TLD-swap hits carry the signal.</w:t>
      </w:r>
    </w:p>
    <w:p>
      <w:pPr>
        <w:pStyle w:val="Heading2"/>
        <w:spacing w:after="100" w:before="200"/>
      </w:pPr>
      <w:r>
        <w:rPr>
          <w:rFonts w:ascii="Calibri" w:cs="Calibri" w:eastAsia="Calibri" w:hAnsi="Calibri"/>
          <w:b/>
          <w:bCs/>
          <w:color w:val="0F766E"/>
          <w:sz w:val="26"/>
          <w:szCs w:val="26"/>
        </w:rPr>
        <w:t xml:space="preserve">4.3 Defensive registration programme</w:t>
      </w:r>
    </w:p>
    <w:p>
      <w:pPr>
        <w:spacing w:after="120"/>
      </w:pPr>
      <w:r>
        <w:rPr>
          <w:rFonts w:ascii="Calibri" w:cs="Calibri" w:eastAsia="Calibri" w:hAnsi="Calibri"/>
          <w:sz w:val="22"/>
          <w:szCs w:val="22"/>
        </w:rPr>
        <w:t xml:space="preserve">18 domains in the hmrc.com permutation set sat in the HMRC defensive cluster, including hmrc-refund, hmrcrebate, claimhmrc, verify-hmrc, taxhmrc, hmrc.co.uk and hmrc.info. online-hmrc[.]com was later confirmed as HMRC-registered through WHOIS (registrant: HM Revenue &amp; Customs), bringing the total to 19. dnstwist missed it from the cluster because it has no A record.</w:t>
      </w:r>
    </w:p>
    <w:p>
      <w:pPr>
        <w:pStyle w:val="Heading2"/>
        <w:spacing w:after="100" w:before="200"/>
      </w:pPr>
      <w:r>
        <w:rPr>
          <w:rFonts w:ascii="Calibri" w:cs="Calibri" w:eastAsia="Calibri" w:hAnsi="Calibri"/>
          <w:b/>
          <w:bCs/>
          <w:color w:val="0F766E"/>
          <w:sz w:val="26"/>
          <w:szCs w:val="26"/>
        </w:rPr>
        <w:t xml:space="preserve">4.4 Findings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700"/>
        <w:gridCol w:w="3226"/>
        <w:gridCol w:w="1100"/>
      </w:tblGrid>
      <w:tr>
        <w:trPr>
          <w:tblHeader/>
        </w:trPr>
        <w:tc>
          <w:tcPr>
            <w:tcW w:type="dxa" w:w="18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Domain</w:t>
            </w:r>
          </w:p>
        </w:tc>
        <w:tc>
          <w:tcPr>
            <w:tcW w:type="dxa" w:w="12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Created</w:t>
            </w:r>
          </w:p>
        </w:tc>
        <w:tc>
          <w:tcPr>
            <w:tcW w:type="dxa" w:w="17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Registrar</w:t>
            </w:r>
          </w:p>
        </w:tc>
        <w:tc>
          <w:tcPr>
            <w:tcW w:type="dxa" w:w="3226"/>
            <w:shd w:fill="1F3A5F" w:val="clear"/>
            <w:tcMar>
              <w:top w:type="dxa" w:w="60"/>
              <w:left w:type="dxa" w:w="90"/>
              <w:bottom w:type="dxa" w:w="60"/>
              <w:right w:type="dxa" w:w="90"/>
            </w:tcMar>
          </w:tcPr>
          <w:p>
            <w:r>
              <w:rPr>
                <w:rFonts w:ascii="Calibri" w:cs="Calibri" w:eastAsia="Calibri" w:hAnsi="Calibri"/>
                <w:b/>
                <w:bCs/>
                <w:color w:val="FFFFFF"/>
                <w:sz w:val="18"/>
                <w:szCs w:val="18"/>
              </w:rPr>
              <w:t xml:space="preserve">Signals</w:t>
            </w:r>
          </w:p>
        </w:tc>
        <w:tc>
          <w:tcPr>
            <w:tcW w:type="dxa" w:w="11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Verdict</w:t>
            </w:r>
          </w:p>
        </w:tc>
      </w:tr>
      <w:tr>
        <w:tc>
          <w:tcPr>
            <w:tcW w:type="dxa" w:w="18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onlinehmrc[.]com</w:t>
            </w:r>
          </w:p>
        </w:tc>
        <w:tc>
          <w:tcPr>
            <w:tcW w:type="dxa" w:w="1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2025-09-26</w:t>
            </w:r>
          </w:p>
        </w:tc>
        <w:tc>
          <w:tcPr>
            <w:tcW w:type="dxa" w:w="17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Dynadot (privacy)</w:t>
            </w:r>
          </w:p>
        </w:tc>
        <w:tc>
          <w:tcPr>
            <w:tcW w:type="dxa" w:w="3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Live host, MX, LE cert 2026-08-01, no scan history</w:t>
            </w:r>
          </w:p>
        </w:tc>
        <w:tc>
          <w:tcPr>
            <w:tcW w:type="dxa" w:w="11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HIGH</w:t>
            </w:r>
          </w:p>
        </w:tc>
      </w:tr>
      <w:tr>
        <w:tc>
          <w:tcPr>
            <w:tcW w:type="dxa" w:w="18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hmrec[.]com</w:t>
            </w:r>
          </w:p>
        </w:tc>
        <w:tc>
          <w:tcPr>
            <w:tcW w:type="dxa" w:w="12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2026-03-04</w:t>
            </w:r>
          </w:p>
        </w:tc>
        <w:tc>
          <w:tcPr>
            <w:tcW w:type="dxa" w:w="17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Namecheap (privacy)</w:t>
            </w:r>
          </w:p>
        </w:tc>
        <w:tc>
          <w:tcPr>
            <w:tcW w:type="dxa" w:w="3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Mail forwarding, LE cert 2026-09-02, now parked</w:t>
            </w:r>
          </w:p>
        </w:tc>
        <w:tc>
          <w:tcPr>
            <w:tcW w:type="dxa" w:w="11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MEDIUM</w:t>
            </w:r>
          </w:p>
        </w:tc>
      </w:tr>
      <w:tr>
        <w:tc>
          <w:tcPr>
            <w:tcW w:type="dxa" w:w="18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hmrc[.]net</w:t>
            </w:r>
          </w:p>
        </w:tc>
        <w:tc>
          <w:tcPr>
            <w:tcW w:type="dxa" w:w="1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2025-01-07</w:t>
            </w:r>
          </w:p>
        </w:tc>
        <w:tc>
          <w:tcPr>
            <w:tcW w:type="dxa" w:w="17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Gname (redacted)</w:t>
            </w:r>
          </w:p>
        </w:tc>
        <w:tc>
          <w:tcPr>
            <w:tcW w:type="dxa" w:w="3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Exact brand, parked</w:t>
            </w:r>
          </w:p>
        </w:tc>
        <w:tc>
          <w:tcPr>
            <w:tcW w:type="dxa" w:w="11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MEDIUM</w:t>
            </w:r>
          </w:p>
        </w:tc>
      </w:tr>
      <w:tr>
        <w:tc>
          <w:tcPr>
            <w:tcW w:type="dxa" w:w="18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hmrc[.]site</w:t>
            </w:r>
          </w:p>
        </w:tc>
        <w:tc>
          <w:tcPr>
            <w:tcW w:type="dxa" w:w="12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2021-09-30</w:t>
            </w:r>
          </w:p>
        </w:tc>
        <w:tc>
          <w:tcPr>
            <w:tcW w:type="dxa" w:w="17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Namecheap</w:t>
            </w:r>
          </w:p>
        </w:tc>
        <w:tc>
          <w:tcPr>
            <w:tcW w:type="dxa" w:w="3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Exact brand, parked</w:t>
            </w:r>
          </w:p>
        </w:tc>
        <w:tc>
          <w:tcPr>
            <w:tcW w:type="dxa" w:w="11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LOW</w:t>
            </w:r>
          </w:p>
        </w:tc>
      </w:tr>
      <w:tr>
        <w:tc>
          <w:tcPr>
            <w:tcW w:type="dxa" w:w="18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hmrc[.]org</w:t>
            </w:r>
          </w:p>
        </w:tc>
        <w:tc>
          <w:tcPr>
            <w:tcW w:type="dxa" w:w="1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2001-02-08</w:t>
            </w:r>
          </w:p>
        </w:tc>
        <w:tc>
          <w:tcPr>
            <w:tcW w:type="dxa" w:w="17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eNom</w:t>
            </w:r>
          </w:p>
        </w:tc>
        <w:tc>
          <w:tcPr>
            <w:tcW w:type="dxa" w:w="3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Self-hosted MX; predates HMRC (formed 2005)</w:t>
            </w:r>
          </w:p>
        </w:tc>
        <w:tc>
          <w:tcPr>
            <w:tcW w:type="dxa" w:w="11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LOW</w:t>
            </w:r>
          </w:p>
        </w:tc>
      </w:tr>
      <w:tr>
        <w:tc>
          <w:tcPr>
            <w:tcW w:type="dxa" w:w="18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online-hmrc[.]com</w:t>
            </w:r>
          </w:p>
        </w:tc>
        <w:tc>
          <w:tcPr>
            <w:tcW w:type="dxa" w:w="12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2021-08-31</w:t>
            </w:r>
          </w:p>
        </w:tc>
        <w:tc>
          <w:tcPr>
            <w:tcW w:type="dxa" w:w="17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Com Laude</w:t>
            </w:r>
          </w:p>
        </w:tc>
        <w:tc>
          <w:tcPr>
            <w:tcW w:type="dxa" w:w="3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Registrant: HM Revenue &amp; Customs</w:t>
            </w:r>
          </w:p>
        </w:tc>
        <w:tc>
          <w:tcPr>
            <w:tcW w:type="dxa" w:w="11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BENIGN</w:t>
            </w:r>
          </w:p>
        </w:tc>
      </w:tr>
      <w:tr>
        <w:tc>
          <w:tcPr>
            <w:tcW w:type="dxa" w:w="18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hrmrc[.]com</w:t>
            </w:r>
          </w:p>
        </w:tc>
        <w:tc>
          <w:tcPr>
            <w:tcW w:type="dxa" w:w="1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2023-10-20</w:t>
            </w:r>
          </w:p>
        </w:tc>
        <w:tc>
          <w:tcPr>
            <w:tcW w:type="dxa" w:w="17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Turkish registrar</w:t>
            </w:r>
          </w:p>
        </w:tc>
        <w:tc>
          <w:tcPr>
            <w:tcW w:type="dxa" w:w="3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Named company (Beyaz Holding AS)</w:t>
            </w:r>
          </w:p>
        </w:tc>
        <w:tc>
          <w:tcPr>
            <w:tcW w:type="dxa" w:w="11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BENIGN</w:t>
            </w:r>
          </w:p>
        </w:tc>
      </w:tr>
      <w:tr>
        <w:tc>
          <w:tcPr>
            <w:tcW w:type="dxa" w:w="18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hmrdc[.]com</w:t>
            </w:r>
          </w:p>
        </w:tc>
        <w:tc>
          <w:tcPr>
            <w:tcW w:type="dxa" w:w="12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2006-10-28</w:t>
            </w:r>
          </w:p>
        </w:tc>
        <w:tc>
          <w:tcPr>
            <w:tcW w:type="dxa" w:w="17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PDR</w:t>
            </w:r>
          </w:p>
        </w:tc>
        <w:tc>
          <w:tcPr>
            <w:tcW w:type="dxa" w:w="3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Registrant matches acronym</w:t>
            </w:r>
          </w:p>
        </w:tc>
        <w:tc>
          <w:tcPr>
            <w:tcW w:type="dxa" w:w="11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BENIGN</w:t>
            </w:r>
          </w:p>
        </w:tc>
      </w:tr>
      <w:tr>
        <w:tc>
          <w:tcPr>
            <w:tcW w:type="dxa" w:w="18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hrrc[.]com</w:t>
            </w:r>
          </w:p>
        </w:tc>
        <w:tc>
          <w:tcPr>
            <w:tcW w:type="dxa" w:w="1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1998-01-20</w:t>
            </w:r>
          </w:p>
        </w:tc>
        <w:tc>
          <w:tcPr>
            <w:tcW w:type="dxa" w:w="17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Network Solutions</w:t>
            </w:r>
          </w:p>
        </w:tc>
        <w:tc>
          <w:tcPr>
            <w:tcW w:type="dxa" w:w="3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Long-standing, unrelated</w:t>
            </w:r>
          </w:p>
        </w:tc>
        <w:tc>
          <w:tcPr>
            <w:tcW w:type="dxa" w:w="11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BENIGN</w:t>
            </w:r>
          </w:p>
        </w:tc>
      </w:tr>
    </w:tbl>
    <w:p>
      <w:pPr>
        <w:pStyle w:val="Heading1"/>
        <w:spacing w:after="120" w:before="240"/>
      </w:pPr>
      <w:r>
        <w:rPr>
          <w:rFonts w:ascii="Calibri" w:cs="Calibri" w:eastAsia="Calibri" w:hAnsi="Calibri"/>
          <w:b/>
          <w:bCs/>
          <w:color w:val="1F3A5F"/>
          <w:sz w:val="32"/>
          <w:szCs w:val="32"/>
        </w:rPr>
        <w:t xml:space="preserve">5. Deep dive: onlinehmrc[.]com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Evidence</w:t>
            </w:r>
          </w:p>
        </w:tc>
        <w:tc>
          <w:tcPr>
            <w:tcW w:type="dxa" w:w="6826"/>
            <w:shd w:fill="1F3A5F" w:val="clear"/>
            <w:tcMar>
              <w:top w:type="dxa" w:w="60"/>
              <w:left w:type="dxa" w:w="90"/>
              <w:bottom w:type="dxa" w:w="60"/>
              <w:right w:type="dxa" w:w="90"/>
            </w:tcMar>
          </w:tcPr>
          <w:p>
            <w:r>
              <w:rPr>
                <w:rFonts w:ascii="Calibri" w:cs="Calibri" w:eastAsia="Calibri" w:hAnsi="Calibri"/>
                <w:b/>
                <w:bCs/>
                <w:color w:val="FFFFFF"/>
                <w:sz w:val="18"/>
                <w:szCs w:val="18"/>
              </w:rPr>
              <w:t xml:space="preserve">Observation</w:t>
            </w:r>
          </w:p>
        </w:tc>
      </w:tr>
      <w:tr>
        <w:tc>
          <w:tcPr>
            <w:tcW w:type="dxa" w:w="2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Registration</w:t>
            </w:r>
          </w:p>
        </w:tc>
        <w:tc>
          <w:tcPr>
            <w:tcW w:type="dxa" w:w="68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Created 26 Sep 2025, Dynadot, registrant masked by privacy service</w:t>
            </w:r>
          </w:p>
        </w:tc>
      </w:tr>
      <w:tr>
        <w:tc>
          <w:tcPr>
            <w:tcW w:type="dxa" w:w="22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Defensive set</w:t>
            </w:r>
          </w:p>
        </w:tc>
        <w:tc>
          <w:tcPr>
            <w:tcW w:type="dxa" w:w="68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Not in the HMRC cluster; a keyword gap in the brand-protection coverage</w:t>
            </w:r>
          </w:p>
        </w:tc>
      </w:tr>
      <w:tr>
        <w:tc>
          <w:tcPr>
            <w:tcW w:type="dxa" w:w="2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DNS</w:t>
            </w:r>
          </w:p>
        </w:tc>
        <w:tc>
          <w:tcPr>
            <w:tcW w:type="dxa" w:w="68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 45.13.226.9; www CNAME to apex; MX points to itself. Stable across an 11-hour re-check</w:t>
            </w:r>
          </w:p>
        </w:tc>
      </w:tr>
      <w:tr>
        <w:tc>
          <w:tcPr>
            <w:tcW w:type="dxa" w:w="22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Hosting</w:t>
            </w:r>
          </w:p>
        </w:tc>
        <w:tc>
          <w:tcPr>
            <w:tcW w:type="dxa" w:w="68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YottaSrc-NET-45-13, Frankfurt (DE); organisation registered in SA; LiteSpeed web server</w:t>
            </w:r>
          </w:p>
        </w:tc>
      </w:tr>
      <w:tr>
        <w:tc>
          <w:tcPr>
            <w:tcW w:type="dxa" w:w="2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Certificate</w:t>
            </w:r>
          </w:p>
        </w:tc>
        <w:tc>
          <w:tcPr>
            <w:tcW w:type="dxa" w:w="68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Let's Encrypt (YR2), issued 1 Aug 2026, wildcard plus apex; expires about 30 Oct 2026</w:t>
            </w:r>
          </w:p>
        </w:tc>
      </w:tr>
      <w:tr>
        <w:tc>
          <w:tcPr>
            <w:tcW w:type="dxa" w:w="22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Certificate pivot</w:t>
            </w:r>
          </w:p>
        </w:tc>
        <w:tc>
          <w:tcPr>
            <w:tcW w:type="dxa" w:w="68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Certificate also lists aliases under an unrelated, now-parked business domain (withheld) whose own certificate was issued one day earlier. This suggests a shared hosting account controlled by the same operator in late July</w:t>
            </w:r>
          </w:p>
        </w:tc>
      </w:tr>
      <w:tr>
        <w:tc>
          <w:tcPr>
            <w:tcW w:type="dxa" w:w="2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Page content</w:t>
            </w:r>
          </w:p>
        </w:tc>
        <w:tc>
          <w:tcPr>
            <w:tcW w:type="dxa" w:w="68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HTTP 200, text/html, no title, about 1 KB, single domain, no external resources</w:t>
            </w:r>
          </w:p>
        </w:tc>
      </w:tr>
      <w:tr>
        <w:tc>
          <w:tcPr>
            <w:tcW w:type="dxa" w:w="22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Reputation</w:t>
            </w:r>
          </w:p>
        </w:tc>
        <w:tc>
          <w:tcPr>
            <w:tcW w:type="dxa" w:w="68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urlscan.io: no classification; no third-party scans in the prior 30 days</w:t>
            </w:r>
          </w:p>
        </w:tc>
      </w:tr>
      <w:tr>
        <w:tc>
          <w:tcPr>
            <w:tcW w:type="dxa" w:w="22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Age conflict</w:t>
            </w:r>
          </w:p>
        </w:tc>
        <w:tc>
          <w:tcPr>
            <w:tcW w:type="dxa" w:w="68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urlscan shows the hostname as about 3 years old, while WHOIS shows Sep 2025. Possible re-registration of an expired domain</w:t>
            </w:r>
          </w:p>
        </w:tc>
      </w:tr>
    </w:tbl>
    <w:p>
      <w:pPr>
        <w:spacing w:after="120"/>
      </w:pPr>
      <w:r>
        <w:rPr>
          <w:rFonts w:ascii="Calibri" w:cs="Calibri" w:eastAsia="Calibri" w:hAnsi="Calibri"/>
          <w:b/>
          <w:bCs/>
          <w:sz w:val="22"/>
          <w:szCs w:val="22"/>
        </w:rPr>
        <w:t xml:space="preserve">Assessment: </w:t>
      </w:r>
      <w:r>
        <w:rPr>
          <w:rFonts w:ascii="Calibri" w:cs="Calibri" w:eastAsia="Calibri" w:hAnsi="Calibri"/>
          <w:sz w:val="22"/>
          <w:szCs w:val="22"/>
        </w:rPr>
        <w:t xml:space="preserve">suspected staged phishing infrastructure. The domain is fully provisioned for web and email but was not serving a lure at the time of testing. Taking action at this stage prevents exposure before any campaign begins.</w:t>
      </w:r>
    </w:p>
    <w:p>
      <w:pPr>
        <w:pStyle w:val="Heading1"/>
        <w:spacing w:after="120" w:before="240"/>
      </w:pPr>
      <w:r>
        <w:rPr>
          <w:rFonts w:ascii="Calibri" w:cs="Calibri" w:eastAsia="Calibri" w:hAnsi="Calibri"/>
          <w:b/>
          <w:bCs/>
          <w:color w:val="1F3A5F"/>
          <w:sz w:val="32"/>
          <w:szCs w:val="32"/>
        </w:rPr>
        <w:t xml:space="preserve">6. Analyst judgement and corrections</w:t>
      </w:r>
    </w:p>
    <w:p>
      <w:pPr>
        <w:pStyle w:val="ListParagraph"/>
        <w:numPr>
          <w:ilvl w:val="0"/>
          <w:numId w:val="2"/>
        </w:numPr>
        <w:spacing w:after="60"/>
      </w:pPr>
      <w:r>
        <w:rPr>
          <w:rFonts w:ascii="Calibri" w:cs="Calibri" w:eastAsia="Calibri" w:hAnsi="Calibri"/>
          <w:sz w:val="22"/>
          <w:szCs w:val="22"/>
        </w:rPr>
        <w:t xml:space="preserve">An initial hypothesis that the certificate-pivot domain was a compromised live business site was revised after DNS showed it sitting on Namecheap parking infrastructure. The assessment was updated rather than defended.</w:t>
      </w:r>
    </w:p>
    <w:p>
      <w:pPr>
        <w:pStyle w:val="ListParagraph"/>
        <w:numPr>
          <w:ilvl w:val="0"/>
          <w:numId w:val="2"/>
        </w:numPr>
        <w:spacing w:after="60"/>
      </w:pPr>
      <w:r>
        <w:rPr>
          <w:rFonts w:ascii="Calibri" w:cs="Calibri" w:eastAsia="Calibri" w:hAnsi="Calibri"/>
          <w:sz w:val="22"/>
          <w:szCs w:val="22"/>
        </w:rPr>
        <w:t xml:space="preserve">Shared Namecheap parking IPs between hmrec[.]com and the pivot domain were deliberately not treated as a link, because thousands of unrelated domains park there.</w:t>
      </w:r>
    </w:p>
    <w:p>
      <w:pPr>
        <w:pStyle w:val="ListParagraph"/>
        <w:numPr>
          <w:ilvl w:val="0"/>
          <w:numId w:val="2"/>
        </w:numPr>
        <w:spacing w:after="60"/>
      </w:pPr>
      <w:r>
        <w:rPr>
          <w:rFonts w:ascii="Calibri" w:cs="Calibri" w:eastAsia="Calibri" w:hAnsi="Calibri"/>
          <w:sz w:val="22"/>
          <w:szCs w:val="22"/>
        </w:rPr>
        <w:t xml:space="preserve">dnstwist recorded no A record for onlinehmrc[.]com, but a later dig resolved it. Single DNS snapshots are unreliable, so high-priority domains need scheduled re-resolution.</w:t>
      </w:r>
    </w:p>
    <w:p>
      <w:pPr>
        <w:pStyle w:val="ListParagraph"/>
        <w:numPr>
          <w:ilvl w:val="0"/>
          <w:numId w:val="2"/>
        </w:numPr>
        <w:spacing w:after="60"/>
      </w:pPr>
      <w:r>
        <w:rPr>
          <w:rFonts w:ascii="Calibri" w:cs="Calibri" w:eastAsia="Calibri" w:hAnsi="Calibri"/>
          <w:sz w:val="22"/>
          <w:szCs w:val="22"/>
        </w:rPr>
        <w:t xml:space="preserve">crt.sh returned HTTP 502 repeatedly, so certificate transparency coverage was obtained through Cert Spotter instead. The failed output is kept as evidence.</w:t>
      </w:r>
    </w:p>
    <w:p>
      <w:pPr>
        <w:pStyle w:val="ListParagraph"/>
        <w:numPr>
          <w:ilvl w:val="0"/>
          <w:numId w:val="2"/>
        </w:numPr>
        <w:spacing w:after="60"/>
      </w:pPr>
      <w:r>
        <w:rPr>
          <w:rFonts w:ascii="Calibri" w:cs="Calibri" w:eastAsia="Calibri" w:hAnsi="Calibri"/>
          <w:sz w:val="22"/>
          <w:szCs w:val="22"/>
        </w:rPr>
        <w:t xml:space="preserve">urlscan's "You're not logged in!" DOM response was verified as a urlscan access message, not site content, by checking the page MIME type (text/html) through the search API.</w:t>
      </w:r>
    </w:p>
    <w:p>
      <w:pPr>
        <w:pStyle w:val="ListParagraph"/>
        <w:numPr>
          <w:ilvl w:val="0"/>
          <w:numId w:val="2"/>
        </w:numPr>
        <w:spacing w:after="60"/>
      </w:pPr>
      <w:r>
        <w:rPr>
          <w:rFonts w:ascii="Calibri" w:cs="Calibri" w:eastAsia="Calibri" w:hAnsi="Calibri"/>
          <w:sz w:val="22"/>
          <w:szCs w:val="22"/>
        </w:rPr>
        <w:t xml:space="preserve">OPSEC: one early urlscan submission went out as Public. In production, scans of suspected infrastructure should be private by default to avoid alerting operators.</w:t>
      </w:r>
    </w:p>
    <w:p>
      <w:pPr>
        <w:pStyle w:val="Heading1"/>
        <w:spacing w:after="120" w:before="240"/>
      </w:pPr>
      <w:r>
        <w:rPr>
          <w:rFonts w:ascii="Calibri" w:cs="Calibri" w:eastAsia="Calibri" w:hAnsi="Calibri"/>
          <w:b/>
          <w:bCs/>
          <w:color w:val="1F3A5F"/>
          <w:sz w:val="32"/>
          <w:szCs w:val="32"/>
        </w:rPr>
        <w:t xml:space="preserve">7.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226"/>
        <w:gridCol w:w="1900"/>
        <w:gridCol w:w="1400"/>
      </w:tblGrid>
      <w:tr>
        <w:trPr>
          <w:tblHeader/>
        </w:trPr>
        <w:tc>
          <w:tcPr>
            <w:tcW w:type="dxa" w:w="5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w:t>
            </w:r>
          </w:p>
        </w:tc>
        <w:tc>
          <w:tcPr>
            <w:tcW w:type="dxa" w:w="5226"/>
            <w:shd w:fill="1F3A5F" w:val="clear"/>
            <w:tcMar>
              <w:top w:type="dxa" w:w="60"/>
              <w:left w:type="dxa" w:w="90"/>
              <w:bottom w:type="dxa" w:w="60"/>
              <w:right w:type="dxa" w:w="90"/>
            </w:tcMar>
          </w:tcPr>
          <w:p>
            <w:r>
              <w:rPr>
                <w:rFonts w:ascii="Calibri" w:cs="Calibri" w:eastAsia="Calibri" w:hAnsi="Calibri"/>
                <w:b/>
                <w:bCs/>
                <w:color w:val="FFFFFF"/>
                <w:sz w:val="18"/>
                <w:szCs w:val="18"/>
              </w:rPr>
              <w:t xml:space="preserve">Action</w:t>
            </w:r>
          </w:p>
        </w:tc>
        <w:tc>
          <w:tcPr>
            <w:tcW w:type="dxa" w:w="19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Owner</w:t>
            </w:r>
          </w:p>
        </w:tc>
        <w:tc>
          <w:tcPr>
            <w:tcW w:type="dxa" w:w="14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Priority</w:t>
            </w:r>
          </w:p>
        </w:tc>
      </w:tr>
      <w:tr>
        <w:tc>
          <w:tcPr>
            <w:tcW w:type="dxa" w:w="5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w:t>
            </w:r>
          </w:p>
        </w:tc>
        <w:tc>
          <w:tcPr>
            <w:tcW w:type="dxa" w:w="5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Block onlinehmrc[.]com and 45.13.226.9 at email and web gateways</w:t>
            </w:r>
          </w:p>
        </w:tc>
        <w:tc>
          <w:tcPr>
            <w:tcW w:type="dxa" w:w="19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SOC</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Immediate</w:t>
            </w:r>
          </w:p>
        </w:tc>
      </w:tr>
      <w:tr>
        <w:tc>
          <w:tcPr>
            <w:tcW w:type="dxa" w:w="5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w:t>
            </w:r>
          </w:p>
        </w:tc>
        <w:tc>
          <w:tcPr>
            <w:tcW w:type="dxa" w:w="5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Submit takedown via the organisation's process / NCSC Takedown Service. Evidence pack: files 01–17. Contacts: abuse@dynadot.com (registrar), abuse@hosting-manage.com (host)</w:t>
            </w:r>
          </w:p>
        </w:tc>
        <w:tc>
          <w:tcPr>
            <w:tcW w:type="dxa" w:w="19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Fraud Prevention</w:t>
            </w:r>
          </w:p>
        </w:tc>
        <w:tc>
          <w:tcPr>
            <w:tcW w:type="dxa" w:w="14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High</w:t>
            </w:r>
          </w:p>
        </w:tc>
      </w:tr>
      <w:tr>
        <w:tc>
          <w:tcPr>
            <w:tcW w:type="dxa" w:w="5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3</w:t>
            </w:r>
          </w:p>
        </w:tc>
        <w:tc>
          <w:tcPr>
            <w:tcW w:type="dxa" w:w="5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Add onlinehmrc and online-hmrc keyword variants to defensive registration review</w:t>
            </w:r>
          </w:p>
        </w:tc>
        <w:tc>
          <w:tcPr>
            <w:tcW w:type="dxa" w:w="19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Brand protection</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High</w:t>
            </w:r>
          </w:p>
        </w:tc>
      </w:tr>
      <w:tr>
        <w:tc>
          <w:tcPr>
            <w:tcW w:type="dxa" w:w="5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4</w:t>
            </w:r>
          </w:p>
        </w:tc>
        <w:tc>
          <w:tcPr>
            <w:tcW w:type="dxa" w:w="52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Daily re-resolution and CT monitoring of MEDIUM and LOW domains; alert on new MX, A records or certificates</w:t>
            </w:r>
          </w:p>
        </w:tc>
        <w:tc>
          <w:tcPr>
            <w:tcW w:type="dxa" w:w="19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SOC</w:t>
            </w:r>
          </w:p>
        </w:tc>
        <w:tc>
          <w:tcPr>
            <w:tcW w:type="dxa" w:w="14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Medium</w:t>
            </w:r>
          </w:p>
        </w:tc>
      </w:tr>
      <w:tr>
        <w:tc>
          <w:tcPr>
            <w:tcW w:type="dxa" w:w="5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5</w:t>
            </w:r>
          </w:p>
        </w:tc>
        <w:tc>
          <w:tcPr>
            <w:tcW w:type="dxa" w:w="52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Re-scan onlinehmrc[.]com privately around the 30 Oct certificate renewal</w:t>
            </w:r>
          </w:p>
        </w:tc>
        <w:tc>
          <w:tcPr>
            <w:tcW w:type="dxa" w:w="19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SOC</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Medium</w:t>
            </w:r>
          </w:p>
        </w:tc>
      </w:tr>
    </w:tbl>
    <w:p>
      <w:pPr>
        <w:pStyle w:val="Heading1"/>
        <w:spacing w:after="120" w:before="240"/>
      </w:pPr>
      <w:r>
        <w:rPr>
          <w:rFonts w:ascii="Calibri" w:cs="Calibri" w:eastAsia="Calibri" w:hAnsi="Calibri"/>
          <w:b/>
          <w:bCs/>
          <w:color w:val="1F3A5F"/>
          <w:sz w:val="32"/>
          <w:szCs w:val="32"/>
        </w:rPr>
        <w:t xml:space="preserve">8. MITRE ATT&amp;CK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326"/>
      </w:tblGrid>
      <w:tr>
        <w:trPr>
          <w:tblHeader/>
        </w:trPr>
        <w:tc>
          <w:tcPr>
            <w:tcW w:type="dxa" w:w="34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Technique</w:t>
            </w:r>
          </w:p>
        </w:tc>
        <w:tc>
          <w:tcPr>
            <w:tcW w:type="dxa" w:w="13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4326"/>
            <w:shd w:fill="1F3A5F" w:val="clear"/>
            <w:tcMar>
              <w:top w:type="dxa" w:w="60"/>
              <w:left w:type="dxa" w:w="90"/>
              <w:bottom w:type="dxa" w:w="60"/>
              <w:right w:type="dxa" w:w="90"/>
            </w:tcMar>
          </w:tcPr>
          <w:p>
            <w:r>
              <w:rPr>
                <w:rFonts w:ascii="Calibri" w:cs="Calibri" w:eastAsia="Calibri" w:hAnsi="Calibri"/>
                <w:b/>
                <w:bCs/>
                <w:color w:val="FFFFFF"/>
                <w:sz w:val="18"/>
                <w:szCs w:val="18"/>
              </w:rPr>
              <w:t xml:space="preserve">Relevance</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Acquire Infrastructure: Domains</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T1583.001</w:t>
            </w:r>
          </w:p>
        </w:tc>
        <w:tc>
          <w:tcPr>
            <w:tcW w:type="dxa" w:w="43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Registration of keyword and TLD-swap lookalikes</w:t>
            </w:r>
          </w:p>
        </w:tc>
      </w:tr>
      <w:tr>
        <w:tc>
          <w:tcPr>
            <w:tcW w:type="dxa" w:w="34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Acquire Infrastructure: Web Services / hosting</w:t>
            </w:r>
          </w:p>
        </w:tc>
        <w:tc>
          <w:tcPr>
            <w:tcW w:type="dxa" w:w="13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T1583.004</w:t>
            </w:r>
          </w:p>
        </w:tc>
        <w:tc>
          <w:tcPr>
            <w:tcW w:type="dxa" w:w="43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Dedicated server on 45.13.226.9</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Stage Capabilities: Install Digital Certificate</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T1608.003</w:t>
            </w:r>
          </w:p>
        </w:tc>
        <w:tc>
          <w:tcPr>
            <w:tcW w:type="dxa" w:w="43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Let's Encrypt certificate issued before content</w:t>
            </w:r>
          </w:p>
        </w:tc>
      </w:tr>
      <w:tr>
        <w:tc>
          <w:tcPr>
            <w:tcW w:type="dxa" w:w="34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Phishing: Spearphishing Link</w:t>
            </w:r>
          </w:p>
        </w:tc>
        <w:tc>
          <w:tcPr>
            <w:tcW w:type="dxa" w:w="13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T1566.002</w:t>
            </w:r>
          </w:p>
        </w:tc>
        <w:tc>
          <w:tcPr>
            <w:tcW w:type="dxa" w:w="43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Anticipated use of mail-enabled lookalikes</w:t>
            </w:r>
          </w:p>
        </w:tc>
      </w:tr>
    </w:tbl>
    <w:p>
      <w:pPr>
        <w:pStyle w:val="Heading1"/>
        <w:spacing w:after="120" w:before="240"/>
      </w:pPr>
      <w:r>
        <w:rPr>
          <w:rFonts w:ascii="Calibri" w:cs="Calibri" w:eastAsia="Calibri" w:hAnsi="Calibri"/>
          <w:b/>
          <w:bCs/>
          <w:color w:val="1F3A5F"/>
          <w:sz w:val="32"/>
          <w:szCs w:val="32"/>
        </w:rPr>
        <w:t xml:space="preserve">9. Evidence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3A5F" w:val="clear"/>
            <w:tcMar>
              <w:top w:type="dxa" w:w="60"/>
              <w:left w:type="dxa" w:w="90"/>
              <w:bottom w:type="dxa" w:w="60"/>
              <w:right w:type="dxa" w:w="90"/>
            </w:tcMar>
          </w:tcPr>
          <w:p>
            <w:r>
              <w:rPr>
                <w:rFonts w:ascii="Calibri" w:cs="Calibri" w:eastAsia="Calibri" w:hAnsi="Calibri"/>
                <w:b/>
                <w:bCs/>
                <w:color w:val="FFFFFF"/>
                <w:sz w:val="18"/>
                <w:szCs w:val="18"/>
              </w:rPr>
              <w:t xml:space="preserve">File</w:t>
            </w:r>
          </w:p>
        </w:tc>
        <w:tc>
          <w:tcPr>
            <w:tcW w:type="dxa" w:w="5426"/>
            <w:shd w:fill="1F3A5F" w:val="clear"/>
            <w:tcMar>
              <w:top w:type="dxa" w:w="60"/>
              <w:left w:type="dxa" w:w="90"/>
              <w:bottom w:type="dxa" w:w="60"/>
              <w:right w:type="dxa" w:w="90"/>
            </w:tcMar>
          </w:tcPr>
          <w:p>
            <w:r>
              <w:rPr>
                <w:rFonts w:ascii="Calibri" w:cs="Calibri" w:eastAsia="Calibri" w:hAnsi="Calibri"/>
                <w:b/>
                <w:bCs/>
                <w:color w:val="FFFFFF"/>
                <w:sz w:val="18"/>
                <w:szCs w:val="18"/>
              </w:rPr>
              <w:t xml:space="preserve">Content</w:t>
            </w:r>
          </w:p>
        </w:tc>
      </w:tr>
      <w:tr>
        <w:tc>
          <w:tcPr>
            <w:tcW w:type="dxa" w:w="36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01_govuk_baseline.txt, 01b/01c</w:t>
            </w:r>
          </w:p>
        </w:tc>
        <w:tc>
          <w:tcPr>
            <w:tcW w:type="dxa" w:w="54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gov.uk baseline and WHOIS for .uk lookalikes</w:t>
            </w:r>
          </w:p>
        </w:tc>
      </w:tr>
      <w:tr>
        <w:tc>
          <w:tcPr>
            <w:tcW w:type="dxa" w:w="36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02_lookalikes.csv</w:t>
            </w:r>
          </w:p>
        </w:tc>
        <w:tc>
          <w:tcPr>
            <w:tcW w:type="dxa" w:w="54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Full dnstwist output (97 registered)</w:t>
            </w:r>
          </w:p>
        </w:tc>
      </w:tr>
      <w:tr>
        <w:tc>
          <w:tcPr>
            <w:tcW w:type="dxa" w:w="36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03_defensive.txt</w:t>
            </w:r>
          </w:p>
        </w:tc>
        <w:tc>
          <w:tcPr>
            <w:tcW w:type="dxa" w:w="54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Demys/Com Laude defensive cluster</w:t>
            </w:r>
          </w:p>
        </w:tc>
      </w:tr>
      <w:tr>
        <w:tc>
          <w:tcPr>
            <w:tcW w:type="dxa" w:w="36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04_priority.txt, 05_mx_ready.txt</w:t>
            </w:r>
          </w:p>
        </w:tc>
        <w:tc>
          <w:tcPr>
            <w:tcW w:type="dxa" w:w="54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Keyword/TLD-swap shortlist and mail-ready domains</w:t>
            </w:r>
          </w:p>
        </w:tc>
      </w:tr>
      <w:tr>
        <w:tc>
          <w:tcPr>
            <w:tcW w:type="dxa" w:w="36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06_whois_shortlist.txt</w:t>
            </w:r>
          </w:p>
        </w:tc>
        <w:tc>
          <w:tcPr>
            <w:tcW w:type="dxa" w:w="54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WHOIS for 9 shortlisted domains</w:t>
            </w:r>
          </w:p>
        </w:tc>
      </w:tr>
      <w:tr>
        <w:tc>
          <w:tcPr>
            <w:tcW w:type="dxa" w:w="36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07_crtsh_raw.json, 08_ct_recent.txt</w:t>
            </w:r>
          </w:p>
        </w:tc>
        <w:tc>
          <w:tcPr>
            <w:tcW w:type="dxa" w:w="54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crt.sh 502 failure (kept as evidence)</w:t>
            </w:r>
          </w:p>
        </w:tc>
      </w:tr>
      <w:tr>
        <w:tc>
          <w:tcPr>
            <w:tcW w:type="dxa" w:w="36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09_ct_escalated.txt</w:t>
            </w:r>
          </w:p>
        </w:tc>
        <w:tc>
          <w:tcPr>
            <w:tcW w:type="dxa" w:w="54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Cert Spotter results for escalated pair</w:t>
            </w:r>
          </w:p>
        </w:tc>
      </w:tr>
      <w:tr>
        <w:tc>
          <w:tcPr>
            <w:tcW w:type="dxa" w:w="36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10_dns_now.txt, 11_pivot_cert.txt</w:t>
            </w:r>
          </w:p>
        </w:tc>
        <w:tc>
          <w:tcPr>
            <w:tcW w:type="dxa" w:w="54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Live DNS and certificate pivot</w:t>
            </w:r>
          </w:p>
        </w:tc>
      </w:tr>
      <w:tr>
        <w:tc>
          <w:tcPr>
            <w:tcW w:type="dxa" w:w="36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12_urlscan_history.txt</w:t>
            </w:r>
          </w:p>
        </w:tc>
        <w:tc>
          <w:tcPr>
            <w:tcW w:type="dxa" w:w="54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Pre-scan urlscan search (no history)</w:t>
            </w:r>
          </w:p>
        </w:tc>
      </w:tr>
      <w:tr>
        <w:tc>
          <w:tcPr>
            <w:tcW w:type="dxa" w:w="36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13_hosting_asn.txt</w:t>
            </w:r>
          </w:p>
        </w:tc>
        <w:tc>
          <w:tcPr>
            <w:tcW w:type="dxa" w:w="54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Hosting WHOIS and abuse contacts</w:t>
            </w:r>
          </w:p>
        </w:tc>
      </w:tr>
      <w:tr>
        <w:tc>
          <w:tcPr>
            <w:tcW w:type="dxa" w:w="36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14_findings_register.csv</w:t>
            </w:r>
          </w:p>
        </w:tc>
        <w:tc>
          <w:tcPr>
            <w:tcW w:type="dxa" w:w="54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Final register with verdicts and actions</w:t>
            </w:r>
          </w:p>
        </w:tc>
      </w:tr>
      <w:tr>
        <w:tc>
          <w:tcPr>
            <w:tcW w:type="dxa" w:w="3600"/>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15_dns_recheck.txt</w:t>
            </w:r>
          </w:p>
        </w:tc>
        <w:tc>
          <w:tcPr>
            <w:tcW w:type="dxa" w:w="5426"/>
            <w:shd w:fill="F2F4F7"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11-hour DNS stability check</w:t>
            </w:r>
          </w:p>
        </w:tc>
      </w:tr>
      <w:tr>
        <w:tc>
          <w:tcPr>
            <w:tcW w:type="dxa" w:w="3600"/>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16_urlscan_public.json, 17_urlscan_dom.html</w:t>
            </w:r>
          </w:p>
        </w:tc>
        <w:tc>
          <w:tcPr>
            <w:tcW w:type="dxa" w:w="5426"/>
            <w:shd w:fill="FFFFFF"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Scan metadata (text/html, LiteSpeed, no title)</w:t>
            </w:r>
          </w:p>
        </w:tc>
      </w:tr>
    </w:tbl>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Lookalike Domain Hunting | L. Abanobi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Lookalike Domain Hunting Lab Report</dc:title>
  <dc:creator>Leonard Abanobi</dc:creator>
  <cp:lastModifiedBy>Un-named</cp:lastModifiedBy>
  <cp:revision>1</cp:revision>
  <dcterms:created xsi:type="dcterms:W3CDTF">2026-10-22T20:57:04.939Z</dcterms:created>
  <dcterms:modified xsi:type="dcterms:W3CDTF">2026-10-22T20:57:04.945Z</dcterms:modified>
</cp:coreProperties>
</file>

<file path=docProps/custom.xml><?xml version="1.0" encoding="utf-8"?>
<Properties xmlns="http://schemas.openxmlformats.org/officeDocument/2006/custom-properties" xmlns:vt="http://schemas.openxmlformats.org/officeDocument/2006/docPropsVTypes"/>
</file>