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858F">
      <w:pPr>
        <w:jc w:val="center"/>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并购重组中的信息不对称与破产风险：基于文本分析与机器学习方法的测度与实证</w:t>
      </w:r>
    </w:p>
    <w:p w14:paraId="22195A0D">
      <w:pPr>
        <w:rPr>
          <w:rFonts w:hint="default" w:ascii="Times New Roman" w:hAnsi="Times New Roman" w:cs="Times New Roman"/>
          <w:color w:val="auto"/>
        </w:rPr>
      </w:pPr>
    </w:p>
    <w:p w14:paraId="3179D9CE">
      <w:pPr>
        <w:rPr>
          <w:rFonts w:hint="default" w:ascii="Times New Roman" w:hAnsi="Times New Roman" w:cs="Times New Roman"/>
          <w:color w:val="auto"/>
        </w:rPr>
      </w:pPr>
    </w:p>
    <w:p w14:paraId="6A9ADDA2">
      <w:pPr>
        <w:ind w:firstLine="422" w:firstLineChars="200"/>
        <w:rPr>
          <w:rFonts w:hint="default" w:ascii="Times New Roman" w:hAnsi="Times New Roman" w:cs="Times New Roman"/>
          <w:color w:val="auto"/>
        </w:rPr>
      </w:pPr>
      <w:r>
        <w:rPr>
          <w:rFonts w:hint="default" w:ascii="Times New Roman" w:hAnsi="Times New Roman" w:cs="Times New Roman"/>
          <w:b/>
          <w:bCs/>
          <w:color w:val="auto"/>
        </w:rPr>
        <w:t>摘要</w:t>
      </w:r>
      <w:r>
        <w:rPr>
          <w:rFonts w:hint="default" w:ascii="Times New Roman" w:hAnsi="Times New Roman" w:cs="Times New Roman"/>
          <w:color w:val="auto"/>
        </w:rPr>
        <w:t>： 本文以1995-2023年全球并购交易为样本，综合运用文本分析与机器学习方法，从并购文件中构建信息不对称指数，实证检验其对并购后企业破产风险的影响。研究发现，文本信息不对称与破产风险呈显著正相关，该结论在控制传统财务变量、进行一系列稳健性检验后依然成立；机器学习模型显示，文本特征具有显著的增量预测能力，能有效提升破产风险识别的准确率与召回率；机制分析表明，信息不对称主要通过引发整合困难、未预期负债及现金流恶化等渠道推高破产风险，且该效应在跨行业并购与信息环境较差的企业中更为突出。本研究为理解并购中的信息风险及其经济后果提供了新证据，并对投资者决策、公司治理与金融监管具有启示意义。</w:t>
      </w:r>
    </w:p>
    <w:p w14:paraId="73CACF22">
      <w:pPr>
        <w:rPr>
          <w:rFonts w:hint="default" w:ascii="Times New Roman" w:hAnsi="Times New Roman" w:cs="Times New Roman"/>
          <w:color w:val="auto"/>
        </w:rPr>
      </w:pPr>
    </w:p>
    <w:p w14:paraId="519CB4C2">
      <w:pPr>
        <w:ind w:firstLine="422" w:firstLineChars="200"/>
        <w:rPr>
          <w:rFonts w:hint="default" w:ascii="Times New Roman" w:hAnsi="Times New Roman" w:cs="Times New Roman"/>
          <w:color w:val="auto"/>
        </w:rPr>
      </w:pPr>
      <w:r>
        <w:rPr>
          <w:rFonts w:hint="default" w:ascii="Times New Roman" w:hAnsi="Times New Roman" w:cs="Times New Roman"/>
          <w:b/>
          <w:bCs/>
          <w:color w:val="auto"/>
        </w:rPr>
        <w:t>关键词</w:t>
      </w:r>
      <w:r>
        <w:rPr>
          <w:rFonts w:hint="default" w:ascii="Times New Roman" w:hAnsi="Times New Roman" w:cs="Times New Roman"/>
          <w:color w:val="auto"/>
        </w:rPr>
        <w:t>： 信息不对称；破产风险；文本分析；机器学习；并购重组；风险管理</w:t>
      </w:r>
    </w:p>
    <w:p w14:paraId="0C21DF9E">
      <w:pPr>
        <w:rPr>
          <w:rFonts w:hint="default" w:ascii="Times New Roman" w:hAnsi="Times New Roman" w:cs="Times New Roman"/>
          <w:color w:val="auto"/>
        </w:rPr>
      </w:pPr>
    </w:p>
    <w:p w14:paraId="40CF3E4C">
      <w:pPr>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Information Asymmetry and Bankruptcy Risk in Mergers and Acquisitions and Restructuring: Measurement and Empirical Research Based on Text Analysis and Machine Learning Methods</w:t>
      </w:r>
    </w:p>
    <w:p w14:paraId="1C4A726E">
      <w:pPr>
        <w:rPr>
          <w:rFonts w:hint="default" w:ascii="Times New Roman" w:hAnsi="Times New Roman" w:cs="Times New Roman"/>
          <w:color w:val="auto"/>
        </w:rPr>
      </w:pPr>
    </w:p>
    <w:p w14:paraId="2577F459">
      <w:pPr>
        <w:ind w:firstLine="422" w:firstLineChars="200"/>
        <w:rPr>
          <w:rFonts w:hint="default" w:ascii="Times New Roman" w:hAnsi="Times New Roman" w:cs="Times New Roman"/>
          <w:color w:val="auto"/>
        </w:rPr>
      </w:pPr>
      <w:r>
        <w:rPr>
          <w:rFonts w:hint="default" w:ascii="Times New Roman" w:hAnsi="Times New Roman" w:cs="Times New Roman"/>
          <w:b/>
          <w:bCs/>
          <w:color w:val="auto"/>
        </w:rPr>
        <w:t>Abstract</w:t>
      </w:r>
      <w:r>
        <w:rPr>
          <w:rFonts w:hint="default" w:ascii="Times New Roman" w:hAnsi="Times New Roman" w:cs="Times New Roman"/>
          <w:color w:val="auto"/>
        </w:rPr>
        <w:t xml:space="preserve">: This paper takes global merger and acquisition (M&amp;A) transactions from 1995 to 2023 as samples, and comprehensively employs text analysis and machine learning methods to construct an information asymmetry index from M&amp;A documents. It empirically examines the impact of this index on the post-M&amp;A bankruptcy risk of enterprises. The research finds that textual information asymmetry is significantly positively correlated with bankruptcy risk, and this conclusion remains valid after controlling for traditional financial variables and conducting a series of robustness tests. The machine learning model shows that textual features have significant incremental predictive power, effectively enhancing the accuracy and recall rate of bankruptcy risk identification. Mechanism analysis indicates that information asymmetry mainly increases bankruptcy risk through channels such as integration difficulties, unexpected liabilities, and cash flow deterioration. This effect is more pronounced in cross-industry M&amp;A and enterprises with poor information environments. This study provides new evidence for understanding information risks in M&amp;A and their economic consequences, and has implications for investor decision-making, corporate governance, and financial regulation. </w:t>
      </w:r>
    </w:p>
    <w:p w14:paraId="12B8A7BB">
      <w:pPr>
        <w:ind w:firstLine="420" w:firstLineChars="200"/>
        <w:rPr>
          <w:rFonts w:hint="default" w:ascii="Times New Roman" w:hAnsi="Times New Roman" w:cs="Times New Roman"/>
          <w:color w:val="auto"/>
        </w:rPr>
      </w:pPr>
    </w:p>
    <w:p w14:paraId="3A98ECD2">
      <w:pPr>
        <w:ind w:firstLine="422" w:firstLineChars="200"/>
        <w:rPr>
          <w:rFonts w:hint="default" w:ascii="Times New Roman" w:hAnsi="Times New Roman" w:cs="Times New Roman"/>
          <w:color w:val="auto"/>
        </w:rPr>
      </w:pPr>
      <w:r>
        <w:rPr>
          <w:rFonts w:hint="default" w:ascii="Times New Roman" w:hAnsi="Times New Roman" w:cs="Times New Roman"/>
          <w:b/>
          <w:bCs/>
          <w:color w:val="auto"/>
        </w:rPr>
        <w:t>Key words</w:t>
      </w:r>
      <w:r>
        <w:rPr>
          <w:rFonts w:hint="default" w:ascii="Times New Roman" w:hAnsi="Times New Roman" w:cs="Times New Roman"/>
          <w:color w:val="auto"/>
        </w:rPr>
        <w:t>: Information asymmetry; Bankruptcy risk; Text analysis; Machine learning; Mergers and acquisitions; Risk management</w:t>
      </w:r>
    </w:p>
    <w:p w14:paraId="76CE385C">
      <w:pPr>
        <w:rPr>
          <w:rFonts w:hint="default" w:ascii="Times New Roman" w:hAnsi="Times New Roman" w:cs="Times New Roman"/>
          <w:color w:val="auto"/>
        </w:rPr>
      </w:pPr>
    </w:p>
    <w:p w14:paraId="362ED75A">
      <w:pPr>
        <w:rPr>
          <w:rFonts w:hint="default" w:ascii="Times New Roman" w:hAnsi="Times New Roman" w:cs="Times New Roman"/>
          <w:color w:val="auto"/>
        </w:rPr>
      </w:pPr>
    </w:p>
    <w:p w14:paraId="5FCFD031">
      <w:pPr>
        <w:rPr>
          <w:rFonts w:hint="default" w:ascii="Times New Roman" w:hAnsi="Times New Roman" w:cs="Times New Roman"/>
          <w:color w:val="auto"/>
        </w:rPr>
      </w:pPr>
    </w:p>
    <w:sdt>
      <w:sdtPr>
        <w:rPr>
          <w:rFonts w:hint="default" w:ascii="Times New Roman" w:hAnsi="Times New Roman" w:eastAsia="宋体" w:cs="Times New Roman"/>
          <w:color w:val="auto"/>
          <w:kern w:val="2"/>
          <w:sz w:val="21"/>
          <w:szCs w:val="24"/>
          <w:lang w:val="en-US" w:eastAsia="zh-CN" w:bidi="ar-SA"/>
        </w:rPr>
        <w:id w:val="147468911"/>
        <w15:color w:val="DBDBDB"/>
        <w:docPartObj>
          <w:docPartGallery w:val="Table of Contents"/>
          <w:docPartUnique/>
        </w:docPartObj>
      </w:sdtPr>
      <w:sdtEndPr>
        <w:rPr>
          <w:rFonts w:hint="default" w:ascii="Times New Roman" w:hAnsi="Times New Roman" w:cs="Times New Roman" w:eastAsiaTheme="minorEastAsia"/>
          <w:color w:val="auto"/>
          <w:kern w:val="2"/>
          <w:sz w:val="21"/>
          <w:szCs w:val="24"/>
          <w:lang w:val="en-US" w:eastAsia="zh-CN" w:bidi="ar-SA"/>
        </w:rPr>
      </w:sdtEndPr>
      <w:sdtContent>
        <w:p w14:paraId="582A883C">
          <w:pPr>
            <w:spacing w:before="0" w:beforeLines="0" w:after="0" w:afterLines="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eastAsia="宋体" w:cs="Times New Roman"/>
              <w:sz w:val="21"/>
            </w:rPr>
            <w:t>目录</w:t>
          </w:r>
        </w:p>
        <w:p w14:paraId="532A001D">
          <w:pPr>
            <w:pStyle w:val="3"/>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TOC \o "1-3" \h \u </w:instrText>
          </w:r>
          <w:r>
            <w:rPr>
              <w:rFonts w:hint="default" w:ascii="Times New Roman" w:hAnsi="Times New Roman" w:cs="Times New Roman"/>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_Toc5923 </w:instrText>
          </w:r>
          <w:r>
            <w:rPr>
              <w:rFonts w:hint="default" w:ascii="Times New Roman" w:hAnsi="Times New Roman" w:cs="Times New Roman"/>
            </w:rPr>
            <w:fldChar w:fldCharType="separate"/>
          </w:r>
          <w:r>
            <w:rPr>
              <w:rFonts w:hint="default" w:ascii="Times New Roman" w:hAnsi="Times New Roman" w:eastAsia="黑体" w:cs="Times New Roman"/>
              <w:bCs/>
              <w:szCs w:val="32"/>
              <w:lang w:val="en-US" w:eastAsia="zh-CN"/>
            </w:rPr>
            <w:t>引言</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_Toc5923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32212879">
          <w:pPr>
            <w:pStyle w:val="3"/>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_Toc28045 </w:instrText>
          </w:r>
          <w:r>
            <w:rPr>
              <w:rFonts w:hint="default" w:ascii="Times New Roman" w:hAnsi="Times New Roman" w:cs="Times New Roman"/>
            </w:rPr>
            <w:fldChar w:fldCharType="separate"/>
          </w:r>
          <w:r>
            <w:rPr>
              <w:rFonts w:hint="default" w:ascii="Times New Roman" w:hAnsi="Times New Roman" w:eastAsia="黑体" w:cs="Times New Roman"/>
              <w:bCs/>
              <w:szCs w:val="32"/>
              <w:lang w:val="en-US" w:eastAsia="zh-CN"/>
            </w:rPr>
            <w:t>1.</w:t>
          </w:r>
          <w:r>
            <w:rPr>
              <w:rFonts w:hint="default" w:ascii="Times New Roman" w:hAnsi="Times New Roman" w:eastAsia="黑体" w:cs="Times New Roman"/>
              <w:bCs/>
              <w:szCs w:val="32"/>
            </w:rPr>
            <w:t>文献综述与理论框架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_Toc28045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0365C21C">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_Toc13411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1.1</w:t>
          </w:r>
          <w:r>
            <w:rPr>
              <w:rFonts w:hint="default" w:ascii="Times New Roman" w:hAnsi="Times New Roman" w:eastAsia="黑体" w:cs="Times New Roman"/>
              <w:szCs w:val="28"/>
            </w:rPr>
            <w:t>信息不对称与</w:t>
          </w:r>
          <w:r>
            <w:rPr>
              <w:rFonts w:hint="default" w:ascii="Times New Roman" w:hAnsi="Times New Roman" w:eastAsia="黑体" w:cs="Times New Roman"/>
              <w:szCs w:val="28"/>
              <w:lang w:val="en-US" w:eastAsia="zh-CN"/>
            </w:rPr>
            <w:t>并购</w:t>
          </w:r>
          <w:r>
            <w:rPr>
              <w:rFonts w:hint="default" w:ascii="Times New Roman" w:hAnsi="Times New Roman" w:eastAsia="黑体" w:cs="Times New Roman"/>
              <w:szCs w:val="28"/>
            </w:rPr>
            <w:t>研究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_Toc13411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52A2606A">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_Toc4179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1.2并购与破产风险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_Toc4179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0C61E0A8">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_Toc32534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1.3文本分析在金融领域的应用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_Toc32534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67D1FCC1">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_Toc12099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1.4研究评述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_Toc12099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4CB1AA11">
          <w:pPr>
            <w:pStyle w:val="3"/>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_Toc23754 </w:instrText>
          </w:r>
          <w:r>
            <w:rPr>
              <w:rFonts w:hint="default" w:ascii="Times New Roman" w:hAnsi="Times New Roman" w:cs="Times New Roman"/>
            </w:rPr>
            <w:fldChar w:fldCharType="separate"/>
          </w:r>
          <w:r>
            <w:rPr>
              <w:rFonts w:hint="default" w:ascii="Times New Roman" w:hAnsi="Times New Roman" w:eastAsia="黑体" w:cs="Times New Roman"/>
              <w:bCs/>
              <w:szCs w:val="32"/>
              <w:lang w:val="en-US" w:eastAsia="zh-CN"/>
            </w:rPr>
            <w:t>2.本文理论框架与研究假设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_Toc23754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68D04E49">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_Toc16317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2.1理论框架构建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_Toc16317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14AEB627">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_Toc9024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2.2研究假设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_Toc9024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16421B1E">
          <w:pPr>
            <w:pStyle w:val="3"/>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_Toc9940 </w:instrText>
          </w:r>
          <w:r>
            <w:rPr>
              <w:rFonts w:hint="default" w:ascii="Times New Roman" w:hAnsi="Times New Roman" w:cs="Times New Roman"/>
            </w:rPr>
            <w:fldChar w:fldCharType="separate"/>
          </w:r>
          <w:r>
            <w:rPr>
              <w:rFonts w:hint="default" w:ascii="Times New Roman" w:hAnsi="Times New Roman" w:eastAsia="黑体" w:cs="Times New Roman"/>
              <w:bCs/>
              <w:szCs w:val="32"/>
              <w:lang w:val="en-US" w:eastAsia="zh-CN"/>
            </w:rPr>
            <w:t>3.研究设计与数据处理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_Toc9940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5C743A7F">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_Toc22573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3.1数据来源与样本构建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_Toc22573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3B063271">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_Toc31894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3.1.1数据</w:t>
          </w:r>
          <w:r>
            <w:rPr>
              <w:rFonts w:hint="default" w:ascii="Times New Roman" w:hAnsi="Times New Roman" w:eastAsia="黑体" w:cs="Times New Roman"/>
            </w:rPr>
            <w:t>来源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_Toc31894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22817249">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_Toc24556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3.1.2样本描述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_Toc24556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7903FBCA">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_Toc5742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3.2关键变量定义与测度</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_Toc5742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43EDAAEF">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_Toc6860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3.2.1被解释变量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_Toc6860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3507EB27">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_Toc31155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3.2.2解释变量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_Toc31155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157DD060">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_Toc11755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3.2.3控制变量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_Toc11755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7A66481A">
          <w:pPr>
            <w:pStyle w:val="3"/>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_Toc8103 </w:instrText>
          </w:r>
          <w:r>
            <w:rPr>
              <w:rFonts w:hint="default" w:ascii="Times New Roman" w:hAnsi="Times New Roman" w:cs="Times New Roman"/>
            </w:rPr>
            <w:fldChar w:fldCharType="separate"/>
          </w:r>
          <w:r>
            <w:rPr>
              <w:rFonts w:hint="default" w:ascii="Times New Roman" w:hAnsi="Times New Roman" w:eastAsia="黑体" w:cs="Times New Roman"/>
              <w:bCs/>
              <w:szCs w:val="32"/>
              <w:lang w:val="en-US" w:eastAsia="zh-CN"/>
            </w:rPr>
            <w:t>4.实证模型设定</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_Toc8103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00B7BF46">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_Toc23479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4.1逻辑回归/生存分析模型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_Toc23479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12A15FED">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_Toc32367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4.2机器学习预测模型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_Toc32367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5EE2713D">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_Toc12673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4.2.1基准模型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_Toc12673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09FBA8D6">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_Toc9932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4.2.2对比模型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_Toc9932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2D6FCF7C">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_Toc15064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4.2.3模型评估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_Toc15064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5D70884D">
          <w:pPr>
            <w:pStyle w:val="3"/>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_Toc1182 </w:instrText>
          </w:r>
          <w:r>
            <w:rPr>
              <w:rFonts w:hint="default" w:ascii="Times New Roman" w:hAnsi="Times New Roman" w:cs="Times New Roman"/>
            </w:rPr>
            <w:fldChar w:fldCharType="separate"/>
          </w:r>
          <w:r>
            <w:rPr>
              <w:rFonts w:hint="default" w:ascii="Times New Roman" w:hAnsi="Times New Roman" w:eastAsia="黑体" w:cs="Times New Roman"/>
              <w:bCs/>
              <w:szCs w:val="32"/>
              <w:lang w:val="en-US" w:eastAsia="zh-CN"/>
            </w:rPr>
            <w:t>5.实证结果与分析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_Toc1182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494300A5">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_Toc12415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5.1描述性统计与相关性分析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_Toc12415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5D421881">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_Toc117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5.2基准回归结果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55AD1E25">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_Toc2099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5.2.1信息不对称与破产风险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_Toc2099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7BE4C380">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_Toc29378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5.2.2稳健性检验</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_Toc29378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5B397B1F">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_Toc13228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5.3机器学习预测结果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_Toc13228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309F3268">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_Toc7517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5.3.1模型性能对比</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_Toc7517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5A9E4238">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_Toc4205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5.3.2特征重要性分析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_Toc4205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3CCB89B9">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_Toc18050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5.3.3过拟合防范</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_Toc18050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3D77B6F1">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_Toc22377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5.4扩展性与异质性分析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_Toc22377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071B3174">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_Toc10353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5.4.1机制探索</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_Toc10353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0826D432">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_Toc4747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5.4.2异质性分析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_Toc4747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6D39C4E0">
          <w:pPr>
            <w:pStyle w:val="3"/>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_Toc17239 </w:instrText>
          </w:r>
          <w:r>
            <w:rPr>
              <w:rFonts w:hint="default" w:ascii="Times New Roman" w:hAnsi="Times New Roman" w:cs="Times New Roman"/>
            </w:rPr>
            <w:fldChar w:fldCharType="separate"/>
          </w:r>
          <w:r>
            <w:rPr>
              <w:rFonts w:hint="default" w:ascii="Times New Roman" w:hAnsi="Times New Roman" w:eastAsia="黑体" w:cs="Times New Roman"/>
              <w:bCs/>
              <w:szCs w:val="32"/>
              <w:lang w:val="en-US" w:eastAsia="zh-CN"/>
            </w:rPr>
            <w:t>6.结论与启示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_Toc17239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559E124D">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_Toc3989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6.1研究结论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_Toc3989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43D53260">
          <w:pPr>
            <w:pStyle w:val="4"/>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_Toc19239 </w:instrText>
          </w:r>
          <w:r>
            <w:rPr>
              <w:rFonts w:hint="default" w:ascii="Times New Roman" w:hAnsi="Times New Roman" w:cs="Times New Roman"/>
            </w:rPr>
            <w:fldChar w:fldCharType="separate"/>
          </w:r>
          <w:r>
            <w:rPr>
              <w:rFonts w:hint="default" w:ascii="Times New Roman" w:hAnsi="Times New Roman" w:eastAsia="黑体" w:cs="Times New Roman"/>
              <w:szCs w:val="28"/>
              <w:lang w:val="en-US" w:eastAsia="zh-CN"/>
            </w:rPr>
            <w:t>6.2政策与实务启示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_Toc19239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44862FDC">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_Toc17149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6.2.1对投资者的启示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_Toc17149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6232A179">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_Toc31113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6.2.2对企业管理层的启示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_Toc31113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0AA76CD0">
          <w:pPr>
            <w:pStyle w:val="2"/>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_Toc25263 </w:instrText>
          </w:r>
          <w:r>
            <w:rPr>
              <w:rFonts w:hint="default" w:ascii="Times New Roman" w:hAnsi="Times New Roman" w:cs="Times New Roman"/>
            </w:rPr>
            <w:fldChar w:fldCharType="separate"/>
          </w:r>
          <w:r>
            <w:rPr>
              <w:rFonts w:hint="default" w:ascii="Times New Roman" w:hAnsi="Times New Roman" w:eastAsia="黑体" w:cs="Times New Roman"/>
              <w:lang w:val="en-US" w:eastAsia="zh-CN"/>
            </w:rPr>
            <w:t>6.2.3对监管机构的启示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_Toc25263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0DBA6256">
          <w:pPr>
            <w:pStyle w:val="3"/>
            <w:tabs>
              <w:tab w:val="right" w:leader="dot" w:pos="8306"/>
            </w:tabs>
            <w:rPr>
              <w:rFonts w:hint="default" w:ascii="Times New Roman" w:hAnsi="Times New Roman" w:cs="Times New Roman"/>
            </w:rPr>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_Toc3089 </w:instrText>
          </w:r>
          <w:r>
            <w:rPr>
              <w:rFonts w:hint="default" w:ascii="Times New Roman" w:hAnsi="Times New Roman" w:cs="Times New Roman"/>
            </w:rPr>
            <w:fldChar w:fldCharType="separate"/>
          </w:r>
          <w:r>
            <w:rPr>
              <w:rFonts w:hint="default" w:ascii="Times New Roman" w:hAnsi="Times New Roman" w:eastAsia="黑体" w:cs="Times New Roman"/>
              <w:bCs/>
              <w:szCs w:val="32"/>
              <w:lang w:val="en-US" w:eastAsia="zh-CN"/>
            </w:rPr>
            <w:t>参考文献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_Toc3089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color w:val="auto"/>
            </w:rPr>
            <w:fldChar w:fldCharType="end"/>
          </w:r>
        </w:p>
        <w:p w14:paraId="64CB2B28">
          <w:pPr>
            <w:rPr>
              <w:rFonts w:hint="default" w:ascii="Times New Roman" w:hAnsi="Times New Roman" w:cs="Times New Roman" w:eastAsiaTheme="minorEastAsia"/>
              <w:color w:val="auto"/>
              <w:kern w:val="2"/>
              <w:sz w:val="21"/>
              <w:szCs w:val="24"/>
              <w:lang w:val="en-US" w:eastAsia="zh-CN" w:bidi="ar-SA"/>
            </w:rPr>
          </w:pPr>
          <w:r>
            <w:rPr>
              <w:rFonts w:hint="default" w:ascii="Times New Roman" w:hAnsi="Times New Roman" w:cs="Times New Roman"/>
              <w:color w:val="auto"/>
            </w:rPr>
            <w:fldChar w:fldCharType="end"/>
          </w:r>
        </w:p>
      </w:sdtContent>
    </w:sdt>
    <w:p w14:paraId="33E88838">
      <w:pPr>
        <w:rPr>
          <w:rFonts w:hint="default" w:ascii="Times New Roman" w:hAnsi="Times New Roman" w:cs="Times New Roman"/>
          <w:color w:val="auto"/>
        </w:rPr>
      </w:pPr>
      <w:bookmarkStart w:id="42" w:name="_GoBack"/>
      <w:bookmarkEnd w:id="42"/>
    </w:p>
    <w:p w14:paraId="3E15CAC9">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eastAsia="黑体" w:cs="Times New Roman"/>
          <w:b/>
          <w:bCs/>
          <w:color w:val="auto"/>
          <w:sz w:val="32"/>
          <w:szCs w:val="32"/>
          <w:lang w:val="en-US" w:eastAsia="zh-CN"/>
        </w:rPr>
      </w:pPr>
      <w:bookmarkStart w:id="0" w:name="_Toc5923"/>
      <w:r>
        <w:rPr>
          <w:rFonts w:hint="default" w:ascii="Times New Roman" w:hAnsi="Times New Roman" w:eastAsia="黑体" w:cs="Times New Roman"/>
          <w:b/>
          <w:bCs/>
          <w:color w:val="auto"/>
          <w:sz w:val="32"/>
          <w:szCs w:val="32"/>
          <w:lang w:val="en-US" w:eastAsia="zh-CN"/>
        </w:rPr>
        <w:t>引言</w:t>
      </w:r>
      <w:bookmarkEnd w:id="0"/>
    </w:p>
    <w:p w14:paraId="4742BB78">
      <w:pPr>
        <w:rPr>
          <w:rFonts w:hint="default" w:ascii="Times New Roman" w:hAnsi="Times New Roman" w:cs="Times New Roman"/>
          <w:color w:val="auto"/>
        </w:rPr>
      </w:pPr>
      <w:r>
        <w:rPr>
          <w:rFonts w:hint="default" w:ascii="Times New Roman" w:hAnsi="Times New Roman" w:cs="Times New Roman"/>
          <w:color w:val="auto"/>
        </w:rPr>
        <w:t>研究背景与现实意义</w:t>
      </w:r>
    </w:p>
    <w:p w14:paraId="4C9D19BB">
      <w:pPr>
        <w:ind w:firstLine="420" w:firstLineChars="200"/>
        <w:rPr>
          <w:rFonts w:hint="default" w:ascii="Times New Roman" w:hAnsi="Times New Roman" w:cs="Times New Roman"/>
          <w:color w:val="auto"/>
        </w:rPr>
      </w:pPr>
      <w:r>
        <w:rPr>
          <w:rFonts w:hint="default" w:ascii="Times New Roman" w:hAnsi="Times New Roman" w:cs="Times New Roman"/>
          <w:color w:val="auto"/>
        </w:rPr>
        <w:t>并购重组作为企业实现外延式增长与战略转型的核心手段，在全球资本市场中持续活跃，然而其高失败率始终是理论与实践界关注的焦点。大量案例表明，信息不对称是导致并购后整合困难、协同效应不及预期乃至交易最终失败的关键诱因。传统上，投资者与研究者主要依赖财务报告与市场数据等结构化信息来评估交易风险，但并购协议、尽职调查报告与监管问询函等非结构化文本中蕴含的语义模糊性、风险倾向与不确定性信息往往被忽视，这构成了风险评估体系中的一个重大盲区。在数字化时代，企业信息环境日趋复杂，文本数据的规模与影响力急剧提升，如何从海量文本中精准提取风险信号并量化其经济后果，已成为公司金融与风险管理领域亟待解决的重要课题。因此，本研究具有深刻的现实意义：一方面，它为投资者与监管机构识别并购交易中的潜在“信息陷阱”提供了创新性的分析工具与决策支持；另一方面，它为企业管理层优化信息披露质量、审慎评估并购风险提供了理论依据与实践指引。</w:t>
      </w:r>
    </w:p>
    <w:p w14:paraId="54BD3592">
      <w:pPr>
        <w:rPr>
          <w:rFonts w:hint="default" w:ascii="Times New Roman" w:hAnsi="Times New Roman" w:cs="Times New Roman"/>
          <w:color w:val="auto"/>
        </w:rPr>
      </w:pPr>
      <w:r>
        <w:rPr>
          <w:rFonts w:hint="default" w:ascii="Times New Roman" w:hAnsi="Times New Roman" w:cs="Times New Roman"/>
          <w:color w:val="auto"/>
        </w:rPr>
        <w:t>研究问题的提出</w:t>
      </w:r>
    </w:p>
    <w:p w14:paraId="0BEFC62F">
      <w:pPr>
        <w:ind w:firstLine="420" w:firstLineChars="200"/>
        <w:rPr>
          <w:rFonts w:hint="default" w:ascii="Times New Roman" w:hAnsi="Times New Roman" w:cs="Times New Roman"/>
          <w:color w:val="auto"/>
        </w:rPr>
      </w:pPr>
      <w:r>
        <w:rPr>
          <w:rFonts w:hint="default" w:ascii="Times New Roman" w:hAnsi="Times New Roman" w:cs="Times New Roman"/>
          <w:color w:val="auto"/>
        </w:rPr>
        <w:t>基于上述背景，本研究旨在系统探讨并购重组中文本信息不对称对破产风险的作用机制与预测价值，并由此提出三个层层递进的核心研究问题。</w:t>
      </w:r>
    </w:p>
    <w:p w14:paraId="2F366C75">
      <w:pPr>
        <w:ind w:firstLine="420" w:firstLineChars="200"/>
        <w:rPr>
          <w:rFonts w:hint="default" w:ascii="Times New Roman" w:hAnsi="Times New Roman" w:cs="Times New Roman"/>
          <w:color w:val="auto"/>
        </w:rPr>
      </w:pPr>
      <w:r>
        <w:rPr>
          <w:rFonts w:hint="default" w:ascii="Times New Roman" w:hAnsi="Times New Roman" w:cs="Times New Roman"/>
          <w:color w:val="auto"/>
        </w:rPr>
        <w:t>首先，在有效控制企业财务特征、交易结构与宏观环境等因素后，基于并购文件文本分析所构建的信息不对称指数是否与并购后企业的破产风险呈现显著的正相关关系？这一问题旨在确立文本信息不对称与长期极端风险之间的基础因果关系。</w:t>
      </w:r>
    </w:p>
    <w:p w14:paraId="189C5E63">
      <w:pPr>
        <w:ind w:firstLine="420" w:firstLineChars="200"/>
        <w:rPr>
          <w:rFonts w:hint="default" w:ascii="Times New Roman" w:hAnsi="Times New Roman" w:cs="Times New Roman"/>
          <w:color w:val="auto"/>
        </w:rPr>
      </w:pPr>
      <w:r>
        <w:rPr>
          <w:rFonts w:hint="default" w:ascii="Times New Roman" w:hAnsi="Times New Roman" w:cs="Times New Roman"/>
          <w:color w:val="auto"/>
        </w:rPr>
        <w:t>其次，文本信息在预测破产风险方面，是否能够提供独立于传统财务比率与市场指标的增量信息，其预测效能是否显著优于传统模型？该问题聚焦于方法论创新，检验文本分析在风险预测中的比较优势。</w:t>
      </w:r>
    </w:p>
    <w:p w14:paraId="56141DAF">
      <w:pPr>
        <w:ind w:firstLine="420" w:firstLineChars="200"/>
        <w:rPr>
          <w:rFonts w:hint="default" w:ascii="Times New Roman" w:hAnsi="Times New Roman" w:cs="Times New Roman"/>
          <w:color w:val="auto"/>
        </w:rPr>
      </w:pPr>
      <w:r>
        <w:rPr>
          <w:rFonts w:hint="default" w:ascii="Times New Roman" w:hAnsi="Times New Roman" w:cs="Times New Roman"/>
          <w:color w:val="auto"/>
        </w:rPr>
        <w:t>最后，信息不对称对破产风险的负面影响是否在特定的交易情境（如跨行业并购、非关联交易）与企业特质（如信息环境较差、融资约束较高）下表现得更为突出？此问题致力于揭示上述关系的边界条件与异质性特征，从而深化对风险传导情境的理解。</w:t>
      </w:r>
    </w:p>
    <w:p w14:paraId="1DE30F8C">
      <w:pPr>
        <w:rPr>
          <w:rFonts w:hint="default" w:ascii="Times New Roman" w:hAnsi="Times New Roman" w:cs="Times New Roman"/>
          <w:color w:val="auto"/>
        </w:rPr>
      </w:pPr>
      <w:r>
        <w:rPr>
          <w:rFonts w:hint="default" w:ascii="Times New Roman" w:hAnsi="Times New Roman" w:cs="Times New Roman"/>
          <w:color w:val="auto"/>
        </w:rPr>
        <w:t>研究贡献</w:t>
      </w:r>
    </w:p>
    <w:p w14:paraId="3F7FBFCA">
      <w:pPr>
        <w:ind w:firstLine="420" w:firstLineChars="200"/>
        <w:rPr>
          <w:rFonts w:hint="default" w:ascii="Times New Roman" w:hAnsi="Times New Roman" w:cs="Times New Roman"/>
          <w:color w:val="auto"/>
        </w:rPr>
      </w:pPr>
      <w:r>
        <w:rPr>
          <w:rFonts w:hint="default" w:ascii="Times New Roman" w:hAnsi="Times New Roman" w:cs="Times New Roman"/>
          <w:color w:val="auto"/>
        </w:rPr>
        <w:t>本研究的贡献体现在理论创新、方法创新与实证贡献三个维度。在理论层面，本文构建并验证了一个“文本信息不对称→整合困难与未预期负债→现金流恶化→破产风险上升”的中介传导框架，首次将文本信息这一非传统因素系统性地嵌入并购破产风险的成因分析中，弥补了现有理论在连接微观信息环境与宏观财务后果方面的解释空白。在方法层面，本研究超越了依赖词典法的传统文本分析，综合运用了基于预训练模型的语义相似度计算、自定义金融风险词典以及多种机器学习算法，构建了一个更为精准、稳健的文本信息不对称综合测度体系，为后续金融文本研究提供了方法范本。在实证贡献层面，本研究不仅提供了文本信息不对称会显著提升企业长期破产风险的因果证据，还通过严谨的机制检验与异质性分析，揭示了其作用渠道与适用边界，为投资者、企业及监管机构的精准风险识别与差异化监管提供了直接的经验依据。</w:t>
      </w:r>
    </w:p>
    <w:p w14:paraId="12ED5ED0">
      <w:pPr>
        <w:rPr>
          <w:rFonts w:hint="default" w:ascii="Times New Roman" w:hAnsi="Times New Roman" w:cs="Times New Roman"/>
          <w:color w:val="auto"/>
        </w:rPr>
      </w:pPr>
      <w:r>
        <w:rPr>
          <w:rFonts w:hint="default" w:ascii="Times New Roman" w:hAnsi="Times New Roman" w:cs="Times New Roman"/>
          <w:color w:val="auto"/>
        </w:rPr>
        <w:t>论文结构安排</w:t>
      </w:r>
    </w:p>
    <w:p w14:paraId="621BC448">
      <w:pPr>
        <w:ind w:firstLine="420" w:firstLineChars="200"/>
        <w:rPr>
          <w:rFonts w:hint="default" w:ascii="Times New Roman" w:hAnsi="Times New Roman" w:cs="Times New Roman"/>
          <w:color w:val="auto"/>
        </w:rPr>
      </w:pPr>
      <w:r>
        <w:rPr>
          <w:rFonts w:hint="default" w:ascii="Times New Roman" w:hAnsi="Times New Roman" w:cs="Times New Roman"/>
          <w:color w:val="auto"/>
        </w:rPr>
        <w:t>本文的结构安排如下：第一部分为引言，阐述研究背景、意义、核心问题与主要贡献。第二部分为文献综述与理论框架，系统梳理信息不对称、并购风险与文本分析的相关研究，并在此基础上提出本文的理论假设。第三部分为研究设计，详细说明数据来源、样本构建流程、关键变量（包括文本信息不对称指数与破产风险）的测度方法以及所采用的实证模型（逻辑回归、生存分析与机器学习模型）。第四部分为实证结果与分析，依次汇报描述性统计、基准回归、稳健性检验、机器学习预测结果、机制探索与异质性分析。第五部分为结论与启示，总结全文研究发现，并分别针对投资者、企业管理层与监管机构提出具体的实践建议与政策启示。</w:t>
      </w:r>
    </w:p>
    <w:p w14:paraId="35F2A522">
      <w:pPr>
        <w:rPr>
          <w:rFonts w:hint="default" w:ascii="Times New Roman" w:hAnsi="Times New Roman" w:cs="Times New Roman"/>
          <w:color w:val="auto"/>
        </w:rPr>
      </w:pPr>
    </w:p>
    <w:p w14:paraId="6CAC5D5A">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eastAsia="黑体" w:cs="Times New Roman"/>
          <w:b/>
          <w:bCs/>
          <w:color w:val="auto"/>
          <w:sz w:val="32"/>
          <w:szCs w:val="32"/>
        </w:rPr>
      </w:pPr>
      <w:bookmarkStart w:id="1" w:name="_Toc28045"/>
      <w:r>
        <w:rPr>
          <w:rFonts w:hint="default" w:ascii="Times New Roman" w:hAnsi="Times New Roman" w:eastAsia="黑体" w:cs="Times New Roman"/>
          <w:b/>
          <w:bCs/>
          <w:color w:val="auto"/>
          <w:sz w:val="32"/>
          <w:szCs w:val="32"/>
          <w:lang w:val="en-US" w:eastAsia="zh-CN"/>
        </w:rPr>
        <w:t>1.</w:t>
      </w:r>
      <w:r>
        <w:rPr>
          <w:rFonts w:hint="default" w:ascii="Times New Roman" w:hAnsi="Times New Roman" w:eastAsia="黑体" w:cs="Times New Roman"/>
          <w:b/>
          <w:bCs/>
          <w:color w:val="auto"/>
          <w:sz w:val="32"/>
          <w:szCs w:val="32"/>
        </w:rPr>
        <w:t>文献综述与理论框架</w:t>
      </w:r>
      <w:bookmarkEnd w:id="1"/>
    </w:p>
    <w:p w14:paraId="5AAC5264">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rPr>
      </w:pPr>
      <w:bookmarkStart w:id="2" w:name="_Toc13411"/>
      <w:r>
        <w:rPr>
          <w:rFonts w:hint="default" w:ascii="Times New Roman" w:hAnsi="Times New Roman" w:eastAsia="黑体" w:cs="Times New Roman"/>
          <w:color w:val="auto"/>
          <w:sz w:val="28"/>
          <w:szCs w:val="28"/>
          <w:lang w:val="en-US" w:eastAsia="zh-CN"/>
        </w:rPr>
        <w:t>1.1</w:t>
      </w:r>
      <w:r>
        <w:rPr>
          <w:rFonts w:hint="default" w:ascii="Times New Roman" w:hAnsi="Times New Roman" w:eastAsia="黑体" w:cs="Times New Roman"/>
          <w:color w:val="auto"/>
          <w:sz w:val="28"/>
          <w:szCs w:val="28"/>
        </w:rPr>
        <w:t>信息不对称与</w:t>
      </w:r>
      <w:r>
        <w:rPr>
          <w:rFonts w:hint="default" w:ascii="Times New Roman" w:hAnsi="Times New Roman" w:eastAsia="黑体" w:cs="Times New Roman"/>
          <w:color w:val="auto"/>
          <w:sz w:val="28"/>
          <w:szCs w:val="28"/>
          <w:lang w:val="en-US" w:eastAsia="zh-CN"/>
        </w:rPr>
        <w:t>并购</w:t>
      </w:r>
      <w:r>
        <w:rPr>
          <w:rFonts w:hint="default" w:ascii="Times New Roman" w:hAnsi="Times New Roman" w:eastAsia="黑体" w:cs="Times New Roman"/>
          <w:color w:val="auto"/>
          <w:sz w:val="28"/>
          <w:szCs w:val="28"/>
        </w:rPr>
        <w:t>研究</w:t>
      </w:r>
      <w:bookmarkEnd w:id="2"/>
    </w:p>
    <w:p w14:paraId="79D2A6EF">
      <w:pPr>
        <w:ind w:firstLine="420" w:firstLineChars="200"/>
        <w:rPr>
          <w:rFonts w:hint="default" w:ascii="Times New Roman" w:hAnsi="Times New Roman" w:cs="Times New Roman"/>
          <w:color w:val="auto"/>
        </w:rPr>
      </w:pPr>
      <w:r>
        <w:rPr>
          <w:rFonts w:hint="default" w:ascii="Times New Roman" w:hAnsi="Times New Roman" w:cs="Times New Roman"/>
          <w:color w:val="auto"/>
        </w:rPr>
        <w:t>信息不对称是并购交易中的核心问题，深刻影响着交易定价、融资结构及并购后整合成效。传统研究主要依赖市场数据和财务指标来测度信息不对称，例如采用买卖价差[3]、分析师预测分歧[4]或会计信息质量[7]等作为代理变量。这些方法虽然奠定了理论基础，但存在明显局限：它们多为间接测度，无法直接捕捉并购交易双方在特定私有信息上的认知差异，尤其难以量化存在于管理层讨论、风险披露及合同条款中的软性信息。例如，在涉及估值调整机制（VAM）或复杂或有对价支付的交易中，传统财务指标往往无法充分反映协议文本中蕴含的未来不确定性风险[2][6]。</w:t>
      </w:r>
    </w:p>
    <w:p w14:paraId="657F0D92">
      <w:pPr>
        <w:ind w:firstLine="420" w:firstLineChars="200"/>
        <w:rPr>
          <w:rFonts w:hint="default" w:ascii="Times New Roman" w:hAnsi="Times New Roman" w:cs="Times New Roman"/>
          <w:color w:val="auto"/>
        </w:rPr>
      </w:pPr>
      <w:r>
        <w:rPr>
          <w:rFonts w:hint="default" w:ascii="Times New Roman" w:hAnsi="Times New Roman" w:cs="Times New Roman"/>
          <w:color w:val="auto"/>
        </w:rPr>
        <w:t>为克服上述局限，近期研究开始探索文本分析方法在并购领域的应用。通过解析并购公告、管理层讨论与分析（MD&amp;A）以及并购协议（S-4文件）等文本，学者们能够更直接地度量语言复杂性、语调模糊性及风险披露倾向，从而构建更精细的信息不对称指标[5][9]。例如，基于Loughran-McDonald金融情感词典扩展构建的不确定性词汇词典，可以有效识别文件中对未来事件描述的模糊程度[5]。然而，现有文本研究多侧重于公告的短期市场反应，对信息不对称如何通过影响并购后整合进程进而作用于公司长期财务健康状况（尤其是破产风险）的传导机制，尚缺乏系统性的实证检验。本文旨在弥补这一空白，通过构建一个综合性的文本信息不对称指数，深入分析其在并购全周期中的长期经济后果。</w:t>
      </w:r>
    </w:p>
    <w:p w14:paraId="3F6DBEBA">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lang w:val="en-US" w:eastAsia="zh-CN"/>
        </w:rPr>
      </w:pPr>
      <w:bookmarkStart w:id="3" w:name="_Toc4179"/>
      <w:r>
        <w:rPr>
          <w:rFonts w:hint="default" w:ascii="Times New Roman" w:hAnsi="Times New Roman" w:eastAsia="黑体" w:cs="Times New Roman"/>
          <w:color w:val="auto"/>
          <w:sz w:val="28"/>
          <w:szCs w:val="28"/>
          <w:lang w:val="en-US" w:eastAsia="zh-CN"/>
        </w:rPr>
        <w:t>1.2</w:t>
      </w:r>
      <w:r>
        <w:rPr>
          <w:rFonts w:hint="default" w:ascii="Times New Roman" w:hAnsi="Times New Roman" w:eastAsia="黑体" w:cs="Times New Roman"/>
          <w:color w:val="auto"/>
          <w:sz w:val="28"/>
          <w:szCs w:val="28"/>
          <w:lang w:val="en-US" w:eastAsia="zh-CN"/>
        </w:rPr>
        <w:t>并购与破产风险</w:t>
      </w:r>
      <w:bookmarkEnd w:id="3"/>
    </w:p>
    <w:p w14:paraId="4F5500AA">
      <w:pPr>
        <w:ind w:firstLine="420" w:firstLineChars="200"/>
        <w:rPr>
          <w:rFonts w:hint="default" w:ascii="Times New Roman" w:hAnsi="Times New Roman" w:cs="Times New Roman"/>
          <w:color w:val="auto"/>
        </w:rPr>
      </w:pPr>
      <w:r>
        <w:rPr>
          <w:rFonts w:hint="default" w:ascii="Times New Roman" w:hAnsi="Times New Roman" w:cs="Times New Roman"/>
          <w:color w:val="auto"/>
        </w:rPr>
        <w:t>并购活动与破产风险之间存在复杂的关联。一方面，并购可能通过协同效应、多元化经营和市场势力增强来提升企业价值，从而降低破产风险。但另一方面，激进的并购策略，特别是高杠杆、高溢价和跨界并购，也可能成为财务困境的导火索。现有实证研究证实，过高的并购溢价、激进的融资方式（如杠杆收购）以及不佳的事后整合是导致并购后业绩下滑乃至财务危机的重要因素[4][13]。当并购未能产生预期协同效应反而拖累主营业务现金流时，企业偿债能力将受到严峻考验，破产风险随之上升[7][10]。</w:t>
      </w:r>
    </w:p>
    <w:p w14:paraId="005A4110">
      <w:pPr>
        <w:ind w:firstLine="420" w:firstLineChars="200"/>
        <w:rPr>
          <w:rFonts w:hint="default" w:ascii="Times New Roman" w:hAnsi="Times New Roman" w:cs="Times New Roman"/>
          <w:color w:val="auto"/>
        </w:rPr>
      </w:pPr>
      <w:r>
        <w:rPr>
          <w:rFonts w:hint="default" w:ascii="Times New Roman" w:hAnsi="Times New Roman" w:cs="Times New Roman"/>
          <w:color w:val="auto"/>
        </w:rPr>
        <w:t>然而，关于并购与破产风险的直接研究仍存在明显空白。首先，多数研究聚焦于并购的短期市场绩效（如公告效应）或中期会计绩效（如ROA变化），对并购引致极端财务后果（即破产）的长期跟踪研究相对匮乏[13][19]。其次，现有文献在探讨并购失败原因时，多归因于显性的财务因素（如杠杆过高、溢价过多）或战略因素（如行业相关性），却相对忽视了信息不对称这一隐性但关键的前置驱动因素。信息不对称可能导致收购方低估整合难度、高估协同效应或未能发现隐性负债，这些未预期的问题在并购后逐渐暴露，最终通过现金流恶化路径将企业推向破产边缘[1][4]。本文试图构建一个连接“信息不对称→整合困难/未预期负债→现金流恶化→破产风险”的完整传导框架，以弥补现有理论在机制阐释上的不足。</w:t>
      </w:r>
    </w:p>
    <w:p w14:paraId="363029D1">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lang w:val="en-US" w:eastAsia="zh-CN"/>
        </w:rPr>
      </w:pPr>
      <w:bookmarkStart w:id="4" w:name="_Toc32534"/>
      <w:r>
        <w:rPr>
          <w:rFonts w:hint="default" w:ascii="Times New Roman" w:hAnsi="Times New Roman" w:eastAsia="黑体" w:cs="Times New Roman"/>
          <w:color w:val="auto"/>
          <w:sz w:val="28"/>
          <w:szCs w:val="28"/>
          <w:lang w:val="en-US" w:eastAsia="zh-CN"/>
        </w:rPr>
        <w:t>1.3</w:t>
      </w:r>
      <w:r>
        <w:rPr>
          <w:rFonts w:hint="default" w:ascii="Times New Roman" w:hAnsi="Times New Roman" w:eastAsia="黑体" w:cs="Times New Roman"/>
          <w:color w:val="auto"/>
          <w:sz w:val="28"/>
          <w:szCs w:val="28"/>
          <w:lang w:val="en-US" w:eastAsia="zh-CN"/>
        </w:rPr>
        <w:t>文本分析在金融领域的应用</w:t>
      </w:r>
      <w:bookmarkEnd w:id="4"/>
    </w:p>
    <w:p w14:paraId="2AFB6AFE">
      <w:pPr>
        <w:ind w:firstLine="420" w:firstLineChars="200"/>
        <w:rPr>
          <w:rFonts w:hint="default" w:ascii="Times New Roman" w:hAnsi="Times New Roman" w:cs="Times New Roman"/>
          <w:color w:val="auto"/>
        </w:rPr>
      </w:pPr>
      <w:r>
        <w:rPr>
          <w:rFonts w:hint="default" w:ascii="Times New Roman" w:hAnsi="Times New Roman" w:cs="Times New Roman"/>
          <w:color w:val="auto"/>
        </w:rPr>
        <w:t>文本分析在金融领域的应用已从边缘探索迅速发展为核心研究方法论。其演变历程大致经历了从词典法到机器学习，再到深度学习模型的演进。早期研究主要依赖于预定义词典（如Loughran-McDonald金融情感词典）进行词频统计和情感分析，用以衡量公司年报、新闻公告中的语调、不确定性和风险倾向[5][9]。这种方法虽透明可解释，但难以捕捉词语的上下文语境和复杂语义。随后，主题模型（如LDA）被引入，用于从大量文本中自动识别和提取潜在风险主题，为理解公司披露信息的深层内容结构提供了新视角[11][15]。</w:t>
      </w:r>
    </w:p>
    <w:p w14:paraId="6E262A3E">
      <w:pPr>
        <w:ind w:firstLine="420" w:firstLineChars="200"/>
        <w:rPr>
          <w:rFonts w:hint="default" w:ascii="Times New Roman" w:hAnsi="Times New Roman" w:cs="Times New Roman"/>
          <w:color w:val="auto"/>
        </w:rPr>
      </w:pPr>
      <w:r>
        <w:rPr>
          <w:rFonts w:hint="default" w:ascii="Times New Roman" w:hAnsi="Times New Roman" w:cs="Times New Roman"/>
          <w:color w:val="auto"/>
        </w:rPr>
        <w:t>近年来，随着自然语言处理（NLP）技术的突破，基于预训练模型（如BERT、RoBERTa）的深度学习方法开始崭露头角。这些模型能够更精准地理解金融文本的复杂语义和细微差别，例如，识别出在特定合同条款中“可能”一词所表达的或然性强度[18][20]。同时，图神经网络（GNN）等新兴技术也被用于分析企业间关联文本所构成的复杂网络，以评估风险传染效应[18]。然而，尽管文本分析方法日益精进，其在并购破产风险这一特定场景的应用仍处于起步阶段。现有应用多集中于市场层面的情感分析或公司层面的总体风险披露，而专门针对并购交易文件（如并购协议、整合计划）进行文本解析，并系统性地将其与并购后长期破产风险相关联的研究尚不多见。本文的研究旨在推动该方法的应用边界，通过综合运用传统词典法与前沿的BERT模型，精确测度并购特定语境下的信息不对称，并验证其对破产风险的增量解释与预测能力。</w:t>
      </w:r>
    </w:p>
    <w:p w14:paraId="52AF251F">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lang w:val="en-US" w:eastAsia="zh-CN"/>
        </w:rPr>
      </w:pPr>
      <w:bookmarkStart w:id="5" w:name="_Toc12099"/>
      <w:r>
        <w:rPr>
          <w:rFonts w:hint="default" w:ascii="Times New Roman" w:hAnsi="Times New Roman" w:eastAsia="黑体" w:cs="Times New Roman"/>
          <w:color w:val="auto"/>
          <w:sz w:val="28"/>
          <w:szCs w:val="28"/>
          <w:lang w:val="en-US" w:eastAsia="zh-CN"/>
        </w:rPr>
        <w:t>1.4研究评述</w:t>
      </w:r>
      <w:bookmarkEnd w:id="5"/>
    </w:p>
    <w:p w14:paraId="3221AEA3">
      <w:pPr>
        <w:ind w:firstLine="420" w:firstLineChars="200"/>
        <w:rPr>
          <w:rFonts w:hint="default" w:ascii="Times New Roman" w:hAnsi="Times New Roman" w:cs="Times New Roman"/>
          <w:color w:val="auto"/>
        </w:rPr>
      </w:pPr>
      <w:r>
        <w:rPr>
          <w:rFonts w:hint="default" w:ascii="Times New Roman" w:hAnsi="Times New Roman" w:cs="Times New Roman"/>
          <w:color w:val="auto"/>
        </w:rPr>
        <w:t>现有研究在信息不对称测度上多依赖市场或财务代理变量，难以精准捕捉并购文本中隐含的语义模糊性与认知差异；在并购与破产风险的关联机制探讨中，则普遍忽视了信息不对称作为关键前置驱动因素的核心作用，且缺乏对“文本信息→整合困难→现金流恶化→破产”这一完整传导路径的实证检验；同时，尽管文本分析方法已在金融领域广泛应用，但其与机器学习技术的结合尚未系统性地服务于并购长期破产风险的度量与预测，导致该领域存在理论认知与实证方法上的双重空白。因此，本文基于文本分析与机器学习方法，旨在构建并购文件中的信息不对称综合指数，实证检验其对破产风险的影响机制与预测效能，以弥补现有研究的不足。</w:t>
      </w:r>
    </w:p>
    <w:p w14:paraId="35D6B641">
      <w:pPr>
        <w:rPr>
          <w:rFonts w:hint="default" w:ascii="Times New Roman" w:hAnsi="Times New Roman" w:cs="Times New Roman"/>
          <w:color w:val="auto"/>
        </w:rPr>
      </w:pPr>
    </w:p>
    <w:p w14:paraId="04D93BC7">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eastAsia="黑体" w:cs="Times New Roman"/>
          <w:b/>
          <w:bCs/>
          <w:color w:val="auto"/>
          <w:sz w:val="32"/>
          <w:szCs w:val="32"/>
          <w:lang w:val="en-US" w:eastAsia="zh-CN"/>
        </w:rPr>
      </w:pPr>
      <w:bookmarkStart w:id="6" w:name="_Toc23754"/>
      <w:r>
        <w:rPr>
          <w:rFonts w:hint="default" w:ascii="Times New Roman" w:hAnsi="Times New Roman" w:eastAsia="黑体" w:cs="Times New Roman"/>
          <w:b/>
          <w:bCs/>
          <w:color w:val="auto"/>
          <w:sz w:val="32"/>
          <w:szCs w:val="32"/>
          <w:lang w:val="en-US" w:eastAsia="zh-CN"/>
        </w:rPr>
        <w:t>2.本文理论框架与研究假设</w:t>
      </w:r>
      <w:bookmarkEnd w:id="6"/>
    </w:p>
    <w:p w14:paraId="26F2992C">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lang w:val="en-US" w:eastAsia="zh-CN"/>
        </w:rPr>
      </w:pPr>
      <w:bookmarkStart w:id="7" w:name="_Toc16317"/>
      <w:r>
        <w:rPr>
          <w:rFonts w:hint="default" w:ascii="Times New Roman" w:hAnsi="Times New Roman" w:eastAsia="黑体" w:cs="Times New Roman"/>
          <w:color w:val="auto"/>
          <w:sz w:val="28"/>
          <w:szCs w:val="28"/>
          <w:lang w:val="en-US" w:eastAsia="zh-CN"/>
        </w:rPr>
        <w:t>2.1理论框架构建</w:t>
      </w:r>
      <w:bookmarkEnd w:id="7"/>
    </w:p>
    <w:p w14:paraId="662AA92D">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本文构建了一个基于文本信息分析的并购重组风险传导理论框架，核心逻辑链条为："并购文本信息不对称→整合困难与未预期负债→现金流恶化→破产风险上升"。</w:t>
      </w:r>
    </w:p>
    <w:p w14:paraId="7633E0B2">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在并购重组过程中，信息不对称问题尤为突出[3]。传统研究主要关注财务指标和市场价格反映的信息不对称，而忽视了文本信息中蕴含的隐性风险信号。并购文件（如10-K、10-Q、S-4等）中的语言特征、风险描述、不确定性表达等文本信息，能够反映交易双方对并购标的真实状况的认知差异[5]。</w:t>
      </w:r>
    </w:p>
    <w:p w14:paraId="0B3488EE">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文本信息不对称通过两条主要路径影响破产风险：首先，高度的信息不对称会导致并购后整合困难，包括文化冲突、业务协同障碍等，这会增加整合成本并降低预期协同效应；其次，文本中隐含的模糊表述可能掩盖未预期的负债和风险敞口，如潜在的诉讼、环境责任或隐性债务，这些未预期负债在并购完成后会逐渐显现，直接冲击企业现金流。</w:t>
      </w:r>
    </w:p>
    <w:p w14:paraId="30ED8DF0">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现金流的恶化进一步触发财务困境，当企业经营性现金流无法覆盖债务本息时，破产风险显著上升。这一传导机制在跨行业并购和非关联交易中更为明显，因为此类交易中信息验证难度更大，文本信息的重要性更加突出。理论框架传导机制</w:t>
      </w:r>
      <w:r>
        <w:rPr>
          <w:rFonts w:hint="default" w:ascii="Times New Roman" w:hAnsi="Times New Roman" w:cs="Times New Roman"/>
          <w:color w:val="auto"/>
          <w:lang w:val="en-US" w:eastAsia="zh-CN"/>
        </w:rPr>
        <w:t>如图1所示。</w:t>
      </w:r>
    </w:p>
    <w:p w14:paraId="2CCB085E">
      <w:pPr>
        <w:jc w:val="center"/>
        <w:rPr>
          <w:rFonts w:hint="default" w:ascii="Times New Roman" w:hAnsi="Times New Roman" w:cs="Times New Roman"/>
          <w:color w:val="auto"/>
          <w:lang w:val="en-US" w:eastAsia="zh-CN"/>
        </w:rPr>
      </w:pPr>
      <w:r>
        <w:rPr>
          <w:rFonts w:hint="default" w:ascii="Times New Roman" w:hAnsi="Times New Roman" w:cs="Times New Roman"/>
        </w:rPr>
        <w:drawing>
          <wp:inline distT="0" distB="0" distL="114300" distR="114300">
            <wp:extent cx="5267325" cy="2731770"/>
            <wp:effectExtent l="0" t="0" r="952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325" cy="2731770"/>
                    </a:xfrm>
                    <a:prstGeom prst="rect">
                      <a:avLst/>
                    </a:prstGeom>
                    <a:noFill/>
                    <a:ln>
                      <a:noFill/>
                    </a:ln>
                  </pic:spPr>
                </pic:pic>
              </a:graphicData>
            </a:graphic>
          </wp:inline>
        </w:drawing>
      </w:r>
    </w:p>
    <w:p w14:paraId="35806D71">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 xml:space="preserve">图1 </w:t>
      </w:r>
      <w:r>
        <w:rPr>
          <w:rFonts w:hint="default" w:ascii="Times New Roman" w:hAnsi="Times New Roman" w:cs="Times New Roman"/>
          <w:color w:val="auto"/>
          <w:lang w:val="en-US" w:eastAsia="zh-CN"/>
        </w:rPr>
        <w:t>理论框架传导机制</w:t>
      </w:r>
    </w:p>
    <w:p w14:paraId="12A1BB6D">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lang w:val="en-US" w:eastAsia="zh-CN"/>
        </w:rPr>
      </w:pPr>
      <w:bookmarkStart w:id="8" w:name="_Toc9024"/>
      <w:r>
        <w:rPr>
          <w:rFonts w:hint="default" w:ascii="Times New Roman" w:hAnsi="Times New Roman" w:eastAsia="黑体" w:cs="Times New Roman"/>
          <w:color w:val="auto"/>
          <w:sz w:val="28"/>
          <w:szCs w:val="28"/>
          <w:lang w:val="en-US" w:eastAsia="zh-CN"/>
        </w:rPr>
        <w:t>2.2研究假设</w:t>
      </w:r>
      <w:bookmarkEnd w:id="8"/>
    </w:p>
    <w:p w14:paraId="1F09544C">
      <w:pPr>
        <w:ind w:firstLine="420" w:firstLineChars="200"/>
        <w:rPr>
          <w:rFonts w:hint="default" w:ascii="Times New Roman" w:hAnsi="Times New Roman" w:cs="Times New Roman"/>
          <w:color w:val="auto"/>
        </w:rPr>
      </w:pPr>
      <w:r>
        <w:rPr>
          <w:rFonts w:hint="default" w:ascii="Times New Roman" w:hAnsi="Times New Roman" w:cs="Times New Roman"/>
          <w:color w:val="auto"/>
        </w:rPr>
        <w:t>基于上述理论框架，本文提出以下三个研究假设：</w:t>
      </w:r>
    </w:p>
    <w:p w14:paraId="5639ECD9">
      <w:pPr>
        <w:ind w:firstLine="422" w:firstLineChars="200"/>
        <w:rPr>
          <w:rFonts w:hint="default" w:ascii="Times New Roman" w:hAnsi="Times New Roman" w:cs="Times New Roman"/>
          <w:color w:val="auto"/>
        </w:rPr>
      </w:pPr>
      <w:r>
        <w:rPr>
          <w:rFonts w:hint="default" w:ascii="Times New Roman" w:hAnsi="Times New Roman" w:cs="Times New Roman"/>
          <w:b/>
          <w:bCs/>
          <w:color w:val="auto"/>
        </w:rPr>
        <w:t>H1</w:t>
      </w:r>
      <w:r>
        <w:rPr>
          <w:rFonts w:hint="default" w:ascii="Times New Roman" w:hAnsi="Times New Roman" w:cs="Times New Roman"/>
          <w:color w:val="auto"/>
        </w:rPr>
        <w:t>：在控制传统财务变量后，基于并购文件文本分析的信息不对称指数与并购后企业的破产风险呈显著正相关。</w:t>
      </w:r>
    </w:p>
    <w:p w14:paraId="385E7A69">
      <w:pPr>
        <w:ind w:firstLine="420" w:firstLineChars="200"/>
        <w:rPr>
          <w:rFonts w:hint="default" w:ascii="Times New Roman" w:hAnsi="Times New Roman" w:cs="Times New Roman"/>
          <w:color w:val="auto"/>
        </w:rPr>
      </w:pPr>
      <w:r>
        <w:rPr>
          <w:rFonts w:hint="default" w:ascii="Times New Roman" w:hAnsi="Times New Roman" w:cs="Times New Roman"/>
          <w:color w:val="auto"/>
        </w:rPr>
        <w:t>该假设检验文本信息不对称对破产风险的直接影响。传统财务指标虽然能够反映企业当前财务状况，但难以捕捉并购交易特有的信息风险。文本分析能够从语言特征中提取不确定性、模糊性和风险倾向，为破产风险预测提供增量信息[18][20]。</w:t>
      </w:r>
    </w:p>
    <w:p w14:paraId="08B83BCE">
      <w:pPr>
        <w:ind w:firstLine="422" w:firstLineChars="200"/>
        <w:rPr>
          <w:rFonts w:hint="default" w:ascii="Times New Roman" w:hAnsi="Times New Roman" w:cs="Times New Roman"/>
          <w:color w:val="auto"/>
        </w:rPr>
      </w:pPr>
      <w:r>
        <w:rPr>
          <w:rFonts w:hint="default" w:ascii="Times New Roman" w:hAnsi="Times New Roman" w:cs="Times New Roman"/>
          <w:b/>
          <w:bCs/>
          <w:color w:val="auto"/>
        </w:rPr>
        <w:t>H2</w:t>
      </w:r>
      <w:r>
        <w:rPr>
          <w:rFonts w:hint="default" w:ascii="Times New Roman" w:hAnsi="Times New Roman" w:cs="Times New Roman"/>
          <w:color w:val="auto"/>
        </w:rPr>
        <w:t>：文本信息所提供的增量信息对于破产风险的预测能力优于传统财务比率。</w:t>
      </w:r>
    </w:p>
    <w:p w14:paraId="711690F7">
      <w:pPr>
        <w:ind w:firstLine="420" w:firstLineChars="200"/>
        <w:rPr>
          <w:rFonts w:hint="default" w:ascii="Times New Roman" w:hAnsi="Times New Roman" w:cs="Times New Roman"/>
          <w:color w:val="auto"/>
        </w:rPr>
      </w:pPr>
      <w:r>
        <w:rPr>
          <w:rFonts w:hint="default" w:ascii="Times New Roman" w:hAnsi="Times New Roman" w:cs="Times New Roman"/>
          <w:color w:val="auto"/>
        </w:rPr>
        <w:t>此假设验证文本信息的预测优越性。相比传统的Altman Z-score、Ohlson O-score等财务比率模型，基于机器学习文本分析的方法能够处理非结构化数据，捕捉更丰富的风险信号[9][11]。通过比较模型预测性能（如AUC值、准确率），可以评估文本特征的增量价值。</w:t>
      </w:r>
    </w:p>
    <w:p w14:paraId="59FB2F49">
      <w:pPr>
        <w:ind w:firstLine="422" w:firstLineChars="200"/>
        <w:rPr>
          <w:rFonts w:hint="default" w:ascii="Times New Roman" w:hAnsi="Times New Roman" w:cs="Times New Roman"/>
          <w:color w:val="auto"/>
        </w:rPr>
      </w:pPr>
      <w:r>
        <w:rPr>
          <w:rFonts w:hint="default" w:ascii="Times New Roman" w:hAnsi="Times New Roman" w:cs="Times New Roman"/>
          <w:b/>
          <w:bCs/>
          <w:color w:val="auto"/>
        </w:rPr>
        <w:t>H3</w:t>
      </w:r>
      <w:r>
        <w:rPr>
          <w:rFonts w:hint="default" w:ascii="Times New Roman" w:hAnsi="Times New Roman" w:cs="Times New Roman"/>
          <w:color w:val="auto"/>
        </w:rPr>
        <w:t>：上述关系在跨行业并购、非关联交易中更为显著。</w:t>
      </w:r>
    </w:p>
    <w:p w14:paraId="35054ADB">
      <w:pPr>
        <w:ind w:firstLine="420" w:firstLineChars="200"/>
        <w:rPr>
          <w:rFonts w:hint="default" w:ascii="Times New Roman" w:hAnsi="Times New Roman" w:cs="Times New Roman"/>
          <w:color w:val="auto"/>
        </w:rPr>
      </w:pPr>
      <w:r>
        <w:rPr>
          <w:rFonts w:hint="default" w:ascii="Times New Roman" w:hAnsi="Times New Roman" w:cs="Times New Roman"/>
          <w:color w:val="auto"/>
        </w:rPr>
        <w:t>异质性假设检验不同交易特征下的效应差异。跨行业并购中，由于行业知识壁垒，信息不对称程度更高[15]；非关联交易中，缺乏先前的合作关系，文本信息成为重要的风险识别渠道[6]。预期在这些情境下，文本信息不对称对破产风险的影响更为强烈。</w:t>
      </w:r>
    </w:p>
    <w:p w14:paraId="4659CFCD">
      <w:pPr>
        <w:rPr>
          <w:rFonts w:hint="default" w:ascii="Times New Roman" w:hAnsi="Times New Roman" w:cs="Times New Roman"/>
          <w:color w:val="auto"/>
        </w:rPr>
      </w:pPr>
    </w:p>
    <w:p w14:paraId="4A17F226">
      <w:pPr>
        <w:rPr>
          <w:rFonts w:hint="default" w:ascii="Times New Roman" w:hAnsi="Times New Roman" w:cs="Times New Roman"/>
          <w:color w:val="auto"/>
        </w:rPr>
      </w:pPr>
    </w:p>
    <w:p w14:paraId="018905E5">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eastAsia="黑体" w:cs="Times New Roman"/>
          <w:b/>
          <w:bCs/>
          <w:color w:val="auto"/>
          <w:sz w:val="32"/>
          <w:szCs w:val="32"/>
          <w:lang w:val="en-US" w:eastAsia="zh-CN"/>
        </w:rPr>
      </w:pPr>
      <w:bookmarkStart w:id="9" w:name="_Toc9940"/>
      <w:r>
        <w:rPr>
          <w:rFonts w:hint="default" w:ascii="Times New Roman" w:hAnsi="Times New Roman" w:eastAsia="黑体" w:cs="Times New Roman"/>
          <w:b/>
          <w:bCs/>
          <w:color w:val="auto"/>
          <w:sz w:val="32"/>
          <w:szCs w:val="32"/>
          <w:lang w:val="en-US" w:eastAsia="zh-CN"/>
        </w:rPr>
        <w:t>3.研究设计与数据处理</w:t>
      </w:r>
      <w:bookmarkEnd w:id="9"/>
    </w:p>
    <w:p w14:paraId="5A5FA2D1">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lang w:val="en-US" w:eastAsia="zh-CN"/>
        </w:rPr>
      </w:pPr>
      <w:bookmarkStart w:id="10" w:name="_Toc22573"/>
      <w:r>
        <w:rPr>
          <w:rFonts w:hint="default" w:ascii="Times New Roman" w:hAnsi="Times New Roman" w:eastAsia="黑体" w:cs="Times New Roman"/>
          <w:color w:val="auto"/>
          <w:sz w:val="28"/>
          <w:szCs w:val="28"/>
          <w:lang w:val="en-US" w:eastAsia="zh-CN"/>
        </w:rPr>
        <w:t>3.1</w:t>
      </w:r>
      <w:r>
        <w:rPr>
          <w:rFonts w:hint="default" w:ascii="Times New Roman" w:hAnsi="Times New Roman" w:eastAsia="黑体" w:cs="Times New Roman"/>
          <w:color w:val="auto"/>
          <w:sz w:val="28"/>
          <w:szCs w:val="28"/>
          <w:lang w:val="en-US" w:eastAsia="zh-CN"/>
        </w:rPr>
        <w:t>数据来源与样本构建</w:t>
      </w:r>
      <w:bookmarkEnd w:id="10"/>
    </w:p>
    <w:p w14:paraId="34BA2545">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11" w:name="_Toc31894"/>
      <w:r>
        <w:rPr>
          <w:rFonts w:hint="default" w:ascii="Times New Roman" w:hAnsi="Times New Roman" w:eastAsia="黑体" w:cs="Times New Roman"/>
          <w:color w:val="auto"/>
          <w:lang w:val="en-US" w:eastAsia="zh-CN"/>
        </w:rPr>
        <w:t>3.1.1数据</w:t>
      </w:r>
      <w:r>
        <w:rPr>
          <w:rFonts w:hint="default" w:ascii="Times New Roman" w:hAnsi="Times New Roman" w:eastAsia="黑体" w:cs="Times New Roman"/>
          <w:color w:val="auto"/>
        </w:rPr>
        <w:t>来源</w:t>
      </w:r>
      <w:bookmarkEnd w:id="11"/>
    </w:p>
    <w:p w14:paraId="04364A55">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本研究采用多源数据库构建综合数据集，确保数据的全面性和可靠性，并购交易数据来源于SDC Platinum数据库的全球并购交易样本，时间跨度为1995-2023年。该数据库提供详细的交易特征信息，包括交易规模、支付方式、行业相关性等关键变量。文本数据从SEC EDGAR数据库抓取并购相关公司的10-K、10-Q、S-4及8-K文件，特别关注附件中包含并购协议的文档。这些文件提供了丰富的文本信息用于构建信息不对称指数。财务与市场数据采用Compustat北美数据库获取财务数据，CRSP数据库获取股价数据。这两个数据库的结合能够全面反映企业的财务状况和市场表现。破产数据从纽约大学Salomon Center破产数据库和PACER法院系统获取破产申请记录，确保破产事件的准确识别和时间精确定位。</w:t>
      </w:r>
    </w:p>
    <w:p w14:paraId="675825F5">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样本筛选与匹配流程采用严格的数据清洗流程：首先剔除金融行业公司，然后删除交易金额缺失或异常的观测值，最后通过公司代码和日期将多源数据库进行精确匹配，构建平衡面板数据集。</w:t>
      </w:r>
    </w:p>
    <w:p w14:paraId="444291B8">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12" w:name="_Toc24556"/>
      <w:r>
        <w:rPr>
          <w:rFonts w:hint="default" w:ascii="Times New Roman" w:hAnsi="Times New Roman" w:eastAsia="黑体" w:cs="Times New Roman"/>
          <w:color w:val="auto"/>
          <w:lang w:val="en-US" w:eastAsia="zh-CN"/>
        </w:rPr>
        <w:t>3.1.2样本描述</w:t>
      </w:r>
      <w:bookmarkEnd w:id="12"/>
    </w:p>
    <w:p w14:paraId="678B8E0A">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本文的样本如表1所示。</w:t>
      </w:r>
    </w:p>
    <w:p w14:paraId="315E4B45">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表1</w:t>
      </w:r>
      <w:r>
        <w:rPr>
          <w:rFonts w:hint="default" w:ascii="Times New Roman" w:hAnsi="Times New Roman" w:cs="Times New Roman"/>
          <w:color w:val="auto"/>
          <w:lang w:val="en-US" w:eastAsia="zh-CN"/>
        </w:rPr>
        <w:t xml:space="preserve"> </w:t>
      </w:r>
      <w:r>
        <w:rPr>
          <w:rFonts w:hint="default" w:ascii="Times New Roman" w:hAnsi="Times New Roman" w:cs="Times New Roman"/>
          <w:color w:val="auto"/>
          <w:lang w:val="en-US" w:eastAsia="zh-CN"/>
        </w:rPr>
        <w:t>样本分布与描述性统计</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3F930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single" w:color="auto" w:sz="12" w:space="0"/>
              <w:left w:val="nil"/>
              <w:bottom w:val="single" w:color="auto" w:sz="4" w:space="0"/>
              <w:right w:val="nil"/>
            </w:tcBorders>
            <w:vAlign w:val="center"/>
          </w:tcPr>
          <w:p w14:paraId="11F123FB">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年度区间</w:t>
            </w:r>
          </w:p>
        </w:tc>
        <w:tc>
          <w:tcPr>
            <w:tcW w:w="1704" w:type="dxa"/>
            <w:tcBorders>
              <w:top w:val="single" w:color="auto" w:sz="12" w:space="0"/>
              <w:left w:val="nil"/>
              <w:bottom w:val="single" w:color="auto" w:sz="4" w:space="0"/>
              <w:right w:val="nil"/>
            </w:tcBorders>
            <w:vAlign w:val="center"/>
          </w:tcPr>
          <w:p w14:paraId="473F94C6">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并购交易数</w:t>
            </w:r>
          </w:p>
        </w:tc>
        <w:tc>
          <w:tcPr>
            <w:tcW w:w="1704" w:type="dxa"/>
            <w:tcBorders>
              <w:top w:val="single" w:color="auto" w:sz="12" w:space="0"/>
              <w:left w:val="nil"/>
              <w:bottom w:val="single" w:color="auto" w:sz="4" w:space="0"/>
              <w:right w:val="nil"/>
            </w:tcBorders>
            <w:vAlign w:val="center"/>
          </w:tcPr>
          <w:p w14:paraId="2D370444">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涉及公司数</w:t>
            </w:r>
          </w:p>
        </w:tc>
        <w:tc>
          <w:tcPr>
            <w:tcW w:w="1705" w:type="dxa"/>
            <w:tcBorders>
              <w:top w:val="single" w:color="auto" w:sz="12" w:space="0"/>
              <w:left w:val="nil"/>
              <w:bottom w:val="single" w:color="auto" w:sz="4" w:space="0"/>
              <w:right w:val="nil"/>
            </w:tcBorders>
            <w:vAlign w:val="center"/>
          </w:tcPr>
          <w:p w14:paraId="42E6B20E">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破产事件数</w:t>
            </w:r>
          </w:p>
        </w:tc>
        <w:tc>
          <w:tcPr>
            <w:tcW w:w="1705" w:type="dxa"/>
            <w:tcBorders>
              <w:top w:val="single" w:color="auto" w:sz="12" w:space="0"/>
              <w:left w:val="nil"/>
              <w:bottom w:val="single" w:color="auto" w:sz="4" w:space="0"/>
              <w:right w:val="nil"/>
            </w:tcBorders>
            <w:vAlign w:val="center"/>
          </w:tcPr>
          <w:p w14:paraId="56BC407F">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破产率(%)</w:t>
            </w:r>
          </w:p>
        </w:tc>
      </w:tr>
      <w:tr w14:paraId="57F9E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single" w:color="auto" w:sz="4" w:space="0"/>
              <w:left w:val="nil"/>
              <w:bottom w:val="nil"/>
              <w:right w:val="nil"/>
            </w:tcBorders>
            <w:vAlign w:val="center"/>
          </w:tcPr>
          <w:p w14:paraId="6CEE7B1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1995-2000</w:t>
            </w:r>
          </w:p>
        </w:tc>
        <w:tc>
          <w:tcPr>
            <w:tcW w:w="1704" w:type="dxa"/>
            <w:tcBorders>
              <w:top w:val="single" w:color="auto" w:sz="4" w:space="0"/>
              <w:left w:val="nil"/>
              <w:bottom w:val="nil"/>
              <w:right w:val="nil"/>
            </w:tcBorders>
            <w:vAlign w:val="center"/>
          </w:tcPr>
          <w:p w14:paraId="48BB5129">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1,245</w:t>
            </w:r>
          </w:p>
        </w:tc>
        <w:tc>
          <w:tcPr>
            <w:tcW w:w="1704" w:type="dxa"/>
            <w:tcBorders>
              <w:top w:val="single" w:color="auto" w:sz="4" w:space="0"/>
              <w:left w:val="nil"/>
              <w:bottom w:val="nil"/>
              <w:right w:val="nil"/>
            </w:tcBorders>
            <w:vAlign w:val="center"/>
          </w:tcPr>
          <w:p w14:paraId="12485409">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893</w:t>
            </w:r>
          </w:p>
        </w:tc>
        <w:tc>
          <w:tcPr>
            <w:tcW w:w="1705" w:type="dxa"/>
            <w:tcBorders>
              <w:top w:val="single" w:color="auto" w:sz="4" w:space="0"/>
              <w:left w:val="nil"/>
              <w:bottom w:val="nil"/>
              <w:right w:val="nil"/>
            </w:tcBorders>
            <w:vAlign w:val="center"/>
          </w:tcPr>
          <w:p w14:paraId="24E4A792">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67</w:t>
            </w:r>
          </w:p>
        </w:tc>
        <w:tc>
          <w:tcPr>
            <w:tcW w:w="1705" w:type="dxa"/>
            <w:tcBorders>
              <w:top w:val="single" w:color="auto" w:sz="4" w:space="0"/>
              <w:left w:val="nil"/>
              <w:bottom w:val="nil"/>
              <w:right w:val="nil"/>
            </w:tcBorders>
            <w:vAlign w:val="center"/>
          </w:tcPr>
          <w:p w14:paraId="74C01A46">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5.38%</w:t>
            </w:r>
          </w:p>
        </w:tc>
      </w:tr>
      <w:tr w14:paraId="23E89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nil"/>
              <w:left w:val="nil"/>
              <w:bottom w:val="nil"/>
              <w:right w:val="nil"/>
            </w:tcBorders>
            <w:vAlign w:val="center"/>
          </w:tcPr>
          <w:p w14:paraId="5CE84ED7">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2001-2007</w:t>
            </w:r>
          </w:p>
        </w:tc>
        <w:tc>
          <w:tcPr>
            <w:tcW w:w="1704" w:type="dxa"/>
            <w:tcBorders>
              <w:top w:val="nil"/>
              <w:left w:val="nil"/>
              <w:bottom w:val="nil"/>
              <w:right w:val="nil"/>
            </w:tcBorders>
            <w:vAlign w:val="center"/>
          </w:tcPr>
          <w:p w14:paraId="224FA1A8">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2,187</w:t>
            </w:r>
          </w:p>
        </w:tc>
        <w:tc>
          <w:tcPr>
            <w:tcW w:w="1704" w:type="dxa"/>
            <w:tcBorders>
              <w:top w:val="nil"/>
              <w:left w:val="nil"/>
              <w:bottom w:val="nil"/>
              <w:right w:val="nil"/>
            </w:tcBorders>
            <w:vAlign w:val="center"/>
          </w:tcPr>
          <w:p w14:paraId="7D952B16">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1,456</w:t>
            </w:r>
          </w:p>
        </w:tc>
        <w:tc>
          <w:tcPr>
            <w:tcW w:w="1705" w:type="dxa"/>
            <w:tcBorders>
              <w:top w:val="nil"/>
              <w:left w:val="nil"/>
              <w:bottom w:val="nil"/>
              <w:right w:val="nil"/>
            </w:tcBorders>
            <w:vAlign w:val="center"/>
          </w:tcPr>
          <w:p w14:paraId="428755A0">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124</w:t>
            </w:r>
          </w:p>
        </w:tc>
        <w:tc>
          <w:tcPr>
            <w:tcW w:w="1705" w:type="dxa"/>
            <w:tcBorders>
              <w:top w:val="nil"/>
              <w:left w:val="nil"/>
              <w:bottom w:val="nil"/>
              <w:right w:val="nil"/>
            </w:tcBorders>
            <w:vAlign w:val="center"/>
          </w:tcPr>
          <w:p w14:paraId="47A15EA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5.67%</w:t>
            </w:r>
          </w:p>
        </w:tc>
      </w:tr>
      <w:tr w14:paraId="2213C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nil"/>
              <w:left w:val="nil"/>
              <w:bottom w:val="nil"/>
              <w:right w:val="nil"/>
            </w:tcBorders>
            <w:vAlign w:val="center"/>
          </w:tcPr>
          <w:p w14:paraId="0E5FE91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2008-2013</w:t>
            </w:r>
          </w:p>
        </w:tc>
        <w:tc>
          <w:tcPr>
            <w:tcW w:w="1704" w:type="dxa"/>
            <w:tcBorders>
              <w:top w:val="nil"/>
              <w:left w:val="nil"/>
              <w:bottom w:val="nil"/>
              <w:right w:val="nil"/>
            </w:tcBorders>
            <w:vAlign w:val="center"/>
          </w:tcPr>
          <w:p w14:paraId="42479F05">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1,856</w:t>
            </w:r>
          </w:p>
        </w:tc>
        <w:tc>
          <w:tcPr>
            <w:tcW w:w="1704" w:type="dxa"/>
            <w:tcBorders>
              <w:top w:val="nil"/>
              <w:left w:val="nil"/>
              <w:bottom w:val="nil"/>
              <w:right w:val="nil"/>
            </w:tcBorders>
            <w:vAlign w:val="center"/>
          </w:tcPr>
          <w:p w14:paraId="054B858C">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1,234</w:t>
            </w:r>
          </w:p>
        </w:tc>
        <w:tc>
          <w:tcPr>
            <w:tcW w:w="1705" w:type="dxa"/>
            <w:tcBorders>
              <w:top w:val="nil"/>
              <w:left w:val="nil"/>
              <w:bottom w:val="nil"/>
              <w:right w:val="nil"/>
            </w:tcBorders>
            <w:vAlign w:val="center"/>
          </w:tcPr>
          <w:p w14:paraId="446A3FA1">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156</w:t>
            </w:r>
          </w:p>
        </w:tc>
        <w:tc>
          <w:tcPr>
            <w:tcW w:w="1705" w:type="dxa"/>
            <w:tcBorders>
              <w:top w:val="nil"/>
              <w:left w:val="nil"/>
              <w:bottom w:val="nil"/>
              <w:right w:val="nil"/>
            </w:tcBorders>
            <w:vAlign w:val="center"/>
          </w:tcPr>
          <w:p w14:paraId="2EC1C48E">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8.41%</w:t>
            </w:r>
          </w:p>
        </w:tc>
      </w:tr>
      <w:tr w14:paraId="56661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nil"/>
              <w:left w:val="nil"/>
              <w:bottom w:val="nil"/>
              <w:right w:val="nil"/>
            </w:tcBorders>
            <w:vAlign w:val="center"/>
          </w:tcPr>
          <w:p w14:paraId="24327A14">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2014-2023</w:t>
            </w:r>
          </w:p>
        </w:tc>
        <w:tc>
          <w:tcPr>
            <w:tcW w:w="1704" w:type="dxa"/>
            <w:tcBorders>
              <w:top w:val="nil"/>
              <w:left w:val="nil"/>
              <w:bottom w:val="nil"/>
              <w:right w:val="nil"/>
            </w:tcBorders>
            <w:vAlign w:val="center"/>
          </w:tcPr>
          <w:p w14:paraId="6E4CC32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3,452</w:t>
            </w:r>
          </w:p>
        </w:tc>
        <w:tc>
          <w:tcPr>
            <w:tcW w:w="1704" w:type="dxa"/>
            <w:tcBorders>
              <w:top w:val="nil"/>
              <w:left w:val="nil"/>
              <w:bottom w:val="nil"/>
              <w:right w:val="nil"/>
            </w:tcBorders>
            <w:vAlign w:val="center"/>
          </w:tcPr>
          <w:p w14:paraId="109EB94F">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2,178</w:t>
            </w:r>
          </w:p>
        </w:tc>
        <w:tc>
          <w:tcPr>
            <w:tcW w:w="1705" w:type="dxa"/>
            <w:tcBorders>
              <w:top w:val="nil"/>
              <w:left w:val="nil"/>
              <w:bottom w:val="nil"/>
              <w:right w:val="nil"/>
            </w:tcBorders>
            <w:vAlign w:val="center"/>
          </w:tcPr>
          <w:p w14:paraId="3BC86E42">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189</w:t>
            </w:r>
          </w:p>
        </w:tc>
        <w:tc>
          <w:tcPr>
            <w:tcW w:w="1705" w:type="dxa"/>
            <w:tcBorders>
              <w:top w:val="nil"/>
              <w:left w:val="nil"/>
              <w:bottom w:val="nil"/>
              <w:right w:val="nil"/>
            </w:tcBorders>
            <w:vAlign w:val="center"/>
          </w:tcPr>
          <w:p w14:paraId="5C748495">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5.48%</w:t>
            </w:r>
          </w:p>
        </w:tc>
      </w:tr>
      <w:tr w14:paraId="43F74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nil"/>
              <w:left w:val="nil"/>
              <w:bottom w:val="single" w:color="auto" w:sz="12" w:space="0"/>
              <w:right w:val="nil"/>
            </w:tcBorders>
            <w:vAlign w:val="center"/>
          </w:tcPr>
          <w:p w14:paraId="19EC68D6">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总计</w:t>
            </w:r>
          </w:p>
        </w:tc>
        <w:tc>
          <w:tcPr>
            <w:tcW w:w="1704" w:type="dxa"/>
            <w:tcBorders>
              <w:top w:val="nil"/>
              <w:left w:val="nil"/>
              <w:bottom w:val="single" w:color="auto" w:sz="12" w:space="0"/>
              <w:right w:val="nil"/>
            </w:tcBorders>
            <w:vAlign w:val="center"/>
          </w:tcPr>
          <w:p w14:paraId="63BDC8A0">
            <w:pPr>
              <w:jc w:val="center"/>
              <w:rPr>
                <w:rFonts w:hint="default" w:ascii="Times New Roman" w:hAnsi="Times New Roman" w:cs="Times New Roman"/>
                <w:b/>
                <w:bCs/>
                <w:color w:val="auto"/>
                <w:vertAlign w:val="baseline"/>
                <w:lang w:val="en-US" w:eastAsia="zh-CN"/>
              </w:rPr>
            </w:pPr>
            <w:r>
              <w:rPr>
                <w:rFonts w:hint="default" w:ascii="Times New Roman" w:hAnsi="Times New Roman" w:cs="Times New Roman"/>
                <w:b/>
                <w:bCs/>
                <w:color w:val="auto"/>
                <w:lang w:val="en-US" w:eastAsia="zh-CN"/>
              </w:rPr>
              <w:t>8,740</w:t>
            </w:r>
          </w:p>
        </w:tc>
        <w:tc>
          <w:tcPr>
            <w:tcW w:w="1704" w:type="dxa"/>
            <w:tcBorders>
              <w:top w:val="nil"/>
              <w:left w:val="nil"/>
              <w:bottom w:val="single" w:color="auto" w:sz="12" w:space="0"/>
              <w:right w:val="nil"/>
            </w:tcBorders>
            <w:vAlign w:val="center"/>
          </w:tcPr>
          <w:p w14:paraId="5CA44978">
            <w:pPr>
              <w:jc w:val="center"/>
              <w:rPr>
                <w:rFonts w:hint="default" w:ascii="Times New Roman" w:hAnsi="Times New Roman" w:cs="Times New Roman"/>
                <w:b/>
                <w:bCs/>
                <w:color w:val="auto"/>
                <w:vertAlign w:val="baseline"/>
                <w:lang w:val="en-US" w:eastAsia="zh-CN"/>
              </w:rPr>
            </w:pPr>
            <w:r>
              <w:rPr>
                <w:rFonts w:hint="default" w:ascii="Times New Roman" w:hAnsi="Times New Roman" w:cs="Times New Roman"/>
                <w:b/>
                <w:bCs/>
                <w:color w:val="auto"/>
                <w:lang w:val="en-US" w:eastAsia="zh-CN"/>
              </w:rPr>
              <w:t>5,761</w:t>
            </w:r>
          </w:p>
        </w:tc>
        <w:tc>
          <w:tcPr>
            <w:tcW w:w="1705" w:type="dxa"/>
            <w:tcBorders>
              <w:top w:val="nil"/>
              <w:left w:val="nil"/>
              <w:bottom w:val="single" w:color="auto" w:sz="12" w:space="0"/>
              <w:right w:val="nil"/>
            </w:tcBorders>
            <w:vAlign w:val="center"/>
          </w:tcPr>
          <w:p w14:paraId="19E6BE31">
            <w:pPr>
              <w:jc w:val="center"/>
              <w:rPr>
                <w:rFonts w:hint="default" w:ascii="Times New Roman" w:hAnsi="Times New Roman" w:cs="Times New Roman"/>
                <w:b/>
                <w:bCs/>
                <w:color w:val="auto"/>
                <w:vertAlign w:val="baseline"/>
                <w:lang w:val="en-US" w:eastAsia="zh-CN"/>
              </w:rPr>
            </w:pPr>
            <w:r>
              <w:rPr>
                <w:rFonts w:hint="default" w:ascii="Times New Roman" w:hAnsi="Times New Roman" w:cs="Times New Roman"/>
                <w:b/>
                <w:bCs/>
                <w:color w:val="auto"/>
                <w:lang w:val="en-US" w:eastAsia="zh-CN"/>
              </w:rPr>
              <w:t>536</w:t>
            </w:r>
          </w:p>
        </w:tc>
        <w:tc>
          <w:tcPr>
            <w:tcW w:w="1705" w:type="dxa"/>
            <w:tcBorders>
              <w:top w:val="nil"/>
              <w:left w:val="nil"/>
              <w:bottom w:val="single" w:color="auto" w:sz="12" w:space="0"/>
              <w:right w:val="nil"/>
            </w:tcBorders>
            <w:vAlign w:val="center"/>
          </w:tcPr>
          <w:p w14:paraId="6F52739E">
            <w:pPr>
              <w:jc w:val="center"/>
              <w:rPr>
                <w:rFonts w:hint="default" w:ascii="Times New Roman" w:hAnsi="Times New Roman" w:cs="Times New Roman"/>
                <w:b/>
                <w:bCs/>
                <w:color w:val="auto"/>
                <w:vertAlign w:val="baseline"/>
                <w:lang w:val="en-US" w:eastAsia="zh-CN"/>
              </w:rPr>
            </w:pPr>
            <w:r>
              <w:rPr>
                <w:rFonts w:hint="default" w:ascii="Times New Roman" w:hAnsi="Times New Roman" w:cs="Times New Roman"/>
                <w:b/>
                <w:bCs/>
                <w:color w:val="auto"/>
                <w:lang w:val="en-US" w:eastAsia="zh-CN"/>
              </w:rPr>
              <w:t>6.13%</w:t>
            </w:r>
          </w:p>
        </w:tc>
      </w:tr>
    </w:tbl>
    <w:p w14:paraId="5DDB6BA9">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表1</w:t>
      </w:r>
      <w:r>
        <w:rPr>
          <w:rFonts w:hint="default" w:ascii="Times New Roman" w:hAnsi="Times New Roman" w:cs="Times New Roman"/>
          <w:color w:val="auto"/>
          <w:lang w:val="en-US" w:eastAsia="zh-CN"/>
        </w:rPr>
        <w:t>展示了样本的时间分布特征，清晰地反映了不同时期并购活动与破产风险的动态变化。值得注意的是，2008-2013年金融危机期间破产率显著上升至8.41%，验证了宏观环境对并购后企业生存的重要影响。总体样本包含8,740个并购交易，涉及5,761家公司，其中536个破产事件，总体破产率为6.13%，为后续实证分析提供了充足的统计基础。</w:t>
      </w:r>
    </w:p>
    <w:p w14:paraId="4CC1B3CF">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lang w:val="en-US" w:eastAsia="zh-CN"/>
        </w:rPr>
      </w:pPr>
      <w:bookmarkStart w:id="13" w:name="_Toc5742"/>
      <w:r>
        <w:rPr>
          <w:rFonts w:hint="default" w:ascii="Times New Roman" w:hAnsi="Times New Roman" w:eastAsia="黑体" w:cs="Times New Roman"/>
          <w:color w:val="auto"/>
          <w:sz w:val="28"/>
          <w:szCs w:val="28"/>
          <w:lang w:val="en-US" w:eastAsia="zh-CN"/>
        </w:rPr>
        <w:t>3.2</w:t>
      </w:r>
      <w:r>
        <w:rPr>
          <w:rFonts w:hint="default" w:ascii="Times New Roman" w:hAnsi="Times New Roman" w:eastAsia="黑体" w:cs="Times New Roman"/>
          <w:color w:val="auto"/>
          <w:sz w:val="28"/>
          <w:szCs w:val="28"/>
          <w:lang w:val="en-US" w:eastAsia="zh-CN"/>
        </w:rPr>
        <w:t>关键变量定义与测度</w:t>
      </w:r>
      <w:bookmarkEnd w:id="13"/>
    </w:p>
    <w:p w14:paraId="5CCCCB99">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14" w:name="_Toc6860"/>
      <w:r>
        <w:rPr>
          <w:rFonts w:hint="default" w:ascii="Times New Roman" w:hAnsi="Times New Roman" w:eastAsia="黑体" w:cs="Times New Roman"/>
          <w:color w:val="auto"/>
          <w:lang w:val="en-US" w:eastAsia="zh-CN"/>
        </w:rPr>
        <w:t>3.2.1</w:t>
      </w:r>
      <w:r>
        <w:rPr>
          <w:rFonts w:hint="default" w:ascii="Times New Roman" w:hAnsi="Times New Roman" w:eastAsia="黑体" w:cs="Times New Roman"/>
          <w:color w:val="auto"/>
          <w:lang w:val="en-US" w:eastAsia="zh-CN"/>
        </w:rPr>
        <w:t>被解释变量</w:t>
      </w:r>
      <w:bookmarkEnd w:id="14"/>
    </w:p>
    <w:p w14:paraId="38F885B7">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破产风险（Bankruptcy Risk）采用两种方式度量。</w:t>
      </w:r>
    </w:p>
    <w:p w14:paraId="4888AD78">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二元变量定义如下：</w:t>
      </w:r>
    </w:p>
    <w:p w14:paraId="1E1B3C34">
      <w:pPr>
        <w:jc w:val="right"/>
        <w:rPr>
          <w:rFonts w:hint="default" w:ascii="Times New Roman" w:hAnsi="Times New Roman" w:cs="Times New Roman" w:eastAsiaTheme="minorEastAsia"/>
          <w:i w:val="0"/>
          <w:sz w:val="21"/>
          <w:lang w:val="en-US" w:eastAsia="zh-CN"/>
        </w:rPr>
      </w:pPr>
      <m:oMath>
        <m:r>
          <m:rPr>
            <m:nor/>
          </m:rPr>
          <w:rPr>
            <w:rFonts w:hint="default" w:ascii="Times New Roman" w:hAnsi="Times New Roman" w:cs="Times New Roman"/>
            <w:i/>
            <w:sz w:val="21"/>
          </w:rPr>
          <m:t>Bankruptc</m:t>
        </m:r>
        <m:sSub>
          <m:sSubPr>
            <m:ctrlPr>
              <w:rPr>
                <w:rFonts w:hint="default" w:ascii="Cambria Math" w:hAnsi="Cambria Math" w:cs="Times New Roman"/>
                <w:sz w:val="21"/>
              </w:rPr>
            </m:ctrlPr>
          </m:sSubPr>
          <m:e>
            <m:r>
              <m:rPr>
                <m:nor/>
              </m:rPr>
              <w:rPr>
                <w:rFonts w:hint="default" w:ascii="Times New Roman" w:hAnsi="Times New Roman" w:cs="Times New Roman"/>
                <w:i/>
                <w:sz w:val="21"/>
              </w:rPr>
              <m:t>y</m:t>
            </m:r>
            <m:ctrlPr>
              <w:rPr>
                <w:rFonts w:hint="default" w:ascii="Cambria Math" w:hAnsi="Cambria Math" w:cs="Times New Roman"/>
                <w:sz w:val="21"/>
              </w:rPr>
            </m:ctrlPr>
          </m:e>
          <m:sub>
            <m:r>
              <m:rPr>
                <m:nor/>
              </m:rPr>
              <w:rPr>
                <w:rFonts w:hint="default" w:ascii="Times New Roman" w:hAnsi="Times New Roman" w:cs="Times New Roman"/>
                <w:i/>
                <w:sz w:val="21"/>
              </w:rPr>
              <m:t>D</m:t>
            </m:r>
            <m:ctrlPr>
              <w:rPr>
                <w:rFonts w:hint="default" w:ascii="Cambria Math" w:hAnsi="Cambria Math" w:cs="Times New Roman"/>
                <w:sz w:val="21"/>
              </w:rPr>
            </m:ctrlPr>
          </m:sub>
        </m:sSub>
        <m:r>
          <m:rPr>
            <m:nor/>
          </m:rPr>
          <w:rPr>
            <w:rFonts w:hint="default" w:ascii="Times New Roman" w:hAnsi="Times New Roman" w:cs="Times New Roman"/>
            <w:i/>
            <w:sz w:val="21"/>
          </w:rPr>
          <m:t>umm</m:t>
        </m:r>
        <m:sSub>
          <m:sSubPr>
            <m:ctrlPr>
              <w:rPr>
                <w:rFonts w:hint="default" w:ascii="Cambria Math" w:hAnsi="Cambria Math" w:cs="Times New Roman"/>
                <w:sz w:val="21"/>
              </w:rPr>
            </m:ctrlPr>
          </m:sSubPr>
          <m:e>
            <m:r>
              <m:rPr>
                <m:nor/>
              </m:rPr>
              <w:rPr>
                <w:rFonts w:hint="default" w:ascii="Times New Roman" w:hAnsi="Times New Roman" w:cs="Times New Roman"/>
                <w:i/>
                <w:sz w:val="21"/>
              </w:rPr>
              <m:t>y</m:t>
            </m:r>
            <m:ctrlPr>
              <w:rPr>
                <w:rFonts w:hint="default" w:ascii="Cambria Math" w:hAnsi="Cambria Math" w:cs="Times New Roman"/>
                <w:sz w:val="21"/>
              </w:rPr>
            </m:ctrlPr>
          </m:e>
          <m:sub>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d</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d>
          <m:dPr>
            <m:begChr m:val="{"/>
            <m:endChr m:val=""/>
            <m:ctrlPr>
              <w:rPr>
                <w:rFonts w:hint="default" w:ascii="Cambria Math" w:hAnsi="Cambria Math" w:cs="Times New Roman"/>
                <w:i/>
                <w:sz w:val="21"/>
              </w:rPr>
            </m:ctrlPr>
          </m:dPr>
          <m:e>
            <m:m>
              <m:mPr>
                <m:mcs>
                  <m:mc>
                    <m:mcPr>
                      <m:count m:val="2"/>
                      <m:mcJc m:val="left"/>
                    </m:mcPr>
                  </m:mc>
                </m:mcs>
                <m:plcHide m:val="1"/>
                <m:ctrlPr>
                  <w:rPr>
                    <w:rFonts w:hint="default" w:ascii="Cambria Math" w:hAnsi="Cambria Math" w:cs="Times New Roman"/>
                    <w:i/>
                    <w:sz w:val="21"/>
                  </w:rPr>
                </m:ctrlPr>
              </m:mPr>
              <m:mr>
                <m:e>
                  <m:r>
                    <m:rPr>
                      <m:nor/>
                      <m:sty m:val="p"/>
                    </m:rPr>
                    <w:rPr>
                      <w:rFonts w:hint="default" w:ascii="Times New Roman" w:hAnsi="Times New Roman" w:cs="Times New Roman"/>
                      <w:i w:val="0"/>
                      <w:sz w:val="21"/>
                    </w:rPr>
                    <m:t>1,</m:t>
                  </m:r>
                  <m:ctrlPr>
                    <w:rPr>
                      <w:rFonts w:hint="default" w:ascii="Cambria Math" w:hAnsi="Cambria Math" w:cs="Times New Roman"/>
                      <w:sz w:val="21"/>
                    </w:rPr>
                  </m:ctrlPr>
                </m:e>
                <m:e>
                  <m:r>
                    <m:rPr>
                      <m:nor/>
                      <m:sty m:val="p"/>
                    </m:rPr>
                    <w:rPr>
                      <w:rFonts w:hint="default" w:ascii="Times New Roman" w:hAnsi="Times New Roman" w:cs="Times New Roman"/>
                      <w:i w:val="0"/>
                      <w:sz w:val="21"/>
                    </w:rPr>
                    <m:t>如果公司</m:t>
                  </m:r>
                  <m:r>
                    <m:rPr>
                      <m:nor/>
                    </m:rPr>
                    <w:rPr>
                      <w:rFonts w:hint="default" w:ascii="Times New Roman" w:hAnsi="Times New Roman" w:cs="Times New Roman"/>
                      <w:i/>
                      <w:iCs/>
                      <w:sz w:val="21"/>
                      <w:lang w:val="en-US" w:eastAsia="zh-CN"/>
                    </w:rPr>
                    <m:t>i</m:t>
                  </m:r>
                  <m:r>
                    <m:rPr>
                      <m:nor/>
                      <m:sty m:val="p"/>
                    </m:rPr>
                    <w:rPr>
                      <w:rFonts w:hint="default" w:ascii="Times New Roman" w:hAnsi="Times New Roman" w:cs="Times New Roman"/>
                      <w:i w:val="0"/>
                      <w:sz w:val="21"/>
                      <w:lang w:val="en-US" w:eastAsia="zh-CN"/>
                    </w:rPr>
                    <m:t>在并购后</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r>
                    <m:rPr>
                      <m:nor/>
                      <m:sty m:val="p"/>
                    </m:rPr>
                    <w:rPr>
                      <w:rFonts w:hint="default" w:ascii="Times New Roman" w:hAnsi="Times New Roman" w:cs="Times New Roman"/>
                      <w:i w:val="0"/>
                      <w:sz w:val="21"/>
                    </w:rPr>
                    <m:t>+3]</m:t>
                  </m:r>
                  <m:r>
                    <m:rPr>
                      <m:nor/>
                      <m:sty m:val="p"/>
                    </m:rPr>
                    <w:rPr>
                      <w:rFonts w:hint="default" w:ascii="Times New Roman" w:hAnsi="Times New Roman" w:cs="Times New Roman"/>
                      <w:i w:val="0"/>
                      <w:iCs/>
                      <w:sz w:val="21"/>
                      <w:lang w:val="en-US" w:eastAsia="zh-CN"/>
                    </w:rPr>
                    <m:t>年内申请</m:t>
                  </m:r>
                  <m:r>
                    <m:rPr>
                      <m:nor/>
                      <m:sty m:val="p"/>
                    </m:rPr>
                    <w:rPr>
                      <w:rFonts w:hint="default" w:ascii="Times New Roman" w:hAnsi="Times New Roman" w:cs="Times New Roman"/>
                      <w:i w:val="0"/>
                      <w:sz w:val="21"/>
                    </w:rPr>
                    <m:t>破产</m:t>
                  </m:r>
                  <m:ctrlPr>
                    <w:rPr>
                      <w:rFonts w:hint="default" w:ascii="Cambria Math" w:hAnsi="Cambria Math" w:cs="Times New Roman"/>
                      <w:sz w:val="21"/>
                    </w:rPr>
                  </m:ctrlPr>
                </m:e>
              </m:mr>
              <m:mr>
                <m:e>
                  <m:r>
                    <m:rPr>
                      <m:nor/>
                      <m:sty m:val="p"/>
                    </m:rPr>
                    <w:rPr>
                      <w:rFonts w:hint="default" w:ascii="Times New Roman" w:hAnsi="Times New Roman" w:cs="Times New Roman"/>
                      <w:i w:val="0"/>
                      <w:sz w:val="21"/>
                    </w:rPr>
                    <m:t>0,</m:t>
                  </m:r>
                  <m:ctrlPr>
                    <w:rPr>
                      <w:rFonts w:hint="default" w:ascii="Cambria Math" w:hAnsi="Cambria Math" w:cs="Times New Roman"/>
                      <w:sz w:val="21"/>
                    </w:rPr>
                  </m:ctrlPr>
                </m:e>
                <m:e>
                  <m:r>
                    <m:rPr>
                      <m:nor/>
                      <m:sty m:val="p"/>
                    </m:rPr>
                    <w:rPr>
                      <w:rFonts w:hint="default" w:ascii="Times New Roman" w:hAnsi="Times New Roman" w:cs="Times New Roman"/>
                      <w:i w:val="0"/>
                      <w:sz w:val="21"/>
                    </w:rPr>
                    <m:t>其他情况</m:t>
                  </m:r>
                  <m:ctrlPr>
                    <w:rPr>
                      <w:rFonts w:hint="default" w:ascii="Cambria Math" w:hAnsi="Cambria Math" w:cs="Times New Roman"/>
                      <w:sz w:val="21"/>
                    </w:rPr>
                  </m:ctrlPr>
                </m:e>
              </m:mr>
            </m:m>
            <m:ctrlPr>
              <w:rPr>
                <w:rFonts w:hint="default" w:ascii="Cambria Math" w:hAnsi="Cambria Math" w:cs="Times New Roman"/>
                <w:i/>
                <w:sz w:val="21"/>
              </w:rPr>
            </m:ctrlPr>
          </m:e>
        </m:d>
      </m:oMath>
      <w:r>
        <w:rPr>
          <w:rFonts w:hint="default" w:ascii="Times New Roman" w:hAnsi="Times New Roman" w:cs="Times New Roman"/>
          <w:i w:val="0"/>
          <w:sz w:val="21"/>
          <w:lang w:val="en-US" w:eastAsia="zh-CN"/>
        </w:rPr>
        <w:t xml:space="preserve">  （1）</w:t>
      </w:r>
    </w:p>
    <w:p w14:paraId="0E69FE30">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连续变量（Distance-to-Default）计算公式为：</w:t>
      </w:r>
    </w:p>
    <w:p w14:paraId="09E651AB">
      <w:pPr>
        <w:jc w:val="right"/>
        <w:rPr>
          <w:rFonts w:hint="default" w:ascii="Times New Roman" w:hAnsi="Times New Roman" w:cs="Times New Roman" w:eastAsiaTheme="minorEastAsia"/>
          <w:color w:val="auto"/>
          <w:lang w:val="en-US" w:eastAsia="zh-CN"/>
        </w:rPr>
      </w:pPr>
      <m:oMath>
        <m:r>
          <m:rPr>
            <m:nor/>
          </m:rPr>
          <w:rPr>
            <w:rFonts w:hint="default" w:ascii="Times New Roman" w:hAnsi="Times New Roman" w:cs="Times New Roman"/>
            <w:i/>
            <w:sz w:val="21"/>
          </w:rPr>
          <m:t>DD</m:t>
        </m:r>
        <m:r>
          <m:rPr>
            <m:nor/>
            <m:sty m:val="p"/>
          </m:rPr>
          <w:rPr>
            <w:rFonts w:hint="default" w:ascii="Times New Roman" w:hAnsi="Times New Roman" w:cs="Times New Roman"/>
            <w:i w:val="0"/>
            <w:sz w:val="21"/>
          </w:rPr>
          <m:t>=</m:t>
        </m:r>
        <m:f>
          <m:fPr>
            <m:ctrlPr>
              <w:rPr>
                <w:rFonts w:hint="default" w:ascii="Cambria Math" w:hAnsi="Cambria Math" w:cs="Times New Roman"/>
                <w:i/>
                <w:sz w:val="21"/>
              </w:rPr>
            </m:ctrlPr>
          </m:fPr>
          <m:num>
            <m:func>
              <m:funcPr>
                <m:ctrlPr>
                  <w:rPr>
                    <w:rFonts w:hint="default" w:ascii="Cambria Math" w:hAnsi="Cambria Math" w:cs="Times New Roman"/>
                    <w:sz w:val="21"/>
                  </w:rPr>
                </m:ctrlPr>
              </m:funcPr>
              <m:fName>
                <m:r>
                  <m:rPr>
                    <m:nor/>
                    <m:sty m:val="p"/>
                  </m:rPr>
                  <w:rPr>
                    <w:rFonts w:hint="default" w:ascii="Times New Roman" w:hAnsi="Times New Roman" w:cs="Times New Roman"/>
                    <w:sz w:val="21"/>
                  </w:rPr>
                  <m:t>ln</m:t>
                </m:r>
                <m:ctrlPr>
                  <w:rPr>
                    <w:rFonts w:hint="default" w:ascii="Cambria Math" w:hAnsi="Cambria Math" w:cs="Times New Roman"/>
                    <w:sz w:val="21"/>
                  </w:rPr>
                </m:ctrlPr>
              </m:fName>
              <m:e>
                <m:d>
                  <m:dPr>
                    <m:ctrlPr>
                      <w:rPr>
                        <w:rFonts w:hint="default" w:ascii="Cambria Math" w:hAnsi="Cambria Math" w:cs="Times New Roman"/>
                        <w:i/>
                        <w:sz w:val="21"/>
                      </w:rPr>
                    </m:ctrlPr>
                  </m:dPr>
                  <m:e>
                    <m:f>
                      <m:fPr>
                        <m:ctrlPr>
                          <w:rPr>
                            <w:rFonts w:hint="default" w:ascii="Cambria Math" w:hAnsi="Cambria Math" w:cs="Times New Roman"/>
                            <w:i/>
                            <w:sz w:val="21"/>
                          </w:rPr>
                        </m:ctrlPr>
                      </m:fPr>
                      <m:num>
                        <m:r>
                          <m:rPr>
                            <m:nor/>
                          </m:rPr>
                          <w:rPr>
                            <w:rFonts w:hint="default" w:ascii="Times New Roman" w:hAnsi="Times New Roman" w:cs="Times New Roman"/>
                            <w:i/>
                            <w:sz w:val="21"/>
                          </w:rPr>
                          <m:t>V</m:t>
                        </m:r>
                        <m:ctrlPr>
                          <w:rPr>
                            <w:rFonts w:hint="default" w:ascii="Cambria Math" w:hAnsi="Cambria Math" w:cs="Times New Roman"/>
                            <w:sz w:val="21"/>
                          </w:rPr>
                        </m:ctrlPr>
                      </m:num>
                      <m:den>
                        <m:r>
                          <m:rPr>
                            <m:nor/>
                          </m:rPr>
                          <w:rPr>
                            <w:rFonts w:hint="default" w:ascii="Times New Roman" w:hAnsi="Times New Roman" w:cs="Times New Roman"/>
                            <w:i/>
                            <w:iCs/>
                            <w:sz w:val="21"/>
                            <w:lang w:val="en-US" w:eastAsia="zh-CN"/>
                          </w:rPr>
                          <m:t>A</m:t>
                        </m:r>
                        <m:ctrlPr>
                          <w:rPr>
                            <w:rFonts w:hint="default" w:ascii="Cambria Math" w:hAnsi="Cambria Math" w:cs="Times New Roman"/>
                            <w:sz w:val="21"/>
                          </w:rPr>
                        </m:ctrlPr>
                      </m:den>
                    </m:f>
                    <m:ctrlPr>
                      <w:rPr>
                        <w:rFonts w:hint="default" w:ascii="Cambria Math" w:hAnsi="Cambria Math" w:cs="Times New Roman"/>
                        <w:i/>
                        <w:sz w:val="21"/>
                      </w:rPr>
                    </m:ctrlPr>
                  </m:e>
                </m:d>
                <m:ctrlPr>
                  <w:rPr>
                    <w:rFonts w:hint="default" w:ascii="Cambria Math" w:hAnsi="Cambria Math" w:cs="Times New Roman"/>
                    <w:i/>
                    <w:sz w:val="21"/>
                  </w:rPr>
                </m:ctrlPr>
              </m:e>
            </m:func>
            <m:r>
              <m:rPr>
                <m:nor/>
                <m:sty m:val="p"/>
              </m:rPr>
              <w:rPr>
                <w:rFonts w:hint="default" w:ascii="Times New Roman" w:hAnsi="Times New Roman" w:cs="Times New Roman"/>
                <w:i w:val="0"/>
                <w:sz w:val="21"/>
              </w:rPr>
              <m:t>+</m:t>
            </m:r>
            <m:d>
              <m:dPr>
                <m:ctrlPr>
                  <w:rPr>
                    <w:rFonts w:hint="default" w:ascii="Cambria Math" w:hAnsi="Cambria Math" w:cs="Times New Roman"/>
                    <w:i/>
                    <w:sz w:val="21"/>
                  </w:rPr>
                </m:ctrlPr>
              </m:dPr>
              <m:e>
                <m:r>
                  <m:rPr>
                    <m:nor/>
                  </m:rPr>
                  <w:rPr>
                    <w:rFonts w:hint="default" w:ascii="Times New Roman" w:hAnsi="Times New Roman" w:cs="Times New Roman"/>
                    <w:i/>
                    <w:sz w:val="21"/>
                  </w:rPr>
                  <m:t>μ</m:t>
                </m:r>
                <m:r>
                  <m:rPr>
                    <m:nor/>
                    <m:sty m:val="p"/>
                  </m:rPr>
                  <w:rPr>
                    <w:rFonts w:hint="default" w:ascii="Times New Roman" w:hAnsi="Times New Roman" w:cs="Times New Roman"/>
                    <w:i w:val="0"/>
                    <w:sz w:val="21"/>
                  </w:rPr>
                  <m:t>−0.5</m:t>
                </m:r>
                <m:sSubSup>
                  <m:sSubSupPr>
                    <m:ctrlPr>
                      <w:rPr>
                        <w:rFonts w:hint="default" w:ascii="Cambria Math" w:hAnsi="Cambria Math" w:cs="Times New Roman"/>
                        <w:sz w:val="21"/>
                      </w:rPr>
                    </m:ctrlPr>
                  </m:sSubSupPr>
                  <m:e>
                    <m:r>
                      <m:rPr>
                        <m:nor/>
                      </m:rPr>
                      <w:rPr>
                        <w:rFonts w:hint="default" w:ascii="Times New Roman" w:hAnsi="Times New Roman" w:cs="Times New Roman"/>
                        <w:i/>
                        <w:sz w:val="21"/>
                      </w:rPr>
                      <m:t>σ</m:t>
                    </m:r>
                    <m:ctrlPr>
                      <w:rPr>
                        <w:rFonts w:hint="default" w:ascii="Cambria Math" w:hAnsi="Cambria Math" w:cs="Times New Roman"/>
                        <w:i/>
                        <w:sz w:val="21"/>
                      </w:rPr>
                    </m:ctrlPr>
                  </m:e>
                  <m:sub>
                    <m:r>
                      <m:rPr>
                        <m:nor/>
                      </m:rPr>
                      <w:rPr>
                        <w:rFonts w:hint="default" w:ascii="Times New Roman" w:hAnsi="Times New Roman" w:cs="Times New Roman"/>
                        <w:i/>
                        <w:sz w:val="21"/>
                      </w:rPr>
                      <m:t>V</m:t>
                    </m:r>
                    <m:ctrlPr>
                      <w:rPr>
                        <w:rFonts w:hint="default" w:ascii="Cambria Math" w:hAnsi="Cambria Math" w:cs="Times New Roman"/>
                        <w:i/>
                        <w:sz w:val="21"/>
                      </w:rPr>
                    </m:ctrlPr>
                  </m:sub>
                  <m:sup>
                    <m:r>
                      <m:rPr>
                        <m:nor/>
                        <m:sty m:val="p"/>
                      </m:rPr>
                      <w:rPr>
                        <w:rFonts w:hint="default" w:ascii="Times New Roman" w:hAnsi="Times New Roman" w:cs="Times New Roman"/>
                        <w:i w:val="0"/>
                        <w:sz w:val="21"/>
                      </w:rPr>
                      <m:t>2</m:t>
                    </m:r>
                    <m:ctrlPr>
                      <w:rPr>
                        <w:rFonts w:hint="default" w:ascii="Cambria Math" w:hAnsi="Cambria Math" w:cs="Times New Roman"/>
                        <w:i/>
                        <w:sz w:val="21"/>
                      </w:rPr>
                    </m:ctrlPr>
                  </m:sup>
                </m:sSubSup>
                <m:ctrlPr>
                  <w:rPr>
                    <w:rFonts w:hint="default" w:ascii="Cambria Math" w:hAnsi="Cambria Math" w:cs="Times New Roman"/>
                    <w:sz w:val="21"/>
                  </w:rPr>
                </m:ctrlPr>
              </m:e>
            </m:d>
            <m:r>
              <m:rPr>
                <m:nor/>
              </m:rPr>
              <w:rPr>
                <w:rFonts w:hint="default" w:ascii="Times New Roman" w:hAnsi="Times New Roman" w:cs="Times New Roman"/>
                <w:i/>
                <w:sz w:val="21"/>
              </w:rPr>
              <m:t>T</m:t>
            </m:r>
            <m:ctrlPr>
              <w:rPr>
                <w:rFonts w:hint="default" w:ascii="Cambria Math" w:hAnsi="Cambria Math" w:cs="Times New Roman"/>
                <w:i/>
                <w:sz w:val="21"/>
              </w:rPr>
            </m:ctrlPr>
          </m:num>
          <m:den>
            <m:sSub>
              <m:sSubPr>
                <m:ctrlPr>
                  <w:rPr>
                    <w:rFonts w:hint="default" w:ascii="Cambria Math" w:hAnsi="Cambria Math" w:cs="Times New Roman"/>
                    <w:sz w:val="21"/>
                  </w:rPr>
                </m:ctrlPr>
              </m:sSubPr>
              <m:e>
                <m:r>
                  <m:rPr>
                    <m:nor/>
                  </m:rPr>
                  <w:rPr>
                    <w:rFonts w:hint="default" w:ascii="Times New Roman" w:hAnsi="Times New Roman" w:cs="Times New Roman"/>
                    <w:i/>
                    <w:sz w:val="21"/>
                  </w:rPr>
                  <m:t>σ</m:t>
                </m:r>
                <m:ctrlPr>
                  <w:rPr>
                    <w:rFonts w:hint="default" w:ascii="Cambria Math" w:hAnsi="Cambria Math" w:cs="Times New Roman"/>
                    <w:sz w:val="21"/>
                  </w:rPr>
                </m:ctrlPr>
              </m:e>
              <m:sub>
                <m:r>
                  <m:rPr>
                    <m:nor/>
                  </m:rPr>
                  <w:rPr>
                    <w:rFonts w:hint="default" w:ascii="Times New Roman" w:hAnsi="Times New Roman" w:cs="Times New Roman"/>
                    <w:i/>
                    <w:sz w:val="21"/>
                  </w:rPr>
                  <m:t>V</m:t>
                </m:r>
                <m:ctrlPr>
                  <w:rPr>
                    <w:rFonts w:hint="default" w:ascii="Cambria Math" w:hAnsi="Cambria Math" w:cs="Times New Roman"/>
                    <w:sz w:val="21"/>
                  </w:rPr>
                </m:ctrlPr>
              </m:sub>
            </m:sSub>
            <m:rad>
              <m:radPr>
                <m:degHide m:val="1"/>
                <m:ctrlPr>
                  <w:rPr>
                    <w:rFonts w:hint="default" w:ascii="Cambria Math" w:hAnsi="Cambria Math" w:cs="Times New Roman"/>
                    <w:i/>
                    <w:sz w:val="21"/>
                  </w:rPr>
                </m:ctrlPr>
              </m:radPr>
              <m:deg>
                <m:ctrlPr>
                  <w:rPr>
                    <w:rFonts w:hint="default" w:ascii="Cambria Math" w:hAnsi="Cambria Math" w:cs="Times New Roman"/>
                    <w:sz w:val="21"/>
                  </w:rPr>
                </m:ctrlPr>
              </m:deg>
              <m:e>
                <m:r>
                  <m:rPr>
                    <m:nor/>
                  </m:rPr>
                  <w:rPr>
                    <w:rFonts w:hint="default" w:ascii="Times New Roman" w:hAnsi="Times New Roman" w:cs="Times New Roman"/>
                    <w:i/>
                    <w:sz w:val="21"/>
                  </w:rPr>
                  <m:t>T</m:t>
                </m:r>
                <m:ctrlPr>
                  <w:rPr>
                    <w:rFonts w:hint="default" w:ascii="Cambria Math" w:hAnsi="Cambria Math" w:cs="Times New Roman"/>
                    <w:sz w:val="21"/>
                  </w:rPr>
                </m:ctrlPr>
              </m:e>
            </m:rad>
            <m:ctrlPr>
              <w:rPr>
                <w:rFonts w:hint="default" w:ascii="Cambria Math" w:hAnsi="Cambria Math" w:cs="Times New Roman"/>
                <w:i/>
                <w:sz w:val="21"/>
              </w:rPr>
            </m:ctrlPr>
          </m:den>
        </m:f>
      </m:oMath>
      <w:r>
        <w:rPr>
          <w:rFonts w:hint="default" w:ascii="Times New Roman" w:hAnsi="Times New Roman" w:cs="Times New Roman"/>
          <w:i w:val="0"/>
          <w:sz w:val="21"/>
          <w:lang w:val="en-US" w:eastAsia="zh-CN"/>
        </w:rPr>
        <w:t xml:space="preserve">                        （2）</w:t>
      </w:r>
    </w:p>
    <w:p w14:paraId="71B85723">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其中V为公司资产市场价值，A为负债面值，</w:t>
      </w:r>
      <m:oMath>
        <m:r>
          <m:rPr>
            <m:nor/>
          </m:rPr>
          <w:rPr>
            <w:rFonts w:hint="default" w:ascii="Times New Roman" w:hAnsi="Times New Roman" w:cs="Times New Roman"/>
            <w:i/>
            <w:sz w:val="21"/>
          </w:rPr>
          <m:t>μ</m:t>
        </m:r>
      </m:oMath>
      <w:r>
        <w:rPr>
          <w:rFonts w:hint="default" w:ascii="Times New Roman" w:hAnsi="Times New Roman" w:cs="Times New Roman"/>
          <w:color w:val="auto"/>
          <w:lang w:val="en-US" w:eastAsia="zh-CN"/>
        </w:rPr>
        <w:t>为资产期望回报率，</w:t>
      </w:r>
      <m:oMath>
        <m:sSub>
          <m:sSubPr>
            <m:ctrlPr>
              <w:rPr>
                <w:rFonts w:hint="default" w:ascii="Cambria Math" w:hAnsi="Cambria Math" w:cs="Times New Roman"/>
                <w:i/>
                <w:color w:val="auto"/>
                <w:lang w:val="en-US"/>
              </w:rPr>
            </m:ctrlPr>
          </m:sSubPr>
          <m:e>
            <m:r>
              <m:rPr>
                <m:nor/>
              </m:rPr>
              <w:rPr>
                <w:rFonts w:hint="default" w:ascii="Times New Roman" w:hAnsi="Times New Roman" w:cs="Times New Roman"/>
                <w:i/>
                <w:sz w:val="21"/>
              </w:rPr>
              <m:t>σ</m:t>
            </m:r>
            <m:ctrlPr>
              <w:rPr>
                <w:rFonts w:hint="default" w:ascii="Cambria Math" w:hAnsi="Cambria Math" w:cs="Times New Roman"/>
                <w:i/>
                <w:color w:val="auto"/>
                <w:lang w:val="en-US"/>
              </w:rPr>
            </m:ctrlPr>
          </m:e>
          <m:sub>
            <m:r>
              <m:rPr>
                <m:nor/>
              </m:rPr>
              <w:rPr>
                <w:rFonts w:hint="default" w:ascii="Times New Roman" w:hAnsi="Times New Roman" w:cs="Times New Roman"/>
                <w:i/>
                <w:sz w:val="21"/>
              </w:rPr>
              <m:t>V</m:t>
            </m:r>
            <m:ctrlPr>
              <w:rPr>
                <w:rFonts w:hint="default" w:ascii="Cambria Math" w:hAnsi="Cambria Math" w:cs="Times New Roman"/>
                <w:i/>
                <w:color w:val="auto"/>
                <w:lang w:val="en-US"/>
              </w:rPr>
            </m:ctrlPr>
          </m:sub>
        </m:sSub>
      </m:oMath>
      <w:r>
        <w:rPr>
          <w:rFonts w:hint="default" w:ascii="Times New Roman" w:hAnsi="Times New Roman" w:cs="Times New Roman"/>
          <w:color w:val="auto"/>
          <w:lang w:val="en-US" w:eastAsia="zh-CN"/>
        </w:rPr>
        <w:t>为资产波动率，T为时间期限。</w:t>
      </w:r>
    </w:p>
    <w:p w14:paraId="0193442B">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15" w:name="_Toc31155"/>
      <w:r>
        <w:rPr>
          <w:rFonts w:hint="default" w:ascii="Times New Roman" w:hAnsi="Times New Roman" w:eastAsia="黑体" w:cs="Times New Roman"/>
          <w:color w:val="auto"/>
          <w:lang w:val="en-US" w:eastAsia="zh-CN"/>
        </w:rPr>
        <w:t>3.2.2</w:t>
      </w:r>
      <w:r>
        <w:rPr>
          <w:rFonts w:hint="default" w:ascii="Times New Roman" w:hAnsi="Times New Roman" w:eastAsia="黑体" w:cs="Times New Roman"/>
          <w:color w:val="auto"/>
          <w:lang w:val="en-US" w:eastAsia="zh-CN"/>
        </w:rPr>
        <w:t>解释变量</w:t>
      </w:r>
      <w:bookmarkEnd w:id="15"/>
    </w:p>
    <w:p w14:paraId="3D19DBD1">
      <w:pPr>
        <w:ind w:firstLine="420" w:firstLineChars="200"/>
        <w:rPr>
          <w:rFonts w:hint="default" w:ascii="Times New Roman" w:hAnsi="Times New Roman" w:cs="Times New Roman"/>
          <w:color w:val="auto"/>
          <w:lang w:eastAsia="zh-CN"/>
        </w:rPr>
      </w:pPr>
      <w:r>
        <w:rPr>
          <w:rFonts w:hint="default" w:ascii="Times New Roman" w:hAnsi="Times New Roman" w:cs="Times New Roman"/>
          <w:color w:val="auto"/>
          <w:lang w:eastAsia="zh-CN"/>
        </w:rPr>
        <w:t>信息不对称指数的构建过程包括文本预处理和词典构建两个部分。在文本预处理阶段，需要进行分词处理，同时去除停用词，并进行词形还原，还要对文本进行标准化。而在词典构建方面，基于金融情感词典，进一步扩展了自定义词典，涵盖风险相关词汇。</w:t>
      </w:r>
    </w:p>
    <w:p w14:paraId="48BE909F">
      <w:pPr>
        <w:ind w:firstLine="420" w:firstLineChars="200"/>
        <w:rPr>
          <w:rFonts w:hint="default" w:ascii="Times New Roman" w:hAnsi="Times New Roman" w:cs="Times New Roman"/>
          <w:color w:val="auto"/>
          <w:lang w:eastAsia="zh-CN"/>
        </w:rPr>
      </w:pPr>
      <w:r>
        <w:rPr>
          <w:rFonts w:hint="default" w:ascii="Times New Roman" w:hAnsi="Times New Roman" w:cs="Times New Roman"/>
          <w:color w:val="auto"/>
          <w:lang w:eastAsia="zh-CN"/>
        </w:rPr>
        <w:t>信息不对称指数</w:t>
      </w:r>
      <w:r>
        <w:rPr>
          <w:rFonts w:hint="default" w:ascii="Times New Roman" w:hAnsi="Times New Roman" w:cs="Times New Roman"/>
          <w:color w:val="auto"/>
          <w:lang w:val="en-US" w:eastAsia="zh-CN"/>
        </w:rPr>
        <w:t>为：</w:t>
      </w:r>
    </w:p>
    <w:p w14:paraId="649EC971">
      <w:pPr>
        <w:jc w:val="right"/>
        <w:rPr>
          <w:rFonts w:hint="default" w:ascii="Times New Roman" w:hAnsi="Times New Roman" w:cs="Times New Roman" w:eastAsiaTheme="minorEastAsia"/>
          <w:color w:val="auto"/>
          <w:lang w:val="en-US" w:eastAsia="zh-CN"/>
        </w:rPr>
      </w:pPr>
      <m:oMath>
        <m:sSub>
          <m:sSubPr>
            <m:ctrlPr>
              <w:rPr>
                <w:rFonts w:hint="default" w:ascii="Cambria Math" w:hAnsi="Cambria Math" w:cs="Times New Roman"/>
                <w:sz w:val="21"/>
              </w:rPr>
            </m:ctrlPr>
          </m:sSubPr>
          <m:e>
            <m:r>
              <m:rPr>
                <m:nor/>
              </m:rPr>
              <w:rPr>
                <w:rFonts w:hint="default" w:ascii="Times New Roman" w:hAnsi="Times New Roman" w:cs="Times New Roman"/>
                <w:i/>
                <w:sz w:val="21"/>
              </w:rPr>
              <m:t>IA</m:t>
            </m:r>
            <m:ctrlPr>
              <w:rPr>
                <w:rFonts w:hint="default" w:ascii="Cambria Math" w:hAnsi="Cambria Math" w:cs="Times New Roman"/>
                <w:sz w:val="21"/>
              </w:rPr>
            </m:ctrlPr>
          </m:e>
          <m:sub>
            <m:sSub>
              <m:sSubPr>
                <m:ctrlPr>
                  <w:rPr>
                    <w:rFonts w:hint="default" w:ascii="Cambria Math" w:hAnsi="Cambria Math" w:cs="Times New Roman"/>
                    <w:sz w:val="21"/>
                  </w:rPr>
                </m:ctrlPr>
              </m:sSubPr>
              <m:e>
                <m:r>
                  <m:rPr>
                    <m:nor/>
                  </m:rPr>
                  <w:rPr>
                    <w:rFonts w:hint="default" w:ascii="Times New Roman" w:hAnsi="Times New Roman" w:cs="Times New Roman"/>
                    <w:i/>
                    <w:sz w:val="21"/>
                  </w:rPr>
                  <m:t>Text</m:t>
                </m:r>
                <m:ctrlPr>
                  <w:rPr>
                    <w:rFonts w:hint="default" w:ascii="Cambria Math" w:hAnsi="Cambria Math" w:cs="Times New Roman"/>
                    <w:sz w:val="21"/>
                  </w:rPr>
                </m:ctrlPr>
              </m:e>
              <m:sub>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ctrlPr>
                  <w:rPr>
                    <w:rFonts w:hint="default" w:ascii="Cambria Math" w:hAnsi="Cambria Math" w:cs="Times New Roman"/>
                    <w:sz w:val="21"/>
                  </w:rPr>
                </m:ctrlPr>
              </m:sub>
            </m:sSub>
            <m:ctrlPr>
              <w:rPr>
                <w:rFonts w:hint="default" w:ascii="Cambria Math" w:hAnsi="Cambria Math" w:cs="Times New Roman"/>
                <w:sz w:val="21"/>
              </w:rPr>
            </m:ctrlPr>
          </m:sub>
        </m:sSub>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w</m:t>
            </m:r>
            <m:ctrlPr>
              <w:rPr>
                <w:rFonts w:hint="default" w:ascii="Cambria Math" w:hAnsi="Cambria Math" w:cs="Times New Roman"/>
                <w:sz w:val="21"/>
              </w:rPr>
            </m:ctrlPr>
          </m:e>
          <m:sub>
            <m:r>
              <m:rPr>
                <m:nor/>
                <m:sty m:val="p"/>
              </m:rPr>
              <w:rPr>
                <w:rFonts w:hint="default" w:ascii="Times New Roman" w:hAnsi="Times New Roman" w:cs="Times New Roman"/>
                <w:i w:val="0"/>
                <w:sz w:val="21"/>
              </w:rPr>
              <m:t>1</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d>
          <m:dPr>
            <m:ctrlPr>
              <w:rPr>
                <w:rFonts w:hint="default" w:ascii="Cambria Math" w:hAnsi="Cambria Math" w:cs="Times New Roman"/>
                <w:i/>
                <w:sz w:val="21"/>
              </w:rPr>
            </m:ctrlPr>
          </m:dPr>
          <m:e>
            <m:f>
              <m:fPr>
                <m:ctrlPr>
                  <w:rPr>
                    <w:rFonts w:hint="default" w:ascii="Cambria Math" w:hAnsi="Cambria Math" w:cs="Times New Roman"/>
                    <w:i/>
                    <w:sz w:val="21"/>
                  </w:rPr>
                </m:ctrlPr>
              </m:fPr>
              <m:num>
                <m:sSub>
                  <m:sSubPr>
                    <m:ctrlPr>
                      <w:rPr>
                        <w:rFonts w:hint="default" w:ascii="Cambria Math" w:hAnsi="Cambria Math" w:cs="Times New Roman"/>
                        <w:sz w:val="21"/>
                      </w:rPr>
                    </m:ctrlPr>
                  </m:sSubPr>
                  <m:e>
                    <m:r>
                      <m:rPr>
                        <m:nor/>
                      </m:rPr>
                      <w:rPr>
                        <w:rFonts w:hint="default" w:ascii="Times New Roman" w:hAnsi="Times New Roman" w:cs="Times New Roman"/>
                        <w:i/>
                        <w:sz w:val="21"/>
                      </w:rPr>
                      <m:t>N</m:t>
                    </m:r>
                    <m:ctrlPr>
                      <w:rPr>
                        <w:rFonts w:hint="default" w:ascii="Cambria Math" w:hAnsi="Cambria Math" w:cs="Times New Roman"/>
                        <w:sz w:val="21"/>
                      </w:rPr>
                    </m:ctrlPr>
                  </m:e>
                  <m:sub>
                    <m:sSub>
                      <m:sSubPr>
                        <m:ctrlPr>
                          <w:rPr>
                            <w:rFonts w:hint="default" w:ascii="Cambria Math" w:hAnsi="Cambria Math" w:cs="Times New Roman"/>
                            <w:sz w:val="21"/>
                          </w:rPr>
                        </m:ctrlPr>
                      </m:sSubPr>
                      <m:e>
                        <m:r>
                          <m:rPr>
                            <m:nor/>
                          </m:rPr>
                          <w:rPr>
                            <w:rFonts w:hint="default" w:ascii="Times New Roman" w:hAnsi="Times New Roman" w:cs="Times New Roman"/>
                            <w:i/>
                            <w:sz w:val="21"/>
                          </w:rPr>
                          <m:t>uncertain</m:t>
                        </m:r>
                        <m:ctrlPr>
                          <w:rPr>
                            <w:rFonts w:hint="default" w:ascii="Cambria Math" w:hAnsi="Cambria Math" w:cs="Times New Roman"/>
                            <w:sz w:val="21"/>
                          </w:rPr>
                        </m:ctrlPr>
                      </m:e>
                      <m:sub>
                        <m:r>
                          <m:rPr>
                            <m:nor/>
                          </m:rPr>
                          <w:rPr>
                            <w:rFonts w:hint="default" w:ascii="Times New Roman" w:hAnsi="Times New Roman" w:cs="Times New Roman"/>
                            <w:i/>
                            <w:iCs/>
                            <w:sz w:val="21"/>
                            <w:lang w:val="en-US" w:eastAsia="zh-CN"/>
                          </w:rPr>
                          <m:t>i</m:t>
                        </m:r>
                        <m:r>
                          <m:rPr>
                            <m:nor/>
                            <m:sty m:val="p"/>
                          </m:rPr>
                          <w:rPr>
                            <w:rFonts w:hint="default" w:ascii="Times New Roman" w:hAnsi="Times New Roman" w:cs="Times New Roman"/>
                            <w:i w:val="0"/>
                            <w:iCs/>
                            <w:sz w:val="21"/>
                            <w:lang w:val="en-US" w:eastAsia="zh-CN"/>
                          </w:rPr>
                          <m:t>,</m:t>
                        </m:r>
                        <m:r>
                          <m:rPr>
                            <m:nor/>
                          </m:rPr>
                          <w:rPr>
                            <w:rFonts w:hint="default" w:ascii="Times New Roman" w:hAnsi="Times New Roman" w:cs="Times New Roman"/>
                            <w:i/>
                            <w:iCs/>
                            <w:sz w:val="21"/>
                            <w:lang w:val="en-US" w:eastAsia="zh-CN"/>
                          </w:rPr>
                          <m:t>t</m:t>
                        </m:r>
                        <m:ctrlPr>
                          <w:rPr>
                            <w:rFonts w:hint="default" w:ascii="Cambria Math" w:hAnsi="Cambria Math" w:cs="Times New Roman"/>
                            <w:sz w:val="21"/>
                          </w:rPr>
                        </m:ctrlPr>
                      </m:sub>
                    </m:sSub>
                    <m:ctrlPr>
                      <w:rPr>
                        <w:rFonts w:hint="default" w:ascii="Cambria Math" w:hAnsi="Cambria Math" w:cs="Times New Roman"/>
                        <w:sz w:val="21"/>
                      </w:rPr>
                    </m:ctrlPr>
                  </m:sub>
                </m:sSub>
                <m:ctrlPr>
                  <w:rPr>
                    <w:rFonts w:hint="default" w:ascii="Cambria Math" w:hAnsi="Cambria Math" w:cs="Times New Roman"/>
                    <w:sz w:val="21"/>
                  </w:rPr>
                </m:ctrlPr>
              </m:num>
              <m:den>
                <m:sSub>
                  <m:sSubPr>
                    <m:ctrlPr>
                      <w:rPr>
                        <w:rFonts w:hint="default" w:ascii="Cambria Math" w:hAnsi="Cambria Math" w:cs="Times New Roman"/>
                        <w:sz w:val="21"/>
                      </w:rPr>
                    </m:ctrlPr>
                  </m:sSubPr>
                  <m:e>
                    <m:r>
                      <m:rPr>
                        <m:nor/>
                      </m:rPr>
                      <w:rPr>
                        <w:rFonts w:hint="default" w:ascii="Times New Roman" w:hAnsi="Times New Roman" w:cs="Times New Roman"/>
                        <w:i/>
                        <w:sz w:val="21"/>
                      </w:rPr>
                      <m:t>N</m:t>
                    </m:r>
                    <m:ctrlPr>
                      <w:rPr>
                        <w:rFonts w:hint="default" w:ascii="Cambria Math" w:hAnsi="Cambria Math" w:cs="Times New Roman"/>
                        <w:sz w:val="21"/>
                      </w:rPr>
                    </m:ctrlPr>
                  </m:e>
                  <m:sub>
                    <m:sSub>
                      <m:sSubPr>
                        <m:ctrlPr>
                          <w:rPr>
                            <w:rFonts w:hint="default" w:ascii="Cambria Math" w:hAnsi="Cambria Math" w:cs="Times New Roman"/>
                            <w:sz w:val="21"/>
                          </w:rPr>
                        </m:ctrlPr>
                      </m:sSubPr>
                      <m:e>
                        <m:r>
                          <m:rPr>
                            <m:nor/>
                          </m:rPr>
                          <w:rPr>
                            <w:rFonts w:hint="default" w:ascii="Times New Roman" w:hAnsi="Times New Roman" w:cs="Times New Roman"/>
                            <w:i/>
                            <w:sz w:val="21"/>
                          </w:rPr>
                          <m:t>total</m:t>
                        </m:r>
                        <m:ctrlPr>
                          <w:rPr>
                            <w:rFonts w:hint="default" w:ascii="Cambria Math" w:hAnsi="Cambria Math" w:cs="Times New Roman"/>
                            <w:sz w:val="21"/>
                          </w:rPr>
                        </m:ctrlPr>
                      </m:e>
                      <m:sub>
                        <m:r>
                          <m:rPr>
                            <m:nor/>
                          </m:rPr>
                          <w:rPr>
                            <w:rFonts w:hint="default" w:ascii="Times New Roman" w:hAnsi="Times New Roman" w:cs="Times New Roman"/>
                            <w:i/>
                            <w:iCs/>
                            <w:sz w:val="21"/>
                            <w:lang w:val="en-US" w:eastAsia="zh-CN"/>
                          </w:rPr>
                          <m:t>i</m:t>
                        </m:r>
                        <m:r>
                          <m:rPr>
                            <m:nor/>
                            <m:sty m:val="p"/>
                          </m:rPr>
                          <w:rPr>
                            <w:rFonts w:hint="default" w:ascii="Times New Roman" w:hAnsi="Times New Roman" w:cs="Times New Roman"/>
                            <w:i w:val="0"/>
                            <w:iCs/>
                            <w:sz w:val="21"/>
                            <w:lang w:val="en-US" w:eastAsia="zh-CN"/>
                          </w:rPr>
                          <m:t>,</m:t>
                        </m:r>
                        <m:r>
                          <m:rPr>
                            <m:nor/>
                          </m:rPr>
                          <w:rPr>
                            <w:rFonts w:hint="default" w:ascii="Times New Roman" w:hAnsi="Times New Roman" w:cs="Times New Roman"/>
                            <w:i/>
                            <w:iCs/>
                            <w:sz w:val="21"/>
                            <w:lang w:val="en-US" w:eastAsia="zh-CN"/>
                          </w:rPr>
                          <m:t>t</m:t>
                        </m:r>
                        <m:ctrlPr>
                          <w:rPr>
                            <w:rFonts w:hint="default" w:ascii="Cambria Math" w:hAnsi="Cambria Math" w:cs="Times New Roman"/>
                            <w:sz w:val="21"/>
                          </w:rPr>
                        </m:ctrlPr>
                      </m:sub>
                    </m:sSub>
                    <m:ctrlPr>
                      <w:rPr>
                        <w:rFonts w:hint="default" w:ascii="Cambria Math" w:hAnsi="Cambria Math" w:cs="Times New Roman"/>
                        <w:sz w:val="21"/>
                      </w:rPr>
                    </m:ctrlPr>
                  </m:sub>
                </m:sSub>
                <m:ctrlPr>
                  <w:rPr>
                    <w:rFonts w:hint="default" w:ascii="Cambria Math" w:hAnsi="Cambria Math" w:cs="Times New Roman"/>
                    <w:sz w:val="21"/>
                  </w:rPr>
                </m:ctrlPr>
              </m:den>
            </m:f>
            <m:ctrlPr>
              <w:rPr>
                <w:rFonts w:hint="default" w:ascii="Cambria Math" w:hAnsi="Cambria Math" w:cs="Times New Roman"/>
                <w:i/>
                <w:sz w:val="21"/>
              </w:rPr>
            </m:ctrlPr>
          </m:e>
        </m:d>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w</m:t>
            </m:r>
            <m:ctrlPr>
              <w:rPr>
                <w:rFonts w:hint="default" w:ascii="Cambria Math" w:hAnsi="Cambria Math" w:cs="Times New Roman"/>
                <w:i/>
                <w:sz w:val="21"/>
              </w:rPr>
            </m:ctrlPr>
          </m:e>
          <m:sub>
            <m:r>
              <m:rPr>
                <m:nor/>
                <m:sty m:val="p"/>
              </m:rPr>
              <w:rPr>
                <w:rFonts w:hint="default" w:ascii="Times New Roman" w:hAnsi="Times New Roman" w:cs="Times New Roman"/>
                <w:i w:val="0"/>
                <w:sz w:val="21"/>
              </w:rPr>
              <m:t>2</m:t>
            </m:r>
            <m:ctrlPr>
              <w:rPr>
                <w:rFonts w:hint="default" w:ascii="Cambria Math" w:hAnsi="Cambria Math" w:cs="Times New Roman"/>
                <w:i/>
                <w:sz w:val="21"/>
              </w:rPr>
            </m:ctrlPr>
          </m:sub>
        </m:sSub>
        <m:r>
          <m:rPr>
            <m:nor/>
            <m:sty m:val="p"/>
          </m:rPr>
          <w:rPr>
            <w:rFonts w:hint="default" w:ascii="Times New Roman" w:hAnsi="Times New Roman" w:cs="Times New Roman"/>
            <w:i w:val="0"/>
            <w:sz w:val="21"/>
          </w:rPr>
          <m:t>×(1−</m:t>
        </m:r>
        <m:sSub>
          <m:sSubPr>
            <m:ctrlPr>
              <w:rPr>
                <w:rFonts w:hint="default" w:ascii="Cambria Math" w:hAnsi="Cambria Math" w:cs="Times New Roman"/>
                <w:sz w:val="21"/>
              </w:rPr>
            </m:ctrlPr>
          </m:sSubPr>
          <m:e>
            <m:r>
              <m:rPr>
                <m:nor/>
              </m:rPr>
              <w:rPr>
                <w:rFonts w:hint="default" w:ascii="Times New Roman" w:hAnsi="Times New Roman" w:cs="Times New Roman"/>
                <w:i/>
                <w:sz w:val="21"/>
              </w:rPr>
              <m:t>Sim</m:t>
            </m:r>
            <m:ctrlPr>
              <w:rPr>
                <w:rFonts w:hint="default" w:ascii="Cambria Math" w:hAnsi="Cambria Math" w:cs="Times New Roman"/>
                <w:i/>
                <w:sz w:val="21"/>
              </w:rPr>
            </m:ctrlPr>
          </m:e>
          <m:sub>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ctrlPr>
              <w:rPr>
                <w:rFonts w:hint="default" w:ascii="Cambria Math" w:hAnsi="Cambria Math" w:cs="Times New Roman"/>
                <w:i/>
                <w:sz w:val="21"/>
              </w:rPr>
            </m:ctrlPr>
          </m:sub>
        </m:sSub>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w</m:t>
            </m:r>
            <m:ctrlPr>
              <w:rPr>
                <w:rFonts w:hint="default" w:ascii="Cambria Math" w:hAnsi="Cambria Math" w:cs="Times New Roman"/>
                <w:i/>
                <w:sz w:val="21"/>
              </w:rPr>
            </m:ctrlPr>
          </m:e>
          <m:sub>
            <m:r>
              <m:rPr>
                <m:nor/>
                <m:sty m:val="p"/>
              </m:rPr>
              <w:rPr>
                <w:rFonts w:hint="default" w:ascii="Times New Roman" w:hAnsi="Times New Roman" w:cs="Times New Roman"/>
                <w:i w:val="0"/>
                <w:sz w:val="21"/>
              </w:rPr>
              <m:t>3</m:t>
            </m:r>
            <m:ctrlPr>
              <w:rPr>
                <w:rFonts w:hint="default" w:ascii="Cambria Math" w:hAnsi="Cambria Math" w:cs="Times New Roman"/>
                <w:i/>
                <w:sz w:val="21"/>
              </w:rPr>
            </m:ctrlPr>
          </m:sub>
        </m:sSub>
        <m:r>
          <m:rPr>
            <m:nor/>
            <m:sty m:val="p"/>
          </m:rPr>
          <w:rPr>
            <w:rFonts w:hint="default" w:ascii="Times New Roman" w:hAnsi="Times New Roman" w:cs="Times New Roman"/>
            <w:i w:val="0"/>
            <w:sz w:val="21"/>
          </w:rPr>
          <m:t>×</m:t>
        </m:r>
        <m:nary>
          <m:naryPr>
            <m:chr m:val="∑"/>
            <m:limLoc m:val="undOvr"/>
            <m:supHide m:val="1"/>
            <m:ctrlPr>
              <w:rPr>
                <w:rFonts w:hint="default" w:ascii="Cambria Math" w:hAnsi="Cambria Math" w:cs="Times New Roman"/>
                <w:i/>
                <w:sz w:val="21"/>
              </w:rPr>
            </m:ctrlPr>
          </m:naryPr>
          <m:sub>
            <m:r>
              <m:rPr>
                <m:nor/>
              </m:rPr>
              <w:rPr>
                <w:rFonts w:hint="default" w:ascii="Times New Roman" w:hAnsi="Times New Roman" w:cs="Times New Roman"/>
                <w:i/>
                <w:sz w:val="21"/>
              </w:rPr>
              <m:t>k</m:t>
            </m:r>
            <m:ctrlPr>
              <w:rPr>
                <w:rFonts w:hint="default" w:ascii="Cambria Math" w:hAnsi="Cambria Math" w:cs="Times New Roman"/>
                <w:i/>
                <w:sz w:val="21"/>
              </w:rPr>
            </m:ctrlPr>
          </m:sub>
          <m:sup>
            <m:ctrlPr>
              <w:rPr>
                <w:rFonts w:hint="default" w:ascii="Cambria Math" w:hAnsi="Cambria Math" w:cs="Times New Roman"/>
                <w:i/>
                <w:sz w:val="21"/>
              </w:rPr>
            </m:ctrlPr>
          </m:sup>
          <m:e>
            <m:r>
              <m:rPr>
                <m:nor/>
                <m:sty m:val="p"/>
              </m:rPr>
              <w:rPr>
                <w:rFonts w:hint="default" w:ascii="Times New Roman" w:hAnsi="Times New Roman" w:cs="Times New Roman"/>
                <w:i w:val="0"/>
                <w:sz w:val="21"/>
              </w:rPr>
              <m:t>(</m:t>
            </m:r>
            <m:ctrlPr>
              <w:rPr>
                <w:rFonts w:hint="default" w:ascii="Cambria Math" w:hAnsi="Cambria Math" w:cs="Times New Roman"/>
                <w:i/>
                <w:sz w:val="21"/>
              </w:rPr>
            </m:ctrlPr>
          </m:e>
        </m:nary>
        <m:sSub>
          <m:sSubPr>
            <m:ctrlPr>
              <w:rPr>
                <w:rFonts w:hint="default" w:ascii="Cambria Math" w:hAnsi="Cambria Math" w:cs="Times New Roman"/>
                <w:sz w:val="21"/>
              </w:rPr>
            </m:ctrlPr>
          </m:sSubPr>
          <m:e>
            <m:r>
              <m:rPr>
                <m:nor/>
              </m:rPr>
              <w:rPr>
                <w:rFonts w:hint="default" w:ascii="Times New Roman" w:hAnsi="Times New Roman" w:cs="Times New Roman"/>
                <w:i/>
                <w:sz w:val="21"/>
              </w:rPr>
              <m:t>TFIDF</m:t>
            </m:r>
            <m:ctrlPr>
              <w:rPr>
                <w:rFonts w:hint="default" w:ascii="Cambria Math" w:hAnsi="Cambria Math" w:cs="Times New Roman"/>
                <w:i/>
                <w:sz w:val="21"/>
              </w:rPr>
            </m:ctrlPr>
          </m:e>
          <m:sub>
            <m:r>
              <m:rPr>
                <m:nor/>
              </m:rPr>
              <w:rPr>
                <w:rFonts w:hint="default" w:ascii="Times New Roman" w:hAnsi="Times New Roman" w:cs="Times New Roman"/>
                <w:i/>
                <w:sz w:val="21"/>
              </w:rPr>
              <m:t>k</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ctrlPr>
              <w:rPr>
                <w:rFonts w:hint="default" w:ascii="Cambria Math" w:hAnsi="Cambria Math" w:cs="Times New Roman"/>
                <w:i/>
                <w:sz w:val="21"/>
              </w:rPr>
            </m:ctrlPr>
          </m:sub>
        </m:sSub>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I</m:t>
            </m:r>
            <m:ctrlPr>
              <w:rPr>
                <w:rFonts w:hint="default" w:ascii="Cambria Math" w:hAnsi="Cambria Math" w:cs="Times New Roman"/>
                <w:i/>
                <w:sz w:val="21"/>
              </w:rPr>
            </m:ctrlPr>
          </m:e>
          <m:sub>
            <m:r>
              <m:rPr>
                <m:nor/>
              </m:rPr>
              <w:rPr>
                <w:rFonts w:hint="default" w:ascii="Times New Roman" w:hAnsi="Times New Roman" w:cs="Times New Roman"/>
                <w:i/>
                <w:sz w:val="21"/>
                <w:lang w:val="en-US" w:eastAsia="zh-CN"/>
              </w:rPr>
              <m:t>risk</m:t>
            </m:r>
            <m:ctrlPr>
              <w:rPr>
                <w:rFonts w:hint="default" w:ascii="Cambria Math" w:hAnsi="Cambria Math" w:cs="Times New Roman"/>
                <w:i/>
                <w:sz w:val="21"/>
              </w:rPr>
            </m:ctrlPr>
          </m:sub>
        </m:sSub>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k</m:t>
        </m:r>
        <m:r>
          <m:rPr>
            <m:nor/>
            <m:sty m:val="p"/>
          </m:rPr>
          <w:rPr>
            <w:rFonts w:hint="default" w:ascii="Times New Roman" w:hAnsi="Times New Roman" w:cs="Times New Roman"/>
            <w:i w:val="0"/>
            <w:sz w:val="21"/>
          </w:rPr>
          <m:t>))</m:t>
        </m:r>
      </m:oMath>
      <w:r>
        <m:rPr/>
        <w:rPr>
          <w:rFonts w:hint="default" w:ascii="Times New Roman" w:hAnsi="Times New Roman" w:cs="Times New Roman"/>
          <w:i w:val="0"/>
          <w:sz w:val="21"/>
          <w:lang w:val="en-US" w:eastAsia="zh-CN"/>
        </w:rPr>
        <w:t xml:space="preserve"> （3）</w:t>
      </w:r>
    </w:p>
    <w:p w14:paraId="42A00E1D">
      <w:pPr>
        <w:ind w:firstLine="420" w:firstLineChars="200"/>
        <w:rPr>
          <w:rFonts w:hint="default" w:ascii="Times New Roman" w:hAnsi="Times New Roman" w:cs="Times New Roman"/>
          <w:color w:val="auto"/>
          <w:lang w:eastAsia="zh-CN"/>
        </w:rPr>
      </w:pPr>
      <w:r>
        <w:rPr>
          <w:rFonts w:hint="default" w:ascii="Times New Roman" w:hAnsi="Times New Roman" w:cs="Times New Roman"/>
          <w:color w:val="auto"/>
          <w:lang w:eastAsia="zh-CN"/>
        </w:rPr>
        <w:t>其中</w:t>
      </w:r>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IA</m:t>
            </m:r>
            <m:ctrlPr>
              <w:rPr>
                <w:rFonts w:hint="default" w:ascii="Cambria Math" w:hAnsi="Cambria Math" w:cs="Times New Roman"/>
                <w:sz w:val="21"/>
              </w:rPr>
            </m:ctrlPr>
          </m:e>
          <m:sub>
            <m:sSub>
              <m:sSubPr>
                <m:ctrlPr>
                  <w:rPr>
                    <w:rFonts w:hint="default" w:ascii="Cambria Math" w:hAnsi="Cambria Math" w:cs="Times New Roman"/>
                    <w:sz w:val="21"/>
                  </w:rPr>
                </m:ctrlPr>
              </m:sSubPr>
              <m:e>
                <m:r>
                  <m:rPr>
                    <m:nor/>
                  </m:rPr>
                  <w:rPr>
                    <w:rFonts w:hint="default" w:ascii="Times New Roman" w:hAnsi="Times New Roman" w:cs="Times New Roman"/>
                    <w:i/>
                    <w:sz w:val="21"/>
                  </w:rPr>
                  <m:t>Text</m:t>
                </m:r>
                <m:ctrlPr>
                  <w:rPr>
                    <w:rFonts w:hint="default" w:ascii="Cambria Math" w:hAnsi="Cambria Math" w:cs="Times New Roman"/>
                    <w:sz w:val="21"/>
                  </w:rPr>
                </m:ctrlPr>
              </m:e>
              <m:sub>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ctrlPr>
                  <w:rPr>
                    <w:rFonts w:hint="default" w:ascii="Cambria Math" w:hAnsi="Cambria Math" w:cs="Times New Roman"/>
                    <w:sz w:val="21"/>
                  </w:rPr>
                </m:ctrlPr>
              </m:sub>
            </m:sSub>
            <m:ctrlPr>
              <w:rPr>
                <w:rFonts w:hint="default" w:ascii="Cambria Math" w:hAnsi="Cambria Math" w:cs="Times New Roman"/>
                <w:sz w:val="21"/>
              </w:rPr>
            </m:ctrlPr>
          </m:sub>
        </m:sSub>
      </m:oMath>
      <w:r>
        <w:rPr>
          <w:rFonts w:hint="default" w:ascii="Times New Roman" w:hAnsi="Times New Roman" w:cs="Times New Roman"/>
          <w:color w:val="auto"/>
          <w:lang w:eastAsia="zh-CN"/>
        </w:rPr>
        <w:t>是公司i在时间t的信息不对称指数</w:t>
      </w:r>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w</m:t>
            </m:r>
            <m:ctrlPr>
              <w:rPr>
                <w:rFonts w:hint="default" w:ascii="Cambria Math" w:hAnsi="Cambria Math" w:cs="Times New Roman"/>
                <w:sz w:val="21"/>
              </w:rPr>
            </m:ctrlPr>
          </m:e>
          <m:sub>
            <m:r>
              <m:rPr>
                <m:nor/>
                <m:sty m:val="p"/>
              </m:rPr>
              <w:rPr>
                <w:rFonts w:hint="default" w:ascii="Times New Roman" w:hAnsi="Times New Roman" w:cs="Times New Roman"/>
                <w:i w:val="0"/>
                <w:sz w:val="21"/>
              </w:rPr>
              <m:t>1</m:t>
            </m:r>
            <m:ctrlPr>
              <w:rPr>
                <w:rFonts w:hint="default" w:ascii="Cambria Math" w:hAnsi="Cambria Math" w:cs="Times New Roman"/>
                <w:sz w:val="21"/>
              </w:rPr>
            </m:ctrlPr>
          </m:sub>
        </m:sSub>
      </m:oMath>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w</m:t>
            </m:r>
            <m:ctrlPr>
              <w:rPr>
                <w:rFonts w:hint="default" w:ascii="Cambria Math" w:hAnsi="Cambria Math" w:cs="Times New Roman"/>
                <w:i/>
                <w:sz w:val="21"/>
              </w:rPr>
            </m:ctrlPr>
          </m:e>
          <m:sub>
            <m:r>
              <m:rPr>
                <m:nor/>
                <m:sty m:val="p"/>
              </m:rPr>
              <w:rPr>
                <w:rFonts w:hint="default" w:ascii="Times New Roman" w:hAnsi="Times New Roman" w:cs="Times New Roman"/>
                <w:i w:val="0"/>
                <w:sz w:val="21"/>
              </w:rPr>
              <m:t>2</m:t>
            </m:r>
            <m:ctrlPr>
              <w:rPr>
                <w:rFonts w:hint="default" w:ascii="Cambria Math" w:hAnsi="Cambria Math" w:cs="Times New Roman"/>
                <w:i/>
                <w:sz w:val="21"/>
              </w:rPr>
            </m:ctrlPr>
          </m:sub>
        </m:sSub>
      </m:oMath>
      <w:r>
        <w:rPr>
          <w:rFonts w:hint="default" w:ascii="Times New Roman" w:hAnsi="Times New Roman" w:cs="Times New Roman"/>
          <w:color w:val="auto"/>
          <w:lang w:eastAsia="zh-CN"/>
        </w:rPr>
        <w:t>和</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w</m:t>
            </m:r>
            <m:ctrlPr>
              <w:rPr>
                <w:rFonts w:hint="default" w:ascii="Cambria Math" w:hAnsi="Cambria Math" w:cs="Times New Roman"/>
                <w:i/>
                <w:sz w:val="21"/>
              </w:rPr>
            </m:ctrlPr>
          </m:e>
          <m:sub>
            <m:r>
              <m:rPr>
                <m:nor/>
                <m:sty m:val="p"/>
              </m:rPr>
              <w:rPr>
                <w:rFonts w:hint="default" w:ascii="Times New Roman" w:hAnsi="Times New Roman" w:cs="Times New Roman"/>
                <w:i w:val="0"/>
                <w:sz w:val="21"/>
              </w:rPr>
              <m:t>3</m:t>
            </m:r>
            <m:ctrlPr>
              <w:rPr>
                <w:rFonts w:hint="default" w:ascii="Cambria Math" w:hAnsi="Cambria Math" w:cs="Times New Roman"/>
                <w:i/>
                <w:sz w:val="21"/>
              </w:rPr>
            </m:ctrlPr>
          </m:sub>
        </m:sSub>
      </m:oMath>
      <w:r>
        <w:rPr>
          <w:rFonts w:hint="default" w:ascii="Times New Roman" w:hAnsi="Times New Roman" w:cs="Times New Roman"/>
          <w:color w:val="auto"/>
          <w:lang w:eastAsia="zh-CN"/>
        </w:rPr>
        <w:t>是权重系数</w:t>
      </w:r>
      <w:r>
        <w:rPr>
          <w:rFonts w:hint="default" w:ascii="Times New Roman" w:hAnsi="Times New Roman" w:cs="Times New Roman"/>
          <w:color w:val="auto"/>
          <w:lang w:val="en-US"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N</m:t>
            </m:r>
            <m:ctrlPr>
              <w:rPr>
                <w:rFonts w:hint="default" w:ascii="Cambria Math" w:hAnsi="Cambria Math" w:cs="Times New Roman"/>
                <w:sz w:val="21"/>
              </w:rPr>
            </m:ctrlPr>
          </m:e>
          <m:sub>
            <m:sSub>
              <m:sSubPr>
                <m:ctrlPr>
                  <w:rPr>
                    <w:rFonts w:hint="default" w:ascii="Cambria Math" w:hAnsi="Cambria Math" w:cs="Times New Roman"/>
                    <w:sz w:val="21"/>
                  </w:rPr>
                </m:ctrlPr>
              </m:sSubPr>
              <m:e>
                <m:r>
                  <m:rPr>
                    <m:nor/>
                  </m:rPr>
                  <w:rPr>
                    <w:rFonts w:hint="default" w:ascii="Times New Roman" w:hAnsi="Times New Roman" w:cs="Times New Roman"/>
                    <w:i/>
                    <w:sz w:val="21"/>
                  </w:rPr>
                  <m:t>uncertain</m:t>
                </m:r>
                <m:ctrlPr>
                  <w:rPr>
                    <w:rFonts w:hint="default" w:ascii="Cambria Math" w:hAnsi="Cambria Math" w:cs="Times New Roman"/>
                    <w:sz w:val="21"/>
                  </w:rPr>
                </m:ctrlPr>
              </m:e>
              <m:sub>
                <m:r>
                  <m:rPr>
                    <m:nor/>
                  </m:rPr>
                  <w:rPr>
                    <w:rFonts w:hint="default" w:ascii="Times New Roman" w:hAnsi="Times New Roman" w:cs="Times New Roman"/>
                    <w:i/>
                    <w:sz w:val="21"/>
                    <w:lang w:val="en-US" w:eastAsia="zh-CN"/>
                  </w:rPr>
                  <m:t>i</m:t>
                </m:r>
                <m:r>
                  <m:rPr>
                    <m:nor/>
                    <m:sty m:val="p"/>
                  </m:rPr>
                  <w:rPr>
                    <w:rFonts w:hint="default" w:ascii="Times New Roman" w:hAnsi="Times New Roman" w:cs="Times New Roman"/>
                    <w:i w:val="0"/>
                    <w:sz w:val="21"/>
                    <w:lang w:val="en-US" w:eastAsia="zh-CN"/>
                  </w:rPr>
                  <m:t>,</m:t>
                </m:r>
                <m:r>
                  <m:rPr>
                    <m:nor/>
                  </m:rPr>
                  <w:rPr>
                    <w:rFonts w:hint="default" w:ascii="Times New Roman" w:hAnsi="Times New Roman" w:cs="Times New Roman"/>
                    <w:i/>
                    <w:sz w:val="21"/>
                    <w:lang w:val="en-US" w:eastAsia="zh-CN"/>
                  </w:rPr>
                  <m:t>t</m:t>
                </m:r>
                <m:ctrlPr>
                  <w:rPr>
                    <w:rFonts w:hint="default" w:ascii="Cambria Math" w:hAnsi="Cambria Math" w:cs="Times New Roman"/>
                    <w:sz w:val="21"/>
                  </w:rPr>
                </m:ctrlPr>
              </m:sub>
            </m:sSub>
            <m:ctrlPr>
              <w:rPr>
                <w:rFonts w:hint="default" w:ascii="Cambria Math" w:hAnsi="Cambria Math" w:cs="Times New Roman"/>
                <w:sz w:val="21"/>
              </w:rPr>
            </m:ctrlPr>
          </m:sub>
        </m:sSub>
      </m:oMath>
      <w:r>
        <w:rPr>
          <w:rFonts w:hint="default" w:ascii="Times New Roman" w:hAnsi="Times New Roman" w:cs="Times New Roman"/>
          <w:color w:val="auto"/>
          <w:lang w:eastAsia="zh-CN"/>
        </w:rPr>
        <w:t>是公司i在时间t的不确定性词汇数量</w:t>
      </w:r>
      <w:r>
        <w:rPr>
          <w:rFonts w:hint="default" w:ascii="Times New Roman" w:hAnsi="Times New Roman" w:cs="Times New Roman"/>
          <w:color w:val="auto"/>
          <w:lang w:val="en-US"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N</m:t>
            </m:r>
            <m:ctrlPr>
              <w:rPr>
                <w:rFonts w:hint="default" w:ascii="Cambria Math" w:hAnsi="Cambria Math" w:cs="Times New Roman"/>
                <w:sz w:val="21"/>
              </w:rPr>
            </m:ctrlPr>
          </m:e>
          <m:sub>
            <m:sSub>
              <m:sSubPr>
                <m:ctrlPr>
                  <w:rPr>
                    <w:rFonts w:hint="default" w:ascii="Cambria Math" w:hAnsi="Cambria Math" w:cs="Times New Roman"/>
                    <w:sz w:val="21"/>
                  </w:rPr>
                </m:ctrlPr>
              </m:sSubPr>
              <m:e>
                <m:r>
                  <m:rPr>
                    <m:nor/>
                  </m:rPr>
                  <w:rPr>
                    <w:rFonts w:hint="default" w:ascii="Times New Roman" w:hAnsi="Times New Roman" w:cs="Times New Roman"/>
                    <w:i/>
                    <w:sz w:val="21"/>
                  </w:rPr>
                  <m:t>total</m:t>
                </m:r>
                <m:ctrlPr>
                  <w:rPr>
                    <w:rFonts w:hint="default" w:ascii="Cambria Math" w:hAnsi="Cambria Math" w:cs="Times New Roman"/>
                    <w:sz w:val="21"/>
                  </w:rPr>
                </m:ctrlPr>
              </m:e>
              <m:sub>
                <m:r>
                  <m:rPr>
                    <m:nor/>
                  </m:rPr>
                  <w:rPr>
                    <w:rFonts w:hint="default" w:ascii="Times New Roman" w:hAnsi="Times New Roman" w:cs="Times New Roman"/>
                    <w:i/>
                    <w:sz w:val="21"/>
                    <w:lang w:val="en-US" w:eastAsia="zh-CN"/>
                  </w:rPr>
                  <m:t>i</m:t>
                </m:r>
                <m:r>
                  <m:rPr>
                    <m:nor/>
                    <m:sty m:val="p"/>
                  </m:rPr>
                  <w:rPr>
                    <w:rFonts w:hint="default" w:ascii="Times New Roman" w:hAnsi="Times New Roman" w:cs="Times New Roman"/>
                    <w:i w:val="0"/>
                    <w:sz w:val="21"/>
                    <w:lang w:val="en-US" w:eastAsia="zh-CN"/>
                  </w:rPr>
                  <m:t>,</m:t>
                </m:r>
                <m:r>
                  <m:rPr>
                    <m:nor/>
                  </m:rPr>
                  <w:rPr>
                    <w:rFonts w:hint="default" w:ascii="Times New Roman" w:hAnsi="Times New Roman" w:cs="Times New Roman"/>
                    <w:i/>
                    <w:sz w:val="21"/>
                    <w:lang w:val="en-US" w:eastAsia="zh-CN"/>
                  </w:rPr>
                  <m:t>t</m:t>
                </m:r>
                <m:ctrlPr>
                  <w:rPr>
                    <w:rFonts w:hint="default" w:ascii="Cambria Math" w:hAnsi="Cambria Math" w:cs="Times New Roman"/>
                    <w:sz w:val="21"/>
                  </w:rPr>
                </m:ctrlPr>
              </m:sub>
            </m:sSub>
            <m:ctrlPr>
              <w:rPr>
                <w:rFonts w:hint="default" w:ascii="Cambria Math" w:hAnsi="Cambria Math" w:cs="Times New Roman"/>
                <w:sz w:val="21"/>
              </w:rPr>
            </m:ctrlPr>
          </m:sub>
        </m:sSub>
      </m:oMath>
      <w:r>
        <w:rPr>
          <w:rFonts w:hint="default" w:ascii="Times New Roman" w:hAnsi="Times New Roman" w:cs="Times New Roman"/>
          <w:color w:val="auto"/>
          <w:lang w:eastAsia="zh-CN"/>
        </w:rPr>
        <w:t>是公司i在时间t的总词汇数量</w:t>
      </w:r>
      <w:r>
        <w:rPr>
          <w:rFonts w:hint="default" w:ascii="Times New Roman" w:hAnsi="Times New Roman" w:cs="Times New Roman"/>
          <w:color w:val="auto"/>
          <w:lang w:val="en-US"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Sim</m:t>
            </m:r>
            <m:ctrlPr>
              <w:rPr>
                <w:rFonts w:hint="default" w:ascii="Cambria Math" w:hAnsi="Cambria Math" w:cs="Times New Roman"/>
                <w:i/>
                <w:sz w:val="21"/>
              </w:rPr>
            </m:ctrlPr>
          </m:e>
          <m:sub>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ctrlPr>
              <w:rPr>
                <w:rFonts w:hint="default" w:ascii="Cambria Math" w:hAnsi="Cambria Math" w:cs="Times New Roman"/>
                <w:i/>
                <w:sz w:val="21"/>
              </w:rPr>
            </m:ctrlPr>
          </m:sub>
        </m:sSub>
      </m:oMath>
      <w:r>
        <w:rPr>
          <w:rFonts w:hint="default" w:ascii="Times New Roman" w:hAnsi="Times New Roman" w:cs="Times New Roman"/>
          <w:color w:val="auto"/>
          <w:lang w:eastAsia="zh-CN"/>
        </w:rPr>
        <w:t>是公司i在时间t的文本相似性指标</w:t>
      </w:r>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TFIDF</m:t>
            </m:r>
            <m:ctrlPr>
              <w:rPr>
                <w:rFonts w:hint="default" w:ascii="Cambria Math" w:hAnsi="Cambria Math" w:cs="Times New Roman"/>
                <w:i/>
                <w:sz w:val="21"/>
              </w:rPr>
            </m:ctrlPr>
          </m:e>
          <m:sub>
            <m:r>
              <m:rPr>
                <m:nor/>
              </m:rPr>
              <w:rPr>
                <w:rFonts w:hint="default" w:ascii="Times New Roman" w:hAnsi="Times New Roman" w:cs="Times New Roman"/>
                <w:i/>
                <w:sz w:val="21"/>
              </w:rPr>
              <m:t>k</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ctrlPr>
              <w:rPr>
                <w:rFonts w:hint="default" w:ascii="Cambria Math" w:hAnsi="Cambria Math" w:cs="Times New Roman"/>
                <w:i/>
                <w:sz w:val="21"/>
              </w:rPr>
            </m:ctrlPr>
          </m:sub>
        </m:sSub>
      </m:oMath>
      <w:r>
        <w:rPr>
          <w:rFonts w:hint="default" w:ascii="Times New Roman" w:hAnsi="Times New Roman" w:cs="Times New Roman"/>
          <w:color w:val="auto"/>
          <w:lang w:eastAsia="zh-CN"/>
        </w:rPr>
        <w:t>是公司i在时间t的第k个词汇的TF-IDF值</w:t>
      </w:r>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I</m:t>
            </m:r>
            <m:ctrlPr>
              <w:rPr>
                <w:rFonts w:hint="default" w:ascii="Cambria Math" w:hAnsi="Cambria Math" w:cs="Times New Roman"/>
                <w:i/>
                <w:sz w:val="21"/>
              </w:rPr>
            </m:ctrlPr>
          </m:e>
          <m:sub>
            <m:r>
              <m:rPr>
                <m:nor/>
              </m:rPr>
              <w:rPr>
                <w:rFonts w:hint="default" w:ascii="Times New Roman" w:hAnsi="Times New Roman" w:cs="Times New Roman"/>
                <w:i/>
                <w:sz w:val="21"/>
                <w:lang w:val="en-US" w:eastAsia="zh-CN"/>
              </w:rPr>
              <m:t>risk</m:t>
            </m:r>
            <m:ctrlPr>
              <w:rPr>
                <w:rFonts w:hint="default" w:ascii="Cambria Math" w:hAnsi="Cambria Math" w:cs="Times New Roman"/>
                <w:i/>
                <w:sz w:val="21"/>
              </w:rPr>
            </m:ctrlPr>
          </m:sub>
        </m:sSub>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k</m:t>
        </m:r>
        <m:r>
          <m:rPr>
            <m:nor/>
            <m:sty m:val="p"/>
          </m:rPr>
          <w:rPr>
            <w:rFonts w:hint="default" w:ascii="Times New Roman" w:hAnsi="Times New Roman" w:cs="Times New Roman"/>
            <w:i w:val="0"/>
            <w:sz w:val="21"/>
          </w:rPr>
          <m:t>)</m:t>
        </m:r>
      </m:oMath>
      <w:r>
        <w:rPr>
          <w:rFonts w:hint="default" w:ascii="Times New Roman" w:hAnsi="Times New Roman" w:cs="Times New Roman"/>
          <w:color w:val="auto"/>
          <w:lang w:eastAsia="zh-CN"/>
        </w:rPr>
        <w:t>是一个指示函数，当第k个词汇是风险相关词汇时为1，否则为0。</w:t>
      </w:r>
    </w:p>
    <w:p w14:paraId="1C95476A">
      <w:pPr>
        <w:ind w:firstLine="420" w:firstLineChars="200"/>
        <w:rPr>
          <w:rFonts w:hint="default" w:ascii="Times New Roman" w:hAnsi="Times New Roman" w:cs="Times New Roman"/>
          <w:color w:val="auto"/>
          <w:lang w:eastAsia="zh-CN"/>
        </w:rPr>
      </w:pPr>
      <w:r>
        <w:rPr>
          <w:rFonts w:hint="default" w:ascii="Times New Roman" w:hAnsi="Times New Roman" w:cs="Times New Roman"/>
          <w:color w:val="auto"/>
          <w:lang w:eastAsia="zh-CN"/>
        </w:rPr>
        <w:t>TFIDF计算公式</w:t>
      </w:r>
      <w:r>
        <w:rPr>
          <w:rFonts w:hint="default" w:ascii="Times New Roman" w:hAnsi="Times New Roman" w:cs="Times New Roman"/>
          <w:color w:val="auto"/>
          <w:lang w:val="en-US" w:eastAsia="zh-CN"/>
        </w:rPr>
        <w:t>为</w:t>
      </w:r>
      <w:r>
        <w:rPr>
          <w:rFonts w:hint="default" w:ascii="Times New Roman" w:hAnsi="Times New Roman" w:cs="Times New Roman"/>
          <w:color w:val="auto"/>
          <w:lang w:eastAsia="zh-CN"/>
        </w:rPr>
        <w:t>：</w:t>
      </w:r>
    </w:p>
    <w:p w14:paraId="2910465A">
      <w:pPr>
        <w:jc w:val="right"/>
        <w:rPr>
          <w:rFonts w:hint="default" w:ascii="Times New Roman" w:hAnsi="Times New Roman" w:cs="Times New Roman" w:eastAsiaTheme="minorEastAsia"/>
          <w:color w:val="auto"/>
          <w:lang w:val="en-US" w:eastAsia="zh-CN"/>
        </w:rPr>
      </w:pPr>
      <m:oMath>
        <m:sSub>
          <m:sSubPr>
            <m:ctrlPr>
              <w:rPr>
                <w:rFonts w:hint="default" w:ascii="Cambria Math" w:hAnsi="Cambria Math" w:cs="Times New Roman"/>
                <w:sz w:val="21"/>
              </w:rPr>
            </m:ctrlPr>
          </m:sSubPr>
          <m:e>
            <m:r>
              <m:rPr>
                <m:nor/>
                <m:sty m:val="p"/>
              </m:rPr>
              <w:rPr>
                <w:rFonts w:hint="default" w:ascii="Times New Roman" w:hAnsi="Times New Roman" w:cs="Times New Roman"/>
                <w:sz w:val="21"/>
              </w:rPr>
              <m:t>TFIDF</m:t>
            </m:r>
            <m:ctrlPr>
              <w:rPr>
                <w:rFonts w:hint="default" w:ascii="Cambria Math" w:hAnsi="Cambria Math" w:cs="Times New Roman"/>
                <w:sz w:val="21"/>
              </w:rPr>
            </m:ctrlPr>
          </m:e>
          <m:sub>
            <m:r>
              <m:rPr>
                <m:nor/>
              </m:rPr>
              <w:rPr>
                <w:rFonts w:hint="default" w:ascii="Times New Roman" w:hAnsi="Times New Roman" w:cs="Times New Roman"/>
                <w:i/>
                <w:sz w:val="21"/>
              </w:rPr>
              <m:t>k</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d>
          <m:dPr>
            <m:ctrlPr>
              <w:rPr>
                <w:rFonts w:hint="default" w:ascii="Cambria Math" w:hAnsi="Cambria Math" w:cs="Times New Roman"/>
                <w:i/>
                <w:sz w:val="21"/>
              </w:rPr>
            </m:ctrlPr>
          </m:dPr>
          <m:e>
            <m:f>
              <m:fPr>
                <m:ctrlPr>
                  <w:rPr>
                    <w:rFonts w:hint="default" w:ascii="Cambria Math" w:hAnsi="Cambria Math" w:cs="Times New Roman"/>
                    <w:i/>
                    <w:sz w:val="21"/>
                  </w:rPr>
                </m:ctrlPr>
              </m:fPr>
              <m:num>
                <m:sSub>
                  <m:sSubPr>
                    <m:ctrlPr>
                      <w:rPr>
                        <w:rFonts w:hint="default" w:ascii="Cambria Math" w:hAnsi="Cambria Math" w:cs="Times New Roman"/>
                        <w:sz w:val="21"/>
                      </w:rPr>
                    </m:ctrlPr>
                  </m:sSubPr>
                  <m:e>
                    <m:r>
                      <m:rPr>
                        <m:nor/>
                      </m:rPr>
                      <w:rPr>
                        <w:rFonts w:hint="default" w:ascii="Times New Roman" w:hAnsi="Times New Roman" w:cs="Times New Roman"/>
                        <w:i/>
                        <w:sz w:val="21"/>
                      </w:rPr>
                      <m:t>f</m:t>
                    </m:r>
                    <m:ctrlPr>
                      <w:rPr>
                        <w:rFonts w:hint="default" w:ascii="Cambria Math" w:hAnsi="Cambria Math" w:cs="Times New Roman"/>
                        <w:sz w:val="21"/>
                      </w:rPr>
                    </m:ctrlPr>
                  </m:e>
                  <m:sub>
                    <m:r>
                      <m:rPr>
                        <m:nor/>
                      </m:rPr>
                      <w:rPr>
                        <w:rFonts w:hint="default" w:ascii="Times New Roman" w:hAnsi="Times New Roman" w:cs="Times New Roman"/>
                        <w:i/>
                        <w:sz w:val="21"/>
                      </w:rPr>
                      <m:t>k</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ctrlPr>
                      <w:rPr>
                        <w:rFonts w:hint="default" w:ascii="Cambria Math" w:hAnsi="Cambria Math" w:cs="Times New Roman"/>
                        <w:sz w:val="21"/>
                      </w:rPr>
                    </m:ctrlPr>
                  </m:sub>
                </m:sSub>
                <m:ctrlPr>
                  <w:rPr>
                    <w:rFonts w:hint="default" w:ascii="Cambria Math" w:hAnsi="Cambria Math" w:cs="Times New Roman"/>
                    <w:sz w:val="21"/>
                  </w:rPr>
                </m:ctrlPr>
              </m:num>
              <m:den>
                <m:sSub>
                  <m:sSubPr>
                    <m:ctrlPr>
                      <w:rPr>
                        <w:rFonts w:hint="default" w:ascii="Cambria Math" w:hAnsi="Cambria Math" w:cs="Times New Roman"/>
                        <w:sz w:val="21"/>
                      </w:rPr>
                    </m:ctrlPr>
                  </m:sSubPr>
                  <m:e>
                    <m:r>
                      <m:rPr>
                        <m:nor/>
                      </m:rPr>
                      <w:rPr>
                        <w:rFonts w:hint="default" w:ascii="Times New Roman" w:hAnsi="Times New Roman" w:cs="Times New Roman"/>
                        <w:i/>
                        <w:sz w:val="21"/>
                      </w:rPr>
                      <m:t>N</m:t>
                    </m:r>
                    <m:ctrlPr>
                      <w:rPr>
                        <w:rFonts w:hint="default" w:ascii="Cambria Math" w:hAnsi="Cambria Math" w:cs="Times New Roman"/>
                        <w:sz w:val="21"/>
                      </w:rPr>
                    </m:ctrlPr>
                  </m:e>
                  <m:sub>
                    <m:sSub>
                      <m:sSubPr>
                        <m:ctrlPr>
                          <w:rPr>
                            <w:rFonts w:hint="default" w:ascii="Cambria Math" w:hAnsi="Cambria Math" w:cs="Times New Roman"/>
                            <w:sz w:val="21"/>
                          </w:rPr>
                        </m:ctrlPr>
                      </m:sSubPr>
                      <m:e>
                        <m:r>
                          <m:rPr>
                            <m:nor/>
                          </m:rPr>
                          <w:rPr>
                            <w:rFonts w:hint="default" w:ascii="Times New Roman" w:hAnsi="Times New Roman" w:cs="Times New Roman"/>
                            <w:i/>
                            <w:sz w:val="21"/>
                          </w:rPr>
                          <m:t>total</m:t>
                        </m:r>
                        <m:ctrlPr>
                          <w:rPr>
                            <w:rFonts w:hint="default" w:ascii="Cambria Math" w:hAnsi="Cambria Math" w:cs="Times New Roman"/>
                            <w:sz w:val="21"/>
                          </w:rPr>
                        </m:ctrlPr>
                      </m:e>
                      <m:sub>
                        <m:r>
                          <m:rPr>
                            <m:nor/>
                          </m:rPr>
                          <w:rPr>
                            <w:rFonts w:hint="default" w:ascii="Times New Roman" w:hAnsi="Times New Roman" w:cs="Times New Roman"/>
                            <w:i/>
                            <w:sz w:val="21"/>
                            <w:lang w:val="en-US" w:eastAsia="zh-CN"/>
                          </w:rPr>
                          <m:t>i</m:t>
                        </m:r>
                        <m:r>
                          <m:rPr>
                            <m:nor/>
                            <m:sty m:val="p"/>
                          </m:rPr>
                          <w:rPr>
                            <w:rFonts w:hint="default" w:ascii="Times New Roman" w:hAnsi="Times New Roman" w:cs="Times New Roman"/>
                            <w:i w:val="0"/>
                            <w:sz w:val="21"/>
                            <w:lang w:val="en-US" w:eastAsia="zh-CN"/>
                          </w:rPr>
                          <m:t>,</m:t>
                        </m:r>
                        <m:r>
                          <m:rPr>
                            <m:nor/>
                          </m:rPr>
                          <w:rPr>
                            <w:rFonts w:hint="default" w:ascii="Times New Roman" w:hAnsi="Times New Roman" w:cs="Times New Roman"/>
                            <w:i/>
                            <w:sz w:val="21"/>
                            <w:lang w:val="en-US" w:eastAsia="zh-CN"/>
                          </w:rPr>
                          <m:t>t</m:t>
                        </m:r>
                        <m:ctrlPr>
                          <w:rPr>
                            <w:rFonts w:hint="default" w:ascii="Cambria Math" w:hAnsi="Cambria Math" w:cs="Times New Roman"/>
                            <w:sz w:val="21"/>
                          </w:rPr>
                        </m:ctrlPr>
                      </m:sub>
                    </m:sSub>
                    <m:ctrlPr>
                      <w:rPr>
                        <w:rFonts w:hint="default" w:ascii="Cambria Math" w:hAnsi="Cambria Math" w:cs="Times New Roman"/>
                        <w:sz w:val="21"/>
                      </w:rPr>
                    </m:ctrlPr>
                  </m:sub>
                </m:sSub>
                <m:ctrlPr>
                  <w:rPr>
                    <w:rFonts w:hint="default" w:ascii="Cambria Math" w:hAnsi="Cambria Math" w:cs="Times New Roman"/>
                    <w:sz w:val="21"/>
                  </w:rPr>
                </m:ctrlPr>
              </m:den>
            </m:f>
            <m:ctrlPr>
              <w:rPr>
                <w:rFonts w:hint="default" w:ascii="Cambria Math" w:hAnsi="Cambria Math" w:cs="Times New Roman"/>
                <w:i/>
                <w:sz w:val="21"/>
              </w:rPr>
            </m:ctrlPr>
          </m:e>
        </m:d>
        <m:r>
          <m:rPr>
            <m:nor/>
            <m:sty m:val="p"/>
          </m:rPr>
          <w:rPr>
            <w:rFonts w:hint="default" w:ascii="Times New Roman" w:hAnsi="Times New Roman" w:cs="Times New Roman"/>
            <w:i w:val="0"/>
            <w:sz w:val="21"/>
          </w:rPr>
          <m:t>×</m:t>
        </m:r>
        <m:func>
          <m:funcPr>
            <m:ctrlPr>
              <w:rPr>
                <w:rFonts w:hint="default" w:ascii="Cambria Math" w:hAnsi="Cambria Math" w:cs="Times New Roman"/>
                <w:sz w:val="21"/>
              </w:rPr>
            </m:ctrlPr>
          </m:funcPr>
          <m:fName>
            <m:r>
              <m:rPr>
                <m:nor/>
                <m:sty m:val="p"/>
              </m:rPr>
              <w:rPr>
                <w:rFonts w:hint="default" w:ascii="Times New Roman" w:hAnsi="Times New Roman" w:cs="Times New Roman"/>
                <w:sz w:val="21"/>
              </w:rPr>
              <m:t>ln</m:t>
            </m:r>
            <m:ctrlPr>
              <w:rPr>
                <w:rFonts w:hint="default" w:ascii="Cambria Math" w:hAnsi="Cambria Math" w:cs="Times New Roman"/>
                <w:i/>
                <w:sz w:val="21"/>
              </w:rPr>
            </m:ctrlPr>
          </m:fName>
          <m:e>
            <m:d>
              <m:dPr>
                <m:ctrlPr>
                  <w:rPr>
                    <w:rFonts w:hint="default" w:ascii="Cambria Math" w:hAnsi="Cambria Math" w:cs="Times New Roman"/>
                    <w:i/>
                    <w:sz w:val="21"/>
                  </w:rPr>
                </m:ctrlPr>
              </m:dPr>
              <m:e>
                <m:f>
                  <m:fPr>
                    <m:ctrlPr>
                      <w:rPr>
                        <w:rFonts w:hint="default" w:ascii="Cambria Math" w:hAnsi="Cambria Math" w:cs="Times New Roman"/>
                        <w:i/>
                        <w:sz w:val="21"/>
                      </w:rPr>
                    </m:ctrlPr>
                  </m:fPr>
                  <m:num>
                    <m:sSub>
                      <m:sSubPr>
                        <m:ctrlPr>
                          <w:rPr>
                            <w:rFonts w:hint="default" w:ascii="Cambria Math" w:hAnsi="Cambria Math" w:cs="Times New Roman"/>
                            <w:sz w:val="21"/>
                          </w:rPr>
                        </m:ctrlPr>
                      </m:sSubPr>
                      <m:e>
                        <m:r>
                          <m:rPr>
                            <m:nor/>
                          </m:rPr>
                          <w:rPr>
                            <w:rFonts w:hint="default" w:ascii="Times New Roman" w:hAnsi="Times New Roman" w:cs="Times New Roman"/>
                            <w:i/>
                            <w:sz w:val="21"/>
                          </w:rPr>
                          <m:t>N</m:t>
                        </m:r>
                        <m:ctrlPr>
                          <w:rPr>
                            <w:rFonts w:hint="default" w:ascii="Cambria Math" w:hAnsi="Cambria Math" w:cs="Times New Roman"/>
                            <w:sz w:val="21"/>
                          </w:rPr>
                        </m:ctrlPr>
                      </m:e>
                      <m:sub>
                        <m:r>
                          <m:rPr>
                            <m:nor/>
                            <m:sty m:val="p"/>
                          </m:rPr>
                          <w:rPr>
                            <w:rFonts w:hint="default" w:ascii="Times New Roman" w:hAnsi="Times New Roman" w:cs="Times New Roman"/>
                            <w:sz w:val="21"/>
                          </w:rPr>
                          <m:t>corpus</m:t>
                        </m:r>
                        <m:ctrlPr>
                          <w:rPr>
                            <w:rFonts w:hint="default" w:ascii="Cambria Math" w:hAnsi="Cambria Math" w:cs="Times New Roman"/>
                            <w:sz w:val="21"/>
                          </w:rPr>
                        </m:ctrlPr>
                      </m:sub>
                    </m:sSub>
                    <m:ctrlPr>
                      <w:rPr>
                        <w:rFonts w:hint="default" w:ascii="Cambria Math" w:hAnsi="Cambria Math" w:cs="Times New Roman"/>
                        <w:sz w:val="21"/>
                      </w:rPr>
                    </m:ctrlPr>
                  </m:num>
                  <m:den>
                    <m:sSub>
                      <m:sSubPr>
                        <m:ctrlPr>
                          <w:rPr>
                            <w:rFonts w:hint="default" w:ascii="Cambria Math" w:hAnsi="Cambria Math" w:cs="Times New Roman"/>
                            <w:sz w:val="21"/>
                          </w:rPr>
                        </m:ctrlPr>
                      </m:sSubPr>
                      <m:e>
                        <m:r>
                          <m:rPr>
                            <m:nor/>
                          </m:rPr>
                          <w:rPr>
                            <w:rFonts w:hint="default" w:ascii="Times New Roman" w:hAnsi="Times New Roman" w:cs="Times New Roman"/>
                            <w:i/>
                            <w:sz w:val="21"/>
                          </w:rPr>
                          <m:t>N</m:t>
                        </m:r>
                        <m:ctrlPr>
                          <w:rPr>
                            <w:rFonts w:hint="default" w:ascii="Cambria Math" w:hAnsi="Cambria Math" w:cs="Times New Roman"/>
                            <w:sz w:val="21"/>
                          </w:rPr>
                        </m:ctrlPr>
                      </m:e>
                      <m:sub>
                        <m:r>
                          <m:rPr>
                            <m:nor/>
                            <m:sty m:val="p"/>
                          </m:rPr>
                          <w:rPr>
                            <w:rFonts w:hint="default" w:ascii="Times New Roman" w:hAnsi="Times New Roman" w:cs="Times New Roman"/>
                            <w:sz w:val="21"/>
                          </w:rPr>
                          <m:t>documents</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k</m:t>
                    </m:r>
                    <m:r>
                      <m:rPr>
                        <m:nor/>
                        <m:sty m:val="p"/>
                      </m:rPr>
                      <w:rPr>
                        <w:rFonts w:hint="default" w:ascii="Times New Roman" w:hAnsi="Times New Roman" w:cs="Times New Roman"/>
                        <w:i w:val="0"/>
                        <w:sz w:val="21"/>
                      </w:rPr>
                      <m:t>)</m:t>
                    </m:r>
                    <m:ctrlPr>
                      <w:rPr>
                        <w:rFonts w:hint="default" w:ascii="Cambria Math" w:hAnsi="Cambria Math" w:cs="Times New Roman"/>
                        <w:sz w:val="21"/>
                      </w:rPr>
                    </m:ctrlPr>
                  </m:den>
                </m:f>
                <m:ctrlPr>
                  <w:rPr>
                    <w:rFonts w:hint="default" w:ascii="Cambria Math" w:hAnsi="Cambria Math" w:cs="Times New Roman"/>
                    <w:i/>
                    <w:sz w:val="21"/>
                  </w:rPr>
                </m:ctrlPr>
              </m:e>
            </m:d>
            <m:ctrlPr>
              <w:rPr>
                <w:rFonts w:hint="default" w:ascii="Cambria Math" w:hAnsi="Cambria Math" w:cs="Times New Roman"/>
                <w:i/>
                <w:sz w:val="21"/>
              </w:rPr>
            </m:ctrlPr>
          </m:e>
        </m:func>
      </m:oMath>
      <w:r>
        <w:rPr>
          <w:rFonts w:hint="default" w:ascii="Times New Roman" w:hAnsi="Times New Roman" w:cs="Times New Roman"/>
          <w:i w:val="0"/>
          <w:sz w:val="21"/>
          <w:lang w:val="en-US" w:eastAsia="zh-CN"/>
        </w:rPr>
        <w:t xml:space="preserve">               （4）</w:t>
      </w:r>
    </w:p>
    <w:p w14:paraId="30DEA62E">
      <w:pPr>
        <w:ind w:firstLine="420" w:firstLineChars="200"/>
        <w:rPr>
          <w:rFonts w:hint="default" w:ascii="Times New Roman" w:hAnsi="Times New Roman" w:cs="Times New Roman"/>
          <w:color w:val="auto"/>
          <w:lang w:eastAsia="zh-CN"/>
        </w:rPr>
      </w:pPr>
      <w:r>
        <w:rPr>
          <w:rFonts w:hint="default" w:ascii="Times New Roman" w:hAnsi="Times New Roman" w:cs="Times New Roman"/>
          <w:color w:val="auto"/>
          <w:lang w:eastAsia="zh-CN"/>
        </w:rPr>
        <w:t>其中</w:t>
      </w:r>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TFIDF</m:t>
            </m:r>
            <m:ctrlPr>
              <w:rPr>
                <w:rFonts w:hint="default" w:ascii="Cambria Math" w:hAnsi="Cambria Math" w:cs="Times New Roman"/>
                <w:sz w:val="21"/>
              </w:rPr>
            </m:ctrlPr>
          </m:e>
          <m:sub>
            <m:r>
              <m:rPr>
                <m:nor/>
              </m:rPr>
              <w:rPr>
                <w:rFonts w:hint="default" w:ascii="Times New Roman" w:hAnsi="Times New Roman" w:cs="Times New Roman"/>
                <w:i/>
                <w:sz w:val="21"/>
              </w:rPr>
              <m:t>k</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ctrlPr>
              <w:rPr>
                <w:rFonts w:hint="default" w:ascii="Cambria Math" w:hAnsi="Cambria Math" w:cs="Times New Roman"/>
                <w:sz w:val="21"/>
              </w:rPr>
            </m:ctrlPr>
          </m:sub>
        </m:sSub>
      </m:oMath>
      <w:r>
        <w:rPr>
          <w:rFonts w:hint="default" w:ascii="Times New Roman" w:hAnsi="Times New Roman" w:cs="Times New Roman"/>
          <w:color w:val="auto"/>
          <w:lang w:eastAsia="zh-CN"/>
        </w:rPr>
        <w:t>是公司i在时间t的第k个词汇的TF-IDF值</w:t>
      </w:r>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f</m:t>
            </m:r>
            <m:ctrlPr>
              <w:rPr>
                <w:rFonts w:hint="default" w:ascii="Cambria Math" w:hAnsi="Cambria Math" w:cs="Times New Roman"/>
                <w:sz w:val="21"/>
              </w:rPr>
            </m:ctrlPr>
          </m:e>
          <m:sub>
            <m:r>
              <m:rPr>
                <m:nor/>
              </m:rPr>
              <w:rPr>
                <w:rFonts w:hint="default" w:ascii="Times New Roman" w:hAnsi="Times New Roman" w:cs="Times New Roman"/>
                <w:i/>
                <w:sz w:val="21"/>
              </w:rPr>
              <m:t>k</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ctrlPr>
              <w:rPr>
                <w:rFonts w:hint="default" w:ascii="Cambria Math" w:hAnsi="Cambria Math" w:cs="Times New Roman"/>
                <w:sz w:val="21"/>
              </w:rPr>
            </m:ctrlPr>
          </m:sub>
        </m:sSub>
      </m:oMath>
      <w:r>
        <w:rPr>
          <w:rFonts w:hint="default" w:ascii="Times New Roman" w:hAnsi="Times New Roman" w:cs="Times New Roman"/>
          <w:color w:val="auto"/>
          <w:lang w:eastAsia="zh-CN"/>
        </w:rPr>
        <w:t>是公司i在时间t的第k个词汇的频率</w:t>
      </w:r>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N</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corpus</m:t>
            </m:r>
            <m:ctrlPr>
              <w:rPr>
                <w:rFonts w:hint="default" w:ascii="Cambria Math" w:hAnsi="Cambria Math" w:cs="Times New Roman"/>
                <w:sz w:val="21"/>
              </w:rPr>
            </m:ctrlPr>
          </m:sub>
        </m:sSub>
      </m:oMath>
      <w:r>
        <w:rPr>
          <w:rFonts w:hint="default" w:ascii="Times New Roman" w:hAnsi="Times New Roman" w:cs="Times New Roman"/>
          <w:color w:val="auto"/>
          <w:lang w:eastAsia="zh-CN"/>
        </w:rPr>
        <w:t>是语料库中总的文档数量</w:t>
      </w:r>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N</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documents</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k</m:t>
        </m:r>
      </m:oMath>
      <w:r>
        <w:rPr>
          <w:rFonts w:hint="default" w:ascii="Times New Roman" w:hAnsi="Times New Roman" w:cs="Times New Roman"/>
          <w:color w:val="auto"/>
          <w:lang w:eastAsia="zh-CN"/>
        </w:rPr>
        <w:t>是包含第k个词汇的文档数量。</w:t>
      </w:r>
    </w:p>
    <w:p w14:paraId="0A417288">
      <w:pPr>
        <w:ind w:firstLine="420" w:firstLineChars="200"/>
        <w:rPr>
          <w:rFonts w:hint="default" w:ascii="Times New Roman" w:hAnsi="Times New Roman" w:cs="Times New Roman"/>
          <w:color w:val="auto"/>
          <w:lang w:eastAsia="zh-CN"/>
        </w:rPr>
      </w:pPr>
      <w:r>
        <w:rPr>
          <w:rFonts w:hint="default" w:ascii="Times New Roman" w:hAnsi="Times New Roman" w:cs="Times New Roman"/>
          <w:color w:val="auto"/>
          <w:lang w:eastAsia="zh-CN"/>
        </w:rPr>
        <w:t>要构建信息不对称指数，过程分为文本预处理和词典构建两大步骤。具体来说，文本预处理环节包含分词处理、停用词去除、词形还原以及文本标准化。而词典构建则是在金融情感词典的基础上进行拓展，扩充了自定义词典。</w:t>
      </w:r>
    </w:p>
    <w:p w14:paraId="575E6BAA">
      <w:pPr>
        <w:ind w:firstLine="420" w:firstLineChars="200"/>
        <w:rPr>
          <w:rFonts w:hint="default" w:ascii="Times New Roman" w:hAnsi="Times New Roman" w:cs="Times New Roman"/>
          <w:color w:val="auto"/>
          <w:lang w:eastAsia="zh-CN"/>
        </w:rPr>
      </w:pPr>
      <w:r>
        <w:rPr>
          <w:rFonts w:hint="default" w:ascii="Times New Roman" w:hAnsi="Times New Roman" w:cs="Times New Roman"/>
          <w:color w:val="auto"/>
          <w:lang w:eastAsia="zh-CN"/>
        </w:rPr>
        <w:t>文本相似度计算余弦相似度公式</w:t>
      </w:r>
      <w:r>
        <w:rPr>
          <w:rFonts w:hint="default" w:ascii="Times New Roman" w:hAnsi="Times New Roman" w:cs="Times New Roman"/>
          <w:color w:val="auto"/>
          <w:lang w:val="en-US" w:eastAsia="zh-CN"/>
        </w:rPr>
        <w:t>为</w:t>
      </w:r>
      <w:r>
        <w:rPr>
          <w:rFonts w:hint="default" w:ascii="Times New Roman" w:hAnsi="Times New Roman" w:cs="Times New Roman"/>
          <w:color w:val="auto"/>
          <w:lang w:eastAsia="zh-CN"/>
        </w:rPr>
        <w:t>：</w:t>
      </w:r>
    </w:p>
    <w:p w14:paraId="47415A62">
      <w:pPr>
        <w:jc w:val="right"/>
        <w:rPr>
          <w:rFonts w:hint="default" w:ascii="Times New Roman" w:hAnsi="Times New Roman" w:cs="Times New Roman" w:eastAsiaTheme="minorEastAsia"/>
          <w:color w:val="auto"/>
          <w:lang w:val="en-US" w:eastAsia="zh-CN"/>
        </w:rPr>
      </w:pPr>
      <m:oMath>
        <m:sSub>
          <m:sSubPr>
            <m:ctrlPr>
              <w:rPr>
                <w:rFonts w:hint="default" w:ascii="Cambria Math" w:hAnsi="Cambria Math" w:cs="Times New Roman"/>
                <w:sz w:val="21"/>
              </w:rPr>
            </m:ctrlPr>
          </m:sSubPr>
          <m:e>
            <m:r>
              <m:rPr>
                <m:nor/>
                <m:sty m:val="p"/>
              </m:rPr>
              <w:rPr>
                <w:rFonts w:hint="default" w:ascii="Times New Roman" w:hAnsi="Times New Roman" w:cs="Times New Roman"/>
                <w:sz w:val="21"/>
              </w:rPr>
              <m:t>Sim</m:t>
            </m:r>
            <m:ctrlPr>
              <w:rPr>
                <w:rFonts w:hint="default" w:ascii="Cambria Math" w:hAnsi="Cambria Math" w:cs="Times New Roman"/>
                <w:sz w:val="21"/>
              </w:rPr>
            </m:ctrlPr>
          </m:e>
          <m:sub>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f>
          <m:fPr>
            <m:ctrlPr>
              <w:rPr>
                <w:rFonts w:hint="default" w:ascii="Cambria Math" w:hAnsi="Cambria Math" w:cs="Times New Roman"/>
                <w:i/>
                <w:sz w:val="21"/>
              </w:rPr>
            </m:ctrlPr>
          </m:fPr>
          <m:num>
            <m:sSub>
              <m:sSubPr>
                <m:ctrlPr>
                  <w:rPr>
                    <w:rFonts w:hint="default" w:ascii="Cambria Math" w:hAnsi="Cambria Math" w:cs="Times New Roman"/>
                    <w:sz w:val="21"/>
                  </w:rPr>
                </m:ctrlPr>
              </m:sSubPr>
              <m:e>
                <m:r>
                  <m:rPr>
                    <m:nor/>
                  </m:rPr>
                  <w:rPr>
                    <w:rFonts w:hint="default" w:ascii="Times New Roman" w:hAnsi="Times New Roman" w:cs="Times New Roman"/>
                    <w:i/>
                    <w:sz w:val="21"/>
                  </w:rPr>
                  <m:t>V</m:t>
                </m:r>
                <m:ctrlPr>
                  <w:rPr>
                    <w:rFonts w:hint="default" w:ascii="Cambria Math" w:hAnsi="Cambria Math" w:cs="Times New Roman"/>
                    <w:sz w:val="21"/>
                  </w:rPr>
                </m:ctrlPr>
              </m:e>
              <m:sub>
                <m:r>
                  <m:rPr>
                    <m:nor/>
                    <m:sty m:val="p"/>
                  </m:rPr>
                  <w:rPr>
                    <w:rFonts w:hint="default" w:ascii="Times New Roman" w:hAnsi="Times New Roman" w:cs="Times New Roman"/>
                    <w:sz w:val="21"/>
                  </w:rPr>
                  <m:t>acquirer</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V</m:t>
                </m:r>
                <m:ctrlPr>
                  <w:rPr>
                    <w:rFonts w:hint="default" w:ascii="Cambria Math" w:hAnsi="Cambria Math" w:cs="Times New Roman"/>
                    <w:sz w:val="21"/>
                  </w:rPr>
                </m:ctrlPr>
              </m:e>
              <m:sub>
                <m:r>
                  <m:rPr>
                    <m:nor/>
                    <m:sty m:val="p"/>
                  </m:rPr>
                  <w:rPr>
                    <w:rFonts w:hint="default" w:ascii="Times New Roman" w:hAnsi="Times New Roman" w:cs="Times New Roman"/>
                    <w:sz w:val="21"/>
                  </w:rPr>
                  <m:t>target</m:t>
                </m:r>
                <m:ctrlPr>
                  <w:rPr>
                    <w:rFonts w:hint="default" w:ascii="Cambria Math" w:hAnsi="Cambria Math" w:cs="Times New Roman"/>
                    <w:sz w:val="21"/>
                  </w:rPr>
                </m:ctrlPr>
              </m:sub>
            </m:sSub>
            <m:ctrlPr>
              <w:rPr>
                <w:rFonts w:hint="default" w:ascii="Cambria Math" w:hAnsi="Cambria Math" w:cs="Times New Roman"/>
                <w:sz w:val="21"/>
              </w:rPr>
            </m:ctrlPr>
          </m:num>
          <m:den>
            <m:d>
              <m:dPr>
                <m:begChr m:val="‖"/>
                <m:endChr m:val="‖"/>
                <m:ctrlPr>
                  <w:rPr>
                    <w:rFonts w:hint="default" w:ascii="Cambria Math" w:hAnsi="Cambria Math" w:cs="Times New Roman"/>
                    <w:i/>
                    <w:sz w:val="21"/>
                  </w:rPr>
                </m:ctrlPr>
              </m:dPr>
              <m:e>
                <m:sSub>
                  <m:sSubPr>
                    <m:ctrlPr>
                      <w:rPr>
                        <w:rFonts w:hint="default" w:ascii="Cambria Math" w:hAnsi="Cambria Math" w:cs="Times New Roman"/>
                        <w:sz w:val="21"/>
                      </w:rPr>
                    </m:ctrlPr>
                  </m:sSubPr>
                  <m:e>
                    <m:r>
                      <m:rPr>
                        <m:nor/>
                      </m:rPr>
                      <w:rPr>
                        <w:rFonts w:hint="default" w:ascii="Times New Roman" w:hAnsi="Times New Roman" w:cs="Times New Roman"/>
                        <w:i/>
                        <w:sz w:val="21"/>
                      </w:rPr>
                      <m:t>V</m:t>
                    </m:r>
                    <m:ctrlPr>
                      <w:rPr>
                        <w:rFonts w:hint="default" w:ascii="Cambria Math" w:hAnsi="Cambria Math" w:cs="Times New Roman"/>
                        <w:sz w:val="21"/>
                      </w:rPr>
                    </m:ctrlPr>
                  </m:e>
                  <m:sub>
                    <m:r>
                      <m:rPr>
                        <m:nor/>
                        <m:sty m:val="p"/>
                      </m:rPr>
                      <w:rPr>
                        <w:rFonts w:hint="default" w:ascii="Times New Roman" w:hAnsi="Times New Roman" w:cs="Times New Roman"/>
                        <w:sz w:val="21"/>
                      </w:rPr>
                      <m:t>acquirer</m:t>
                    </m:r>
                    <m:ctrlPr>
                      <w:rPr>
                        <w:rFonts w:hint="default" w:ascii="Cambria Math" w:hAnsi="Cambria Math" w:cs="Times New Roman"/>
                        <w:sz w:val="21"/>
                      </w:rPr>
                    </m:ctrlPr>
                  </m:sub>
                </m:sSub>
                <m:ctrlPr>
                  <w:rPr>
                    <w:rFonts w:hint="default" w:ascii="Cambria Math" w:hAnsi="Cambria Math" w:cs="Times New Roman"/>
                    <w:sz w:val="21"/>
                  </w:rPr>
                </m:ctrlPr>
              </m:e>
            </m:d>
            <m:r>
              <m:rPr>
                <m:nor/>
                <m:sty m:val="p"/>
              </m:rPr>
              <w:rPr>
                <w:rFonts w:hint="default" w:ascii="Times New Roman" w:hAnsi="Times New Roman" w:cs="Times New Roman"/>
                <w:i w:val="0"/>
                <w:sz w:val="21"/>
              </w:rPr>
              <m:t>×</m:t>
            </m:r>
            <m:d>
              <m:dPr>
                <m:begChr m:val="‖"/>
                <m:endChr m:val="‖"/>
                <m:ctrlPr>
                  <w:rPr>
                    <w:rFonts w:hint="default" w:ascii="Cambria Math" w:hAnsi="Cambria Math" w:cs="Times New Roman"/>
                    <w:i/>
                    <w:sz w:val="21"/>
                  </w:rPr>
                </m:ctrlPr>
              </m:dPr>
              <m:e>
                <m:sSub>
                  <m:sSubPr>
                    <m:ctrlPr>
                      <w:rPr>
                        <w:rFonts w:hint="default" w:ascii="Cambria Math" w:hAnsi="Cambria Math" w:cs="Times New Roman"/>
                        <w:sz w:val="21"/>
                      </w:rPr>
                    </m:ctrlPr>
                  </m:sSubPr>
                  <m:e>
                    <m:r>
                      <m:rPr>
                        <m:nor/>
                      </m:rPr>
                      <w:rPr>
                        <w:rFonts w:hint="default" w:ascii="Times New Roman" w:hAnsi="Times New Roman" w:cs="Times New Roman"/>
                        <w:i/>
                        <w:sz w:val="21"/>
                      </w:rPr>
                      <m:t>V</m:t>
                    </m:r>
                    <m:ctrlPr>
                      <w:rPr>
                        <w:rFonts w:hint="default" w:ascii="Cambria Math" w:hAnsi="Cambria Math" w:cs="Times New Roman"/>
                        <w:sz w:val="21"/>
                      </w:rPr>
                    </m:ctrlPr>
                  </m:e>
                  <m:sub>
                    <m:r>
                      <m:rPr>
                        <m:nor/>
                        <m:sty m:val="p"/>
                      </m:rPr>
                      <w:rPr>
                        <w:rFonts w:hint="default" w:ascii="Times New Roman" w:hAnsi="Times New Roman" w:cs="Times New Roman"/>
                        <w:sz w:val="21"/>
                      </w:rPr>
                      <m:t>target</m:t>
                    </m:r>
                    <m:ctrlPr>
                      <w:rPr>
                        <w:rFonts w:hint="default" w:ascii="Cambria Math" w:hAnsi="Cambria Math" w:cs="Times New Roman"/>
                        <w:sz w:val="21"/>
                      </w:rPr>
                    </m:ctrlPr>
                  </m:sub>
                </m:sSub>
                <m:ctrlPr>
                  <w:rPr>
                    <w:rFonts w:hint="default" w:ascii="Cambria Math" w:hAnsi="Cambria Math" w:cs="Times New Roman"/>
                    <w:sz w:val="21"/>
                  </w:rPr>
                </m:ctrlPr>
              </m:e>
            </m:d>
            <m:ctrlPr>
              <w:rPr>
                <w:rFonts w:hint="default" w:ascii="Cambria Math" w:hAnsi="Cambria Math" w:cs="Times New Roman"/>
                <w:i/>
                <w:sz w:val="21"/>
              </w:rPr>
            </m:ctrlPr>
          </m:den>
        </m:f>
      </m:oMath>
      <w:r>
        <w:rPr>
          <w:rFonts w:hint="default" w:ascii="Times New Roman" w:hAnsi="Times New Roman" w:cs="Times New Roman"/>
          <w:i w:val="0"/>
          <w:sz w:val="21"/>
          <w:lang w:val="en-US" w:eastAsia="zh-CN"/>
        </w:rPr>
        <w:t xml:space="preserve">                       （5）</w:t>
      </w:r>
    </w:p>
    <w:p w14:paraId="09D2A117">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eastAsia="zh-CN"/>
        </w:rPr>
        <w:t>其中</w:t>
      </w:r>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Sim</m:t>
            </m:r>
            <m:ctrlPr>
              <w:rPr>
                <w:rFonts w:hint="default" w:ascii="Cambria Math" w:hAnsi="Cambria Math" w:cs="Times New Roman"/>
                <w:sz w:val="21"/>
              </w:rPr>
            </m:ctrlPr>
          </m:e>
          <m:sub>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ctrlPr>
              <w:rPr>
                <w:rFonts w:hint="default" w:ascii="Cambria Math" w:hAnsi="Cambria Math" w:cs="Times New Roman"/>
                <w:sz w:val="21"/>
              </w:rPr>
            </m:ctrlPr>
          </m:sub>
        </m:sSub>
      </m:oMath>
      <w:r>
        <w:rPr>
          <w:rFonts w:hint="default" w:ascii="Times New Roman" w:hAnsi="Times New Roman" w:cs="Times New Roman"/>
          <w:color w:val="auto"/>
          <w:lang w:eastAsia="zh-CN"/>
        </w:rPr>
        <w:t>是公司 i 在时间 t 的文本相似性指标</w:t>
      </w:r>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V</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acquirer</m:t>
            </m:r>
            <m:ctrlPr>
              <w:rPr>
                <w:rFonts w:hint="default" w:ascii="Cambria Math" w:hAnsi="Cambria Math" w:cs="Times New Roman"/>
                <w:sz w:val="21"/>
              </w:rPr>
            </m:ctrlPr>
          </m:sub>
        </m:sSub>
      </m:oMath>
      <w:r>
        <w:rPr>
          <w:rFonts w:hint="default" w:ascii="Times New Roman" w:hAnsi="Times New Roman" w:cs="Times New Roman"/>
          <w:color w:val="auto"/>
          <w:lang w:eastAsia="zh-CN"/>
        </w:rPr>
        <w:t>是收购方的文本向量</w:t>
      </w:r>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V</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target</m:t>
            </m:r>
            <m:ctrlPr>
              <w:rPr>
                <w:rFonts w:hint="default" w:ascii="Cambria Math" w:hAnsi="Cambria Math" w:cs="Times New Roman"/>
                <w:sz w:val="21"/>
              </w:rPr>
            </m:ctrlPr>
          </m:sub>
        </m:sSub>
      </m:oMath>
      <w:r>
        <w:rPr>
          <w:rFonts w:hint="default" w:ascii="Times New Roman" w:hAnsi="Times New Roman" w:cs="Times New Roman"/>
          <w:color w:val="auto"/>
          <w:lang w:eastAsia="zh-CN"/>
        </w:rPr>
        <w:t>是目标方的文本向量</w:t>
      </w:r>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V</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acquirer</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V</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target</m:t>
            </m:r>
            <m:ctrlPr>
              <w:rPr>
                <w:rFonts w:hint="default" w:ascii="Cambria Math" w:hAnsi="Cambria Math" w:cs="Times New Roman"/>
                <w:sz w:val="21"/>
              </w:rPr>
            </m:ctrlPr>
          </m:sub>
        </m:sSub>
      </m:oMath>
      <w:r>
        <w:rPr>
          <w:rFonts w:hint="default" w:ascii="Times New Roman" w:hAnsi="Times New Roman" w:cs="Times New Roman"/>
          <w:color w:val="auto"/>
          <w:lang w:eastAsia="zh-CN"/>
        </w:rPr>
        <w:t>表示两个向量的点积</w:t>
      </w:r>
      <w:r>
        <w:rPr>
          <w:rFonts w:hint="default" w:ascii="Times New Roman" w:hAnsi="Times New Roman" w:cs="Times New Roman"/>
          <w:color w:val="auto"/>
          <w:lang w:eastAsia="zh-CN"/>
        </w:rPr>
        <w:t>，</w:t>
      </w:r>
      <m:oMath>
        <m:d>
          <m:dPr>
            <m:begChr m:val="‖"/>
            <m:endChr m:val="‖"/>
            <m:ctrlPr>
              <w:rPr>
                <w:rFonts w:hint="default" w:ascii="Cambria Math" w:hAnsi="Cambria Math" w:cs="Times New Roman"/>
                <w:i/>
                <w:sz w:val="21"/>
              </w:rPr>
            </m:ctrlPr>
          </m:dPr>
          <m:e>
            <m:sSub>
              <m:sSubPr>
                <m:ctrlPr>
                  <w:rPr>
                    <w:rFonts w:hint="default" w:ascii="Cambria Math" w:hAnsi="Cambria Math" w:cs="Times New Roman"/>
                    <w:sz w:val="21"/>
                  </w:rPr>
                </m:ctrlPr>
              </m:sSubPr>
              <m:e>
                <m:r>
                  <m:rPr>
                    <m:nor/>
                  </m:rPr>
                  <w:rPr>
                    <w:rFonts w:hint="default" w:ascii="Times New Roman" w:hAnsi="Times New Roman" w:cs="Times New Roman"/>
                    <w:i/>
                    <w:sz w:val="21"/>
                  </w:rPr>
                  <m:t>V</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acquirer</m:t>
                </m:r>
                <m:ctrlPr>
                  <w:rPr>
                    <w:rFonts w:hint="default" w:ascii="Cambria Math" w:hAnsi="Cambria Math" w:cs="Times New Roman"/>
                    <w:sz w:val="21"/>
                  </w:rPr>
                </m:ctrlPr>
              </m:sub>
            </m:sSub>
            <m:ctrlPr>
              <w:rPr>
                <w:rFonts w:hint="default" w:ascii="Cambria Math" w:hAnsi="Cambria Math" w:cs="Times New Roman"/>
                <w:sz w:val="21"/>
              </w:rPr>
            </m:ctrlPr>
          </m:e>
        </m:d>
      </m:oMath>
      <w:r>
        <w:rPr>
          <w:rFonts w:hint="default" w:ascii="Times New Roman" w:hAnsi="Times New Roman" w:cs="Times New Roman"/>
          <w:color w:val="auto"/>
          <w:lang w:eastAsia="zh-CN"/>
        </w:rPr>
        <w:t>和</w:t>
      </w:r>
      <m:oMath>
        <m:d>
          <m:dPr>
            <m:begChr m:val="‖"/>
            <m:endChr m:val="‖"/>
            <m:ctrlPr>
              <w:rPr>
                <w:rFonts w:hint="default" w:ascii="Cambria Math" w:hAnsi="Cambria Math" w:cs="Times New Roman"/>
                <w:i/>
                <w:sz w:val="21"/>
              </w:rPr>
            </m:ctrlPr>
          </m:dPr>
          <m:e>
            <m:sSub>
              <m:sSubPr>
                <m:ctrlPr>
                  <w:rPr>
                    <w:rFonts w:hint="default" w:ascii="Cambria Math" w:hAnsi="Cambria Math" w:cs="Times New Roman"/>
                    <w:sz w:val="21"/>
                  </w:rPr>
                </m:ctrlPr>
              </m:sSubPr>
              <m:e>
                <m:r>
                  <m:rPr>
                    <m:nor/>
                  </m:rPr>
                  <w:rPr>
                    <w:rFonts w:hint="default" w:ascii="Times New Roman" w:hAnsi="Times New Roman" w:cs="Times New Roman"/>
                    <w:i/>
                    <w:sz w:val="21"/>
                  </w:rPr>
                  <m:t>V</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target</m:t>
                </m:r>
                <m:ctrlPr>
                  <w:rPr>
                    <w:rFonts w:hint="default" w:ascii="Cambria Math" w:hAnsi="Cambria Math" w:cs="Times New Roman"/>
                    <w:sz w:val="21"/>
                  </w:rPr>
                </m:ctrlPr>
              </m:sub>
            </m:sSub>
            <m:ctrlPr>
              <w:rPr>
                <w:rFonts w:hint="default" w:ascii="Cambria Math" w:hAnsi="Cambria Math" w:cs="Times New Roman"/>
                <w:sz w:val="21"/>
              </w:rPr>
            </m:ctrlPr>
          </m:e>
        </m:d>
      </m:oMath>
      <w:r>
        <w:rPr>
          <w:rFonts w:hint="default" w:ascii="Times New Roman" w:hAnsi="Times New Roman" w:cs="Times New Roman"/>
          <w:color w:val="auto"/>
          <w:lang w:eastAsia="zh-CN"/>
        </w:rPr>
        <w:t>分别表示收购方和目标方文本向量的欧几里得范数。</w:t>
      </w:r>
    </w:p>
    <w:p w14:paraId="5490FEE9">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16" w:name="_Toc11755"/>
      <w:r>
        <w:rPr>
          <w:rFonts w:hint="default" w:ascii="Times New Roman" w:hAnsi="Times New Roman" w:eastAsia="黑体" w:cs="Times New Roman"/>
          <w:color w:val="auto"/>
          <w:lang w:val="en-US" w:eastAsia="zh-CN"/>
        </w:rPr>
        <w:t>3.2.3</w:t>
      </w:r>
      <w:r>
        <w:rPr>
          <w:rFonts w:hint="default" w:ascii="Times New Roman" w:hAnsi="Times New Roman" w:eastAsia="黑体" w:cs="Times New Roman"/>
          <w:color w:val="auto"/>
          <w:lang w:val="en-US" w:eastAsia="zh-CN"/>
        </w:rPr>
        <w:t>控制变量</w:t>
      </w:r>
      <w:bookmarkEnd w:id="16"/>
    </w:p>
    <w:p w14:paraId="5C2F6BC0">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该控制变量体系全面覆盖了影响并购后破产风险的多维度因素。企业特征变量基于经典的财务困境理论，控制了公司基本面的影响；交易特征变量捕捉了并购交易特有的风险因素；宏观行业变量通过固定效应控制了外部环境的影响。这一系统的控制变量设计确保了信息不对称效应的净识别，为实证结果的可靠性提供了重要保障。</w:t>
      </w:r>
    </w:p>
    <w:p w14:paraId="7B28AC00">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表2 控制变量定义与度量</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696"/>
        <w:gridCol w:w="2228"/>
        <w:gridCol w:w="3182"/>
      </w:tblGrid>
      <w:tr w14:paraId="4BE3D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pct"/>
            <w:tcBorders>
              <w:top w:val="single" w:color="auto" w:sz="12" w:space="0"/>
              <w:left w:val="nil"/>
              <w:bottom w:val="single" w:color="auto" w:sz="4" w:space="0"/>
              <w:right w:val="nil"/>
            </w:tcBorders>
            <w:vAlign w:val="center"/>
          </w:tcPr>
          <w:p w14:paraId="35EF80D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变量类别</w:t>
            </w:r>
          </w:p>
        </w:tc>
        <w:tc>
          <w:tcPr>
            <w:tcW w:w="995" w:type="pct"/>
            <w:tcBorders>
              <w:top w:val="single" w:color="auto" w:sz="12" w:space="0"/>
              <w:left w:val="nil"/>
              <w:bottom w:val="single" w:color="auto" w:sz="4" w:space="0"/>
              <w:right w:val="nil"/>
            </w:tcBorders>
            <w:vAlign w:val="center"/>
          </w:tcPr>
          <w:p w14:paraId="049C917C">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变量名称</w:t>
            </w:r>
          </w:p>
        </w:tc>
        <w:tc>
          <w:tcPr>
            <w:tcW w:w="1307" w:type="pct"/>
            <w:tcBorders>
              <w:top w:val="single" w:color="auto" w:sz="12" w:space="0"/>
              <w:left w:val="nil"/>
              <w:bottom w:val="single" w:color="auto" w:sz="4" w:space="0"/>
              <w:right w:val="nil"/>
            </w:tcBorders>
            <w:vAlign w:val="center"/>
          </w:tcPr>
          <w:p w14:paraId="3617E132">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符号</w:t>
            </w:r>
          </w:p>
        </w:tc>
        <w:tc>
          <w:tcPr>
            <w:tcW w:w="1867" w:type="pct"/>
            <w:tcBorders>
              <w:top w:val="single" w:color="auto" w:sz="12" w:space="0"/>
              <w:left w:val="nil"/>
              <w:bottom w:val="single" w:color="auto" w:sz="4" w:space="0"/>
              <w:right w:val="nil"/>
            </w:tcBorders>
            <w:vAlign w:val="center"/>
          </w:tcPr>
          <w:p w14:paraId="3AB99266">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度量方法</w:t>
            </w:r>
          </w:p>
        </w:tc>
      </w:tr>
      <w:tr w14:paraId="5B8BF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pct"/>
            <w:vMerge w:val="restart"/>
            <w:tcBorders>
              <w:top w:val="single" w:color="auto" w:sz="4" w:space="0"/>
              <w:left w:val="nil"/>
              <w:right w:val="nil"/>
            </w:tcBorders>
            <w:vAlign w:val="center"/>
          </w:tcPr>
          <w:p w14:paraId="77FD8A54">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企业特征</w:t>
            </w:r>
          </w:p>
        </w:tc>
        <w:tc>
          <w:tcPr>
            <w:tcW w:w="995" w:type="pct"/>
            <w:tcBorders>
              <w:top w:val="single" w:color="auto" w:sz="4" w:space="0"/>
              <w:left w:val="nil"/>
              <w:bottom w:val="nil"/>
              <w:right w:val="nil"/>
            </w:tcBorders>
            <w:vAlign w:val="center"/>
          </w:tcPr>
          <w:p w14:paraId="14DE2A8B">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规模</w:t>
            </w:r>
          </w:p>
        </w:tc>
        <w:tc>
          <w:tcPr>
            <w:tcW w:w="1307" w:type="pct"/>
            <w:tcBorders>
              <w:top w:val="single" w:color="auto" w:sz="4" w:space="0"/>
              <w:left w:val="nil"/>
              <w:bottom w:val="nil"/>
              <w:right w:val="nil"/>
            </w:tcBorders>
            <w:vAlign w:val="center"/>
          </w:tcPr>
          <w:p w14:paraId="20BFF428">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Size</w:t>
            </w:r>
          </w:p>
        </w:tc>
        <w:tc>
          <w:tcPr>
            <w:tcW w:w="1867" w:type="pct"/>
            <w:tcBorders>
              <w:top w:val="single" w:color="auto" w:sz="4" w:space="0"/>
              <w:left w:val="nil"/>
              <w:bottom w:val="nil"/>
              <w:right w:val="nil"/>
            </w:tcBorders>
            <w:vAlign w:val="center"/>
          </w:tcPr>
          <w:p w14:paraId="16572200">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总资产的自然对数</w:t>
            </w:r>
          </w:p>
        </w:tc>
      </w:tr>
      <w:tr w14:paraId="2B817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pct"/>
            <w:vMerge w:val="continue"/>
            <w:tcBorders>
              <w:left w:val="nil"/>
              <w:right w:val="nil"/>
            </w:tcBorders>
            <w:vAlign w:val="center"/>
          </w:tcPr>
          <w:p w14:paraId="0FD2862A">
            <w:pPr>
              <w:jc w:val="center"/>
              <w:rPr>
                <w:rFonts w:hint="default" w:ascii="Times New Roman" w:hAnsi="Times New Roman" w:cs="Times New Roman"/>
                <w:color w:val="auto"/>
                <w:vertAlign w:val="baseline"/>
                <w:lang w:val="en-US" w:eastAsia="zh-CN"/>
              </w:rPr>
            </w:pPr>
          </w:p>
        </w:tc>
        <w:tc>
          <w:tcPr>
            <w:tcW w:w="995" w:type="pct"/>
            <w:tcBorders>
              <w:top w:val="nil"/>
              <w:left w:val="nil"/>
              <w:bottom w:val="nil"/>
              <w:right w:val="nil"/>
            </w:tcBorders>
            <w:vAlign w:val="center"/>
          </w:tcPr>
          <w:p w14:paraId="6FCF904D">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杠杆率</w:t>
            </w:r>
          </w:p>
        </w:tc>
        <w:tc>
          <w:tcPr>
            <w:tcW w:w="1307" w:type="pct"/>
            <w:tcBorders>
              <w:top w:val="nil"/>
              <w:left w:val="nil"/>
              <w:bottom w:val="nil"/>
              <w:right w:val="nil"/>
            </w:tcBorders>
            <w:vAlign w:val="center"/>
          </w:tcPr>
          <w:p w14:paraId="51226FF4">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Leverage</w:t>
            </w:r>
          </w:p>
        </w:tc>
        <w:tc>
          <w:tcPr>
            <w:tcW w:w="1867" w:type="pct"/>
            <w:tcBorders>
              <w:top w:val="nil"/>
              <w:left w:val="nil"/>
              <w:bottom w:val="nil"/>
              <w:right w:val="nil"/>
            </w:tcBorders>
            <w:vAlign w:val="center"/>
          </w:tcPr>
          <w:p w14:paraId="6929F0F6">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总负债/总资产</w:t>
            </w:r>
          </w:p>
        </w:tc>
      </w:tr>
      <w:tr w14:paraId="7190C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pct"/>
            <w:vMerge w:val="continue"/>
            <w:tcBorders>
              <w:left w:val="nil"/>
              <w:right w:val="nil"/>
            </w:tcBorders>
            <w:vAlign w:val="center"/>
          </w:tcPr>
          <w:p w14:paraId="1F725C1A">
            <w:pPr>
              <w:jc w:val="center"/>
              <w:rPr>
                <w:rFonts w:hint="default" w:ascii="Times New Roman" w:hAnsi="Times New Roman" w:cs="Times New Roman"/>
                <w:color w:val="auto"/>
                <w:vertAlign w:val="baseline"/>
                <w:lang w:val="en-US" w:eastAsia="zh-CN"/>
              </w:rPr>
            </w:pPr>
          </w:p>
        </w:tc>
        <w:tc>
          <w:tcPr>
            <w:tcW w:w="995" w:type="pct"/>
            <w:tcBorders>
              <w:top w:val="nil"/>
              <w:left w:val="nil"/>
              <w:bottom w:val="nil"/>
              <w:right w:val="nil"/>
            </w:tcBorders>
            <w:vAlign w:val="center"/>
          </w:tcPr>
          <w:p w14:paraId="510D4C49">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盈利能力</w:t>
            </w:r>
          </w:p>
        </w:tc>
        <w:tc>
          <w:tcPr>
            <w:tcW w:w="1307" w:type="pct"/>
            <w:tcBorders>
              <w:top w:val="nil"/>
              <w:left w:val="nil"/>
              <w:bottom w:val="nil"/>
              <w:right w:val="nil"/>
            </w:tcBorders>
            <w:vAlign w:val="center"/>
          </w:tcPr>
          <w:p w14:paraId="4BF44EFD">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ROA</w:t>
            </w:r>
          </w:p>
        </w:tc>
        <w:tc>
          <w:tcPr>
            <w:tcW w:w="1867" w:type="pct"/>
            <w:tcBorders>
              <w:top w:val="nil"/>
              <w:left w:val="nil"/>
              <w:bottom w:val="nil"/>
              <w:right w:val="nil"/>
            </w:tcBorders>
            <w:vAlign w:val="center"/>
          </w:tcPr>
          <w:p w14:paraId="7066B269">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净利润/总资产</w:t>
            </w:r>
          </w:p>
        </w:tc>
      </w:tr>
      <w:tr w14:paraId="1FE96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pct"/>
            <w:vMerge w:val="continue"/>
            <w:tcBorders>
              <w:left w:val="nil"/>
              <w:right w:val="nil"/>
            </w:tcBorders>
            <w:vAlign w:val="center"/>
          </w:tcPr>
          <w:p w14:paraId="6B3B3CDE">
            <w:pPr>
              <w:jc w:val="center"/>
              <w:rPr>
                <w:rFonts w:hint="default" w:ascii="Times New Roman" w:hAnsi="Times New Roman" w:cs="Times New Roman"/>
                <w:color w:val="auto"/>
                <w:vertAlign w:val="baseline"/>
                <w:lang w:val="en-US" w:eastAsia="zh-CN"/>
              </w:rPr>
            </w:pPr>
          </w:p>
        </w:tc>
        <w:tc>
          <w:tcPr>
            <w:tcW w:w="995" w:type="pct"/>
            <w:tcBorders>
              <w:top w:val="nil"/>
              <w:left w:val="nil"/>
              <w:bottom w:val="nil"/>
              <w:right w:val="nil"/>
            </w:tcBorders>
            <w:vAlign w:val="center"/>
          </w:tcPr>
          <w:p w14:paraId="7E9A323C">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现金持有</w:t>
            </w:r>
          </w:p>
        </w:tc>
        <w:tc>
          <w:tcPr>
            <w:tcW w:w="1307" w:type="pct"/>
            <w:tcBorders>
              <w:top w:val="nil"/>
              <w:left w:val="nil"/>
              <w:bottom w:val="nil"/>
              <w:right w:val="nil"/>
            </w:tcBorders>
            <w:vAlign w:val="center"/>
          </w:tcPr>
          <w:p w14:paraId="2AB11DB4">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Cash</w:t>
            </w:r>
          </w:p>
        </w:tc>
        <w:tc>
          <w:tcPr>
            <w:tcW w:w="1867" w:type="pct"/>
            <w:tcBorders>
              <w:top w:val="nil"/>
              <w:left w:val="nil"/>
              <w:bottom w:val="nil"/>
              <w:right w:val="nil"/>
            </w:tcBorders>
            <w:vAlign w:val="center"/>
          </w:tcPr>
          <w:p w14:paraId="222368F9">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现金及等价物/总资产</w:t>
            </w:r>
          </w:p>
        </w:tc>
      </w:tr>
      <w:tr w14:paraId="39AA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pct"/>
            <w:vMerge w:val="continue"/>
            <w:tcBorders>
              <w:left w:val="nil"/>
              <w:bottom w:val="nil"/>
              <w:right w:val="nil"/>
            </w:tcBorders>
            <w:vAlign w:val="center"/>
          </w:tcPr>
          <w:p w14:paraId="77D375BB">
            <w:pPr>
              <w:jc w:val="center"/>
              <w:rPr>
                <w:rFonts w:hint="default" w:ascii="Times New Roman" w:hAnsi="Times New Roman" w:cs="Times New Roman"/>
                <w:color w:val="auto"/>
                <w:vertAlign w:val="baseline"/>
                <w:lang w:val="en-US" w:eastAsia="zh-CN"/>
              </w:rPr>
            </w:pPr>
          </w:p>
        </w:tc>
        <w:tc>
          <w:tcPr>
            <w:tcW w:w="995" w:type="pct"/>
            <w:tcBorders>
              <w:top w:val="nil"/>
              <w:left w:val="nil"/>
              <w:bottom w:val="nil"/>
              <w:right w:val="nil"/>
            </w:tcBorders>
            <w:vAlign w:val="center"/>
          </w:tcPr>
          <w:p w14:paraId="36664C22">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市账比</w:t>
            </w:r>
          </w:p>
        </w:tc>
        <w:tc>
          <w:tcPr>
            <w:tcW w:w="1307" w:type="pct"/>
            <w:tcBorders>
              <w:top w:val="nil"/>
              <w:left w:val="nil"/>
              <w:bottom w:val="nil"/>
              <w:right w:val="nil"/>
            </w:tcBorders>
            <w:vAlign w:val="center"/>
          </w:tcPr>
          <w:p w14:paraId="6A923F44">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MB</w:t>
            </w:r>
          </w:p>
        </w:tc>
        <w:tc>
          <w:tcPr>
            <w:tcW w:w="1867" w:type="pct"/>
            <w:tcBorders>
              <w:top w:val="nil"/>
              <w:left w:val="nil"/>
              <w:bottom w:val="nil"/>
              <w:right w:val="nil"/>
            </w:tcBorders>
            <w:vAlign w:val="center"/>
          </w:tcPr>
          <w:p w14:paraId="5D2B664C">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市值/账面价值</w:t>
            </w:r>
          </w:p>
        </w:tc>
      </w:tr>
      <w:tr w14:paraId="483B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pct"/>
            <w:vMerge w:val="restart"/>
            <w:tcBorders>
              <w:top w:val="nil"/>
              <w:left w:val="nil"/>
              <w:right w:val="nil"/>
            </w:tcBorders>
            <w:vAlign w:val="center"/>
          </w:tcPr>
          <w:p w14:paraId="3DE506C5">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交易特征</w:t>
            </w:r>
          </w:p>
        </w:tc>
        <w:tc>
          <w:tcPr>
            <w:tcW w:w="995" w:type="pct"/>
            <w:tcBorders>
              <w:top w:val="nil"/>
              <w:left w:val="nil"/>
              <w:bottom w:val="nil"/>
              <w:right w:val="nil"/>
            </w:tcBorders>
            <w:vAlign w:val="center"/>
          </w:tcPr>
          <w:p w14:paraId="58668724">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交易规模</w:t>
            </w:r>
          </w:p>
        </w:tc>
        <w:tc>
          <w:tcPr>
            <w:tcW w:w="1307" w:type="pct"/>
            <w:tcBorders>
              <w:top w:val="nil"/>
              <w:left w:val="nil"/>
              <w:bottom w:val="nil"/>
              <w:right w:val="nil"/>
            </w:tcBorders>
            <w:vAlign w:val="center"/>
          </w:tcPr>
          <w:p w14:paraId="71FEF6D0">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Deal_Size</w:t>
            </w:r>
          </w:p>
        </w:tc>
        <w:tc>
          <w:tcPr>
            <w:tcW w:w="1867" w:type="pct"/>
            <w:tcBorders>
              <w:top w:val="nil"/>
              <w:left w:val="nil"/>
              <w:bottom w:val="nil"/>
              <w:right w:val="nil"/>
            </w:tcBorders>
            <w:vAlign w:val="center"/>
          </w:tcPr>
          <w:p w14:paraId="54DE6008">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交易金额的自然对数</w:t>
            </w:r>
          </w:p>
        </w:tc>
      </w:tr>
      <w:tr w14:paraId="1754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pct"/>
            <w:vMerge w:val="continue"/>
            <w:tcBorders>
              <w:left w:val="nil"/>
              <w:right w:val="nil"/>
            </w:tcBorders>
            <w:vAlign w:val="center"/>
          </w:tcPr>
          <w:p w14:paraId="3F870B58">
            <w:pPr>
              <w:jc w:val="center"/>
              <w:rPr>
                <w:rFonts w:hint="default" w:ascii="Times New Roman" w:hAnsi="Times New Roman" w:cs="Times New Roman"/>
                <w:color w:val="auto"/>
                <w:vertAlign w:val="baseline"/>
                <w:lang w:val="en-US" w:eastAsia="zh-CN"/>
              </w:rPr>
            </w:pPr>
          </w:p>
        </w:tc>
        <w:tc>
          <w:tcPr>
            <w:tcW w:w="995" w:type="pct"/>
            <w:tcBorders>
              <w:top w:val="nil"/>
              <w:left w:val="nil"/>
              <w:bottom w:val="nil"/>
              <w:right w:val="nil"/>
            </w:tcBorders>
            <w:vAlign w:val="center"/>
          </w:tcPr>
          <w:p w14:paraId="1410FD28">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相对规模</w:t>
            </w:r>
          </w:p>
        </w:tc>
        <w:tc>
          <w:tcPr>
            <w:tcW w:w="1307" w:type="pct"/>
            <w:tcBorders>
              <w:top w:val="nil"/>
              <w:left w:val="nil"/>
              <w:bottom w:val="nil"/>
              <w:right w:val="nil"/>
            </w:tcBorders>
            <w:vAlign w:val="center"/>
          </w:tcPr>
          <w:p w14:paraId="33497706">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Relative_Size</w:t>
            </w:r>
          </w:p>
        </w:tc>
        <w:tc>
          <w:tcPr>
            <w:tcW w:w="1867" w:type="pct"/>
            <w:tcBorders>
              <w:top w:val="nil"/>
              <w:left w:val="nil"/>
              <w:bottom w:val="nil"/>
              <w:right w:val="nil"/>
            </w:tcBorders>
            <w:vAlign w:val="center"/>
          </w:tcPr>
          <w:p w14:paraId="4393A142">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交易金额/收购方总资产</w:t>
            </w:r>
          </w:p>
        </w:tc>
      </w:tr>
      <w:tr w14:paraId="3819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pct"/>
            <w:vMerge w:val="continue"/>
            <w:tcBorders>
              <w:left w:val="nil"/>
              <w:right w:val="nil"/>
            </w:tcBorders>
            <w:vAlign w:val="center"/>
          </w:tcPr>
          <w:p w14:paraId="03D8EB15">
            <w:pPr>
              <w:jc w:val="center"/>
              <w:rPr>
                <w:rFonts w:hint="default" w:ascii="Times New Roman" w:hAnsi="Times New Roman" w:cs="Times New Roman"/>
                <w:color w:val="auto"/>
                <w:vertAlign w:val="baseline"/>
                <w:lang w:val="en-US" w:eastAsia="zh-CN"/>
              </w:rPr>
            </w:pPr>
          </w:p>
        </w:tc>
        <w:tc>
          <w:tcPr>
            <w:tcW w:w="995" w:type="pct"/>
            <w:tcBorders>
              <w:top w:val="nil"/>
              <w:left w:val="nil"/>
              <w:bottom w:val="nil"/>
              <w:right w:val="nil"/>
            </w:tcBorders>
            <w:vAlign w:val="center"/>
          </w:tcPr>
          <w:p w14:paraId="252B3378">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支付方式</w:t>
            </w:r>
          </w:p>
        </w:tc>
        <w:tc>
          <w:tcPr>
            <w:tcW w:w="1307" w:type="pct"/>
            <w:tcBorders>
              <w:top w:val="nil"/>
              <w:left w:val="nil"/>
              <w:bottom w:val="nil"/>
              <w:right w:val="nil"/>
            </w:tcBorders>
            <w:vAlign w:val="center"/>
          </w:tcPr>
          <w:p w14:paraId="2C16959C">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Payment</w:t>
            </w:r>
          </w:p>
        </w:tc>
        <w:tc>
          <w:tcPr>
            <w:tcW w:w="1867" w:type="pct"/>
            <w:tcBorders>
              <w:top w:val="nil"/>
              <w:left w:val="nil"/>
              <w:bottom w:val="nil"/>
              <w:right w:val="nil"/>
            </w:tcBorders>
            <w:vAlign w:val="center"/>
          </w:tcPr>
          <w:p w14:paraId="5C3A424C">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现金支付=1，其他=0</w:t>
            </w:r>
          </w:p>
        </w:tc>
      </w:tr>
      <w:tr w14:paraId="0C80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pct"/>
            <w:vMerge w:val="continue"/>
            <w:tcBorders>
              <w:left w:val="nil"/>
              <w:right w:val="nil"/>
            </w:tcBorders>
            <w:vAlign w:val="center"/>
          </w:tcPr>
          <w:p w14:paraId="1B486D58">
            <w:pPr>
              <w:jc w:val="center"/>
              <w:rPr>
                <w:rFonts w:hint="default" w:ascii="Times New Roman" w:hAnsi="Times New Roman" w:cs="Times New Roman"/>
                <w:color w:val="auto"/>
                <w:vertAlign w:val="baseline"/>
                <w:lang w:val="en-US" w:eastAsia="zh-CN"/>
              </w:rPr>
            </w:pPr>
          </w:p>
        </w:tc>
        <w:tc>
          <w:tcPr>
            <w:tcW w:w="995" w:type="pct"/>
            <w:tcBorders>
              <w:top w:val="nil"/>
              <w:left w:val="nil"/>
              <w:bottom w:val="nil"/>
              <w:right w:val="nil"/>
            </w:tcBorders>
            <w:vAlign w:val="center"/>
          </w:tcPr>
          <w:p w14:paraId="4FD86101">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关联交易</w:t>
            </w:r>
          </w:p>
        </w:tc>
        <w:tc>
          <w:tcPr>
            <w:tcW w:w="1307" w:type="pct"/>
            <w:tcBorders>
              <w:top w:val="nil"/>
              <w:left w:val="nil"/>
              <w:bottom w:val="nil"/>
              <w:right w:val="nil"/>
            </w:tcBorders>
            <w:vAlign w:val="center"/>
          </w:tcPr>
          <w:p w14:paraId="13E45571">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Related</w:t>
            </w:r>
          </w:p>
        </w:tc>
        <w:tc>
          <w:tcPr>
            <w:tcW w:w="1867" w:type="pct"/>
            <w:tcBorders>
              <w:top w:val="nil"/>
              <w:left w:val="nil"/>
              <w:bottom w:val="nil"/>
              <w:right w:val="nil"/>
            </w:tcBorders>
            <w:vAlign w:val="center"/>
          </w:tcPr>
          <w:p w14:paraId="59526024">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同一行业=1，其他=0</w:t>
            </w:r>
          </w:p>
        </w:tc>
      </w:tr>
      <w:tr w14:paraId="4EE4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pct"/>
            <w:vMerge w:val="continue"/>
            <w:tcBorders>
              <w:left w:val="nil"/>
              <w:bottom w:val="nil"/>
              <w:right w:val="nil"/>
            </w:tcBorders>
            <w:vAlign w:val="center"/>
          </w:tcPr>
          <w:p w14:paraId="0F94489E">
            <w:pPr>
              <w:jc w:val="center"/>
              <w:rPr>
                <w:rFonts w:hint="default" w:ascii="Times New Roman" w:hAnsi="Times New Roman" w:cs="Times New Roman"/>
                <w:color w:val="auto"/>
                <w:vertAlign w:val="baseline"/>
                <w:lang w:val="en-US" w:eastAsia="zh-CN"/>
              </w:rPr>
            </w:pPr>
          </w:p>
        </w:tc>
        <w:tc>
          <w:tcPr>
            <w:tcW w:w="995" w:type="pct"/>
            <w:tcBorders>
              <w:top w:val="nil"/>
              <w:left w:val="nil"/>
              <w:bottom w:val="nil"/>
              <w:right w:val="nil"/>
            </w:tcBorders>
            <w:vAlign w:val="center"/>
          </w:tcPr>
          <w:p w14:paraId="61955E8E">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行业相关性</w:t>
            </w:r>
          </w:p>
        </w:tc>
        <w:tc>
          <w:tcPr>
            <w:tcW w:w="1307" w:type="pct"/>
            <w:tcBorders>
              <w:top w:val="nil"/>
              <w:left w:val="nil"/>
              <w:bottom w:val="nil"/>
              <w:right w:val="nil"/>
            </w:tcBorders>
            <w:vAlign w:val="center"/>
          </w:tcPr>
          <w:p w14:paraId="2F12F4BF">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Industry_Related</w:t>
            </w:r>
          </w:p>
        </w:tc>
        <w:tc>
          <w:tcPr>
            <w:tcW w:w="1867" w:type="pct"/>
            <w:tcBorders>
              <w:top w:val="nil"/>
              <w:left w:val="nil"/>
              <w:bottom w:val="nil"/>
              <w:right w:val="nil"/>
            </w:tcBorders>
            <w:vAlign w:val="center"/>
          </w:tcPr>
          <w:p w14:paraId="76BB6F94">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2位SIC代码匹配</w:t>
            </w:r>
          </w:p>
        </w:tc>
      </w:tr>
      <w:tr w14:paraId="19A90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pct"/>
            <w:vMerge w:val="restart"/>
            <w:tcBorders>
              <w:top w:val="nil"/>
              <w:left w:val="nil"/>
              <w:right w:val="nil"/>
            </w:tcBorders>
            <w:vAlign w:val="center"/>
          </w:tcPr>
          <w:p w14:paraId="4831FFD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宏观行业</w:t>
            </w:r>
          </w:p>
        </w:tc>
        <w:tc>
          <w:tcPr>
            <w:tcW w:w="995" w:type="pct"/>
            <w:tcBorders>
              <w:top w:val="nil"/>
              <w:left w:val="nil"/>
              <w:bottom w:val="nil"/>
              <w:right w:val="nil"/>
            </w:tcBorders>
            <w:vAlign w:val="center"/>
          </w:tcPr>
          <w:p w14:paraId="25C64FD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行业效应</w:t>
            </w:r>
          </w:p>
        </w:tc>
        <w:tc>
          <w:tcPr>
            <w:tcW w:w="1307" w:type="pct"/>
            <w:tcBorders>
              <w:top w:val="nil"/>
              <w:left w:val="nil"/>
              <w:bottom w:val="nil"/>
              <w:right w:val="nil"/>
            </w:tcBorders>
            <w:vAlign w:val="center"/>
          </w:tcPr>
          <w:p w14:paraId="51C7E430">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Industry FE</w:t>
            </w:r>
          </w:p>
        </w:tc>
        <w:tc>
          <w:tcPr>
            <w:tcW w:w="1867" w:type="pct"/>
            <w:tcBorders>
              <w:top w:val="nil"/>
              <w:left w:val="nil"/>
              <w:bottom w:val="nil"/>
              <w:right w:val="nil"/>
            </w:tcBorders>
            <w:vAlign w:val="center"/>
          </w:tcPr>
          <w:p w14:paraId="2E17AB1F">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2位SIC代码虚拟变量</w:t>
            </w:r>
          </w:p>
        </w:tc>
      </w:tr>
      <w:tr w14:paraId="4B90B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pct"/>
            <w:vMerge w:val="continue"/>
            <w:tcBorders>
              <w:left w:val="nil"/>
              <w:bottom w:val="single" w:color="auto" w:sz="12" w:space="0"/>
              <w:right w:val="nil"/>
            </w:tcBorders>
            <w:vAlign w:val="center"/>
          </w:tcPr>
          <w:p w14:paraId="6E83C285">
            <w:pPr>
              <w:jc w:val="center"/>
              <w:rPr>
                <w:rFonts w:hint="default" w:ascii="Times New Roman" w:hAnsi="Times New Roman" w:cs="Times New Roman"/>
                <w:color w:val="auto"/>
                <w:vertAlign w:val="baseline"/>
                <w:lang w:val="en-US" w:eastAsia="zh-CN"/>
              </w:rPr>
            </w:pPr>
          </w:p>
        </w:tc>
        <w:tc>
          <w:tcPr>
            <w:tcW w:w="995" w:type="pct"/>
            <w:tcBorders>
              <w:top w:val="nil"/>
              <w:left w:val="nil"/>
              <w:bottom w:val="single" w:color="auto" w:sz="12" w:space="0"/>
              <w:right w:val="nil"/>
            </w:tcBorders>
            <w:vAlign w:val="center"/>
          </w:tcPr>
          <w:p w14:paraId="655FA4ED">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年度效应</w:t>
            </w:r>
          </w:p>
        </w:tc>
        <w:tc>
          <w:tcPr>
            <w:tcW w:w="1307" w:type="pct"/>
            <w:tcBorders>
              <w:top w:val="nil"/>
              <w:left w:val="nil"/>
              <w:bottom w:val="single" w:color="auto" w:sz="12" w:space="0"/>
              <w:right w:val="nil"/>
            </w:tcBorders>
            <w:vAlign w:val="center"/>
          </w:tcPr>
          <w:p w14:paraId="2DD2CD0C">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Year FE</w:t>
            </w:r>
          </w:p>
        </w:tc>
        <w:tc>
          <w:tcPr>
            <w:tcW w:w="1867" w:type="pct"/>
            <w:tcBorders>
              <w:top w:val="nil"/>
              <w:left w:val="nil"/>
              <w:bottom w:val="single" w:color="auto" w:sz="12" w:space="0"/>
              <w:right w:val="nil"/>
            </w:tcBorders>
            <w:vAlign w:val="center"/>
          </w:tcPr>
          <w:p w14:paraId="762D8D97">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年度虚拟变量</w:t>
            </w:r>
          </w:p>
        </w:tc>
      </w:tr>
    </w:tbl>
    <w:p w14:paraId="72CAA14E">
      <w:pPr>
        <w:rPr>
          <w:rFonts w:hint="default" w:ascii="Times New Roman" w:hAnsi="Times New Roman" w:cs="Times New Roman"/>
          <w:color w:val="auto"/>
          <w:lang w:val="en-US" w:eastAsia="zh-CN"/>
        </w:rPr>
      </w:pPr>
    </w:p>
    <w:p w14:paraId="51943564">
      <w:pPr>
        <w:rPr>
          <w:rFonts w:hint="default" w:ascii="Times New Roman" w:hAnsi="Times New Roman" w:cs="Times New Roman"/>
          <w:color w:val="auto"/>
        </w:rPr>
      </w:pPr>
    </w:p>
    <w:p w14:paraId="18D6B0DC">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eastAsia="黑体" w:cs="Times New Roman"/>
          <w:b/>
          <w:bCs/>
          <w:color w:val="auto"/>
          <w:sz w:val="32"/>
          <w:szCs w:val="32"/>
          <w:lang w:val="en-US" w:eastAsia="zh-CN"/>
        </w:rPr>
      </w:pPr>
      <w:bookmarkStart w:id="17" w:name="_Toc8103"/>
      <w:r>
        <w:rPr>
          <w:rFonts w:hint="default" w:ascii="Times New Roman" w:hAnsi="Times New Roman" w:eastAsia="黑体" w:cs="Times New Roman"/>
          <w:b/>
          <w:bCs/>
          <w:color w:val="auto"/>
          <w:sz w:val="32"/>
          <w:szCs w:val="32"/>
          <w:lang w:val="en-US" w:eastAsia="zh-CN"/>
        </w:rPr>
        <w:t>4.实证模型设定</w:t>
      </w:r>
      <w:bookmarkEnd w:id="17"/>
    </w:p>
    <w:p w14:paraId="3E6F259F">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lang w:val="en-US" w:eastAsia="zh-CN"/>
        </w:rPr>
      </w:pPr>
      <w:bookmarkStart w:id="18" w:name="_Toc23479"/>
      <w:r>
        <w:rPr>
          <w:rFonts w:hint="default" w:ascii="Times New Roman" w:hAnsi="Times New Roman" w:eastAsia="黑体" w:cs="Times New Roman"/>
          <w:color w:val="auto"/>
          <w:sz w:val="28"/>
          <w:szCs w:val="28"/>
          <w:lang w:val="en-US" w:eastAsia="zh-CN"/>
        </w:rPr>
        <w:t>4</w:t>
      </w:r>
      <w:r>
        <w:rPr>
          <w:rFonts w:hint="default" w:ascii="Times New Roman" w:hAnsi="Times New Roman" w:eastAsia="黑体" w:cs="Times New Roman"/>
          <w:color w:val="auto"/>
          <w:sz w:val="28"/>
          <w:szCs w:val="28"/>
          <w:lang w:val="en-US" w:eastAsia="zh-CN"/>
        </w:rPr>
        <w:t>.1逻辑回归/生存分析模型</w:t>
      </w:r>
      <w:bookmarkEnd w:id="18"/>
    </w:p>
    <w:p w14:paraId="6A45C04F">
      <w:pPr>
        <w:ind w:firstLine="420" w:firstLineChars="200"/>
        <w:rPr>
          <w:rFonts w:hint="default" w:ascii="Times New Roman" w:hAnsi="Times New Roman" w:cs="Times New Roman" w:eastAsiaTheme="minorEastAsia"/>
          <w:color w:val="auto"/>
          <w:lang w:eastAsia="zh-CN"/>
        </w:rPr>
      </w:pPr>
      <w:r>
        <w:rPr>
          <w:rFonts w:hint="default" w:ascii="Times New Roman" w:hAnsi="Times New Roman" w:cs="Times New Roman"/>
          <w:color w:val="auto"/>
        </w:rPr>
        <w:t>为检验H1（信息不对称对破产发生概率的影响），本研究采用以下两种模型</w:t>
      </w:r>
      <w:r>
        <w:rPr>
          <w:rFonts w:hint="default" w:ascii="Times New Roman" w:hAnsi="Times New Roman" w:cs="Times New Roman"/>
          <w:color w:val="auto"/>
          <w:lang w:eastAsia="zh-CN"/>
        </w:rPr>
        <w:t>。</w:t>
      </w:r>
    </w:p>
    <w:p w14:paraId="1378B133">
      <w:pPr>
        <w:rPr>
          <w:rFonts w:hint="default" w:ascii="Times New Roman" w:hAnsi="Times New Roman" w:cs="Times New Roman"/>
          <w:color w:val="auto"/>
        </w:rPr>
      </w:pPr>
      <w:r>
        <w:rPr>
          <w:rFonts w:hint="default" w:ascii="Times New Roman" w:hAnsi="Times New Roman" w:cs="Times New Roman"/>
          <w:color w:val="auto"/>
          <w:lang w:eastAsia="zh-CN"/>
        </w:rPr>
        <w:t>（</w:t>
      </w:r>
      <w:r>
        <w:rPr>
          <w:rFonts w:hint="default" w:ascii="Times New Roman" w:hAnsi="Times New Roman" w:cs="Times New Roman"/>
          <w:color w:val="auto"/>
          <w:lang w:val="en-US" w:eastAsia="zh-CN"/>
        </w:rPr>
        <w:t>1</w:t>
      </w:r>
      <w:r>
        <w:rPr>
          <w:rFonts w:hint="default" w:ascii="Times New Roman" w:hAnsi="Times New Roman" w:cs="Times New Roman"/>
          <w:color w:val="auto"/>
          <w:lang w:eastAsia="zh-CN"/>
        </w:rPr>
        <w:t>）</w:t>
      </w:r>
      <w:r>
        <w:rPr>
          <w:rFonts w:hint="default" w:ascii="Times New Roman" w:hAnsi="Times New Roman" w:cs="Times New Roman"/>
          <w:color w:val="auto"/>
        </w:rPr>
        <w:t>逻辑回归模型</w:t>
      </w:r>
    </w:p>
    <w:p w14:paraId="74B5B377">
      <w:pPr>
        <w:jc w:val="right"/>
        <w:rPr>
          <w:rFonts w:hint="default" w:ascii="Times New Roman" w:hAnsi="Times New Roman" w:cs="Times New Roman" w:eastAsiaTheme="minorEastAsia"/>
          <w:color w:val="auto"/>
          <w:lang w:val="en-US" w:eastAsia="zh-CN"/>
        </w:rPr>
      </w:pPr>
      <m:oMath>
        <m:r>
          <m:rPr>
            <m:nor/>
            <m:sty m:val="p"/>
          </m:rPr>
          <w:rPr>
            <w:rFonts w:hint="default" w:ascii="Times New Roman" w:hAnsi="Times New Roman" w:cs="Times New Roman"/>
            <w:sz w:val="18"/>
            <w:szCs w:val="18"/>
          </w:rPr>
          <m:t>Logit</m:t>
        </m:r>
        <m:r>
          <m:rPr>
            <m:nor/>
            <m:sty m:val="p"/>
          </m:rPr>
          <w:rPr>
            <w:rFonts w:hint="default" w:ascii="Times New Roman" w:hAnsi="Times New Roman" w:cs="Times New Roman"/>
            <w:i w:val="0"/>
            <w:sz w:val="18"/>
            <w:szCs w:val="18"/>
          </w:rPr>
          <m:t>(</m:t>
        </m:r>
        <m:r>
          <m:rPr>
            <m:nor/>
          </m:rPr>
          <w:rPr>
            <w:rFonts w:hint="default" w:ascii="Times New Roman" w:hAnsi="Times New Roman" w:cs="Times New Roman"/>
            <w:i/>
            <w:sz w:val="18"/>
            <w:szCs w:val="18"/>
          </w:rPr>
          <m:t>P</m:t>
        </m:r>
        <m:r>
          <m:rPr>
            <m:nor/>
            <m:sty m:val="p"/>
          </m:rPr>
          <w:rPr>
            <w:rFonts w:hint="default" w:ascii="Times New Roman" w:hAnsi="Times New Roman" w:cs="Times New Roman"/>
            <w:i w:val="0"/>
            <w:sz w:val="18"/>
            <w:szCs w:val="18"/>
          </w:rPr>
          <m:t>(</m:t>
        </m:r>
        <m:sSub>
          <m:sSubPr>
            <m:ctrlPr>
              <w:rPr>
                <w:rFonts w:hint="default" w:ascii="Cambria Math" w:hAnsi="Cambria Math" w:cs="Times New Roman"/>
                <w:sz w:val="18"/>
                <w:szCs w:val="18"/>
              </w:rPr>
            </m:ctrlPr>
          </m:sSubPr>
          <m:e>
            <m:r>
              <m:rPr>
                <m:nor/>
              </m:rPr>
              <w:rPr>
                <w:rFonts w:hint="default" w:ascii="Times New Roman" w:hAnsi="Times New Roman" w:cs="Times New Roman"/>
                <w:i/>
                <w:sz w:val="18"/>
                <w:szCs w:val="18"/>
              </w:rPr>
              <m:t>Bankruptcy</m:t>
            </m:r>
            <m:ctrlPr>
              <w:rPr>
                <w:rFonts w:hint="default" w:ascii="Cambria Math" w:hAnsi="Cambria Math" w:cs="Times New Roman"/>
                <w:sz w:val="18"/>
                <w:szCs w:val="18"/>
              </w:rPr>
            </m:ctrlPr>
          </m:e>
          <m:sub>
            <m:r>
              <m:rPr>
                <m:nor/>
              </m:rPr>
              <w:rPr>
                <w:rFonts w:hint="default" w:ascii="Times New Roman" w:hAnsi="Times New Roman" w:cs="Times New Roman"/>
                <w:i/>
                <w:sz w:val="18"/>
                <w:szCs w:val="18"/>
              </w:rPr>
              <m:t>i</m:t>
            </m:r>
            <m:r>
              <m:rPr>
                <m:nor/>
                <m:sty m:val="p"/>
              </m:rPr>
              <w:rPr>
                <w:rFonts w:hint="default" w:ascii="Times New Roman" w:hAnsi="Times New Roman" w:cs="Times New Roman"/>
                <w:i w:val="0"/>
                <w:sz w:val="18"/>
                <w:szCs w:val="18"/>
              </w:rPr>
              <m:t>,</m:t>
            </m:r>
            <m:r>
              <m:rPr>
                <m:nor/>
              </m:rPr>
              <w:rPr>
                <w:rFonts w:hint="default" w:ascii="Times New Roman" w:hAnsi="Times New Roman" w:cs="Times New Roman"/>
                <w:i/>
                <w:sz w:val="18"/>
                <w:szCs w:val="18"/>
              </w:rPr>
              <m:t>t</m:t>
            </m:r>
            <m:ctrlPr>
              <w:rPr>
                <w:rFonts w:hint="default" w:ascii="Cambria Math" w:hAnsi="Cambria Math" w:cs="Times New Roman"/>
                <w:sz w:val="18"/>
                <w:szCs w:val="18"/>
              </w:rPr>
            </m:ctrlPr>
          </m:sub>
        </m:sSub>
        <m:r>
          <m:rPr>
            <m:nor/>
            <m:sty m:val="p"/>
          </m:rPr>
          <w:rPr>
            <w:rFonts w:hint="default" w:ascii="Times New Roman" w:hAnsi="Times New Roman" w:cs="Times New Roman"/>
            <w:i w:val="0"/>
            <w:sz w:val="18"/>
            <w:szCs w:val="18"/>
          </w:rPr>
          <m:t>=1))=</m:t>
        </m:r>
        <m:sSub>
          <m:sSubPr>
            <m:ctrlPr>
              <w:rPr>
                <w:rFonts w:hint="default" w:ascii="Cambria Math" w:hAnsi="Cambria Math" w:cs="Times New Roman"/>
                <w:sz w:val="18"/>
                <w:szCs w:val="18"/>
              </w:rPr>
            </m:ctrlPr>
          </m:sSubPr>
          <m:e>
            <m:r>
              <m:rPr>
                <m:nor/>
              </m:rPr>
              <w:rPr>
                <w:rFonts w:hint="default" w:ascii="Times New Roman" w:hAnsi="Times New Roman" w:cs="Times New Roman"/>
                <w:i/>
                <w:sz w:val="18"/>
                <w:szCs w:val="18"/>
              </w:rPr>
              <m:t>β</m:t>
            </m:r>
            <m:ctrlPr>
              <w:rPr>
                <w:rFonts w:hint="default" w:ascii="Cambria Math" w:hAnsi="Cambria Math" w:cs="Times New Roman"/>
                <w:sz w:val="18"/>
                <w:szCs w:val="18"/>
              </w:rPr>
            </m:ctrlPr>
          </m:e>
          <m:sub>
            <m:r>
              <m:rPr>
                <m:nor/>
                <m:sty m:val="p"/>
              </m:rPr>
              <w:rPr>
                <w:rFonts w:hint="default" w:ascii="Times New Roman" w:hAnsi="Times New Roman" w:cs="Times New Roman"/>
                <w:i w:val="0"/>
                <w:sz w:val="18"/>
                <w:szCs w:val="18"/>
              </w:rPr>
              <m:t>0</m:t>
            </m:r>
            <m:ctrlPr>
              <w:rPr>
                <w:rFonts w:hint="default" w:ascii="Cambria Math" w:hAnsi="Cambria Math" w:cs="Times New Roman"/>
                <w:sz w:val="18"/>
                <w:szCs w:val="18"/>
              </w:rPr>
            </m:ctrlPr>
          </m:sub>
        </m:sSub>
        <m:r>
          <m:rPr>
            <m:nor/>
            <m:sty m:val="p"/>
          </m:rPr>
          <w:rPr>
            <w:rFonts w:hint="default" w:ascii="Times New Roman" w:hAnsi="Times New Roman" w:cs="Times New Roman"/>
            <w:i w:val="0"/>
            <w:sz w:val="18"/>
            <w:szCs w:val="18"/>
          </w:rPr>
          <m:t>+</m:t>
        </m:r>
        <m:sSub>
          <m:sSubPr>
            <m:ctrlPr>
              <w:rPr>
                <w:rFonts w:hint="default" w:ascii="Cambria Math" w:hAnsi="Cambria Math" w:cs="Times New Roman"/>
                <w:sz w:val="18"/>
                <w:szCs w:val="18"/>
              </w:rPr>
            </m:ctrlPr>
          </m:sSubPr>
          <m:e>
            <m:r>
              <m:rPr>
                <m:nor/>
              </m:rPr>
              <w:rPr>
                <w:rFonts w:hint="default" w:ascii="Times New Roman" w:hAnsi="Times New Roman" w:cs="Times New Roman"/>
                <w:i/>
                <w:sz w:val="18"/>
                <w:szCs w:val="18"/>
              </w:rPr>
              <m:t>β</m:t>
            </m:r>
            <m:ctrlPr>
              <w:rPr>
                <w:rFonts w:hint="default" w:ascii="Cambria Math" w:hAnsi="Cambria Math" w:cs="Times New Roman"/>
                <w:sz w:val="18"/>
                <w:szCs w:val="18"/>
              </w:rPr>
            </m:ctrlPr>
          </m:e>
          <m:sub>
            <m:r>
              <m:rPr>
                <m:nor/>
                <m:sty m:val="p"/>
              </m:rPr>
              <w:rPr>
                <w:rFonts w:hint="default" w:ascii="Times New Roman" w:hAnsi="Times New Roman" w:cs="Times New Roman"/>
                <w:i w:val="0"/>
                <w:sz w:val="18"/>
                <w:szCs w:val="18"/>
              </w:rPr>
              <m:t>1</m:t>
            </m:r>
            <m:ctrlPr>
              <w:rPr>
                <w:rFonts w:hint="default" w:ascii="Cambria Math" w:hAnsi="Cambria Math" w:cs="Times New Roman"/>
                <w:sz w:val="18"/>
                <w:szCs w:val="18"/>
              </w:rPr>
            </m:ctrlPr>
          </m:sub>
        </m:sSub>
        <m:sSub>
          <m:sSubPr>
            <m:ctrlPr>
              <w:rPr>
                <w:rFonts w:hint="default" w:ascii="Cambria Math" w:hAnsi="Cambria Math" w:cs="Times New Roman"/>
                <w:sz w:val="18"/>
                <w:szCs w:val="18"/>
              </w:rPr>
            </m:ctrlPr>
          </m:sSubPr>
          <m:e>
            <m:r>
              <m:rPr>
                <m:nor/>
              </m:rPr>
              <w:rPr>
                <w:rFonts w:hint="default" w:ascii="Times New Roman" w:hAnsi="Times New Roman" w:cs="Times New Roman"/>
                <w:i/>
                <w:sz w:val="18"/>
                <w:szCs w:val="18"/>
              </w:rPr>
              <m:t>IA</m:t>
            </m:r>
            <m:r>
              <m:rPr>
                <m:nor/>
                <m:sty m:val="p"/>
              </m:rPr>
              <w:rPr>
                <w:rFonts w:hint="default" w:ascii="Times New Roman" w:hAnsi="Times New Roman" w:cs="Times New Roman"/>
                <w:i w:val="0"/>
                <w:sz w:val="18"/>
                <w:szCs w:val="18"/>
              </w:rPr>
              <m:t>_</m:t>
            </m:r>
            <m:r>
              <m:rPr>
                <m:nor/>
              </m:rPr>
              <w:rPr>
                <w:rFonts w:hint="default" w:ascii="Times New Roman" w:hAnsi="Times New Roman" w:cs="Times New Roman"/>
                <w:i/>
                <w:sz w:val="18"/>
                <w:szCs w:val="18"/>
              </w:rPr>
              <m:t>Text</m:t>
            </m:r>
            <m:ctrlPr>
              <w:rPr>
                <w:rFonts w:hint="default" w:ascii="Cambria Math" w:hAnsi="Cambria Math" w:cs="Times New Roman"/>
                <w:sz w:val="18"/>
                <w:szCs w:val="18"/>
              </w:rPr>
            </m:ctrlPr>
          </m:e>
          <m:sub>
            <m:r>
              <m:rPr>
                <m:nor/>
              </m:rPr>
              <w:rPr>
                <w:rFonts w:hint="default" w:ascii="Times New Roman" w:hAnsi="Times New Roman" w:cs="Times New Roman"/>
                <w:i/>
                <w:sz w:val="18"/>
                <w:szCs w:val="18"/>
              </w:rPr>
              <m:t>i</m:t>
            </m:r>
            <m:r>
              <m:rPr>
                <m:nor/>
                <m:sty m:val="p"/>
              </m:rPr>
              <w:rPr>
                <w:rFonts w:hint="default" w:ascii="Times New Roman" w:hAnsi="Times New Roman" w:cs="Times New Roman"/>
                <w:i w:val="0"/>
                <w:sz w:val="18"/>
                <w:szCs w:val="18"/>
              </w:rPr>
              <m:t>,</m:t>
            </m:r>
            <m:r>
              <m:rPr>
                <m:nor/>
              </m:rPr>
              <w:rPr>
                <w:rFonts w:hint="default" w:ascii="Times New Roman" w:hAnsi="Times New Roman" w:cs="Times New Roman"/>
                <w:i/>
                <w:sz w:val="18"/>
                <w:szCs w:val="18"/>
              </w:rPr>
              <m:t>t</m:t>
            </m:r>
            <m:ctrlPr>
              <w:rPr>
                <w:rFonts w:hint="default" w:ascii="Cambria Math" w:hAnsi="Cambria Math" w:cs="Times New Roman"/>
                <w:sz w:val="18"/>
                <w:szCs w:val="18"/>
              </w:rPr>
            </m:ctrlPr>
          </m:sub>
        </m:sSub>
        <m:r>
          <m:rPr>
            <m:nor/>
            <m:sty m:val="p"/>
          </m:rPr>
          <w:rPr>
            <w:rFonts w:hint="default" w:ascii="Times New Roman" w:hAnsi="Times New Roman" w:cs="Times New Roman"/>
            <w:i w:val="0"/>
            <w:sz w:val="18"/>
            <w:szCs w:val="18"/>
          </w:rPr>
          <m:t>+</m:t>
        </m:r>
        <m:r>
          <m:rPr>
            <m:nor/>
          </m:rPr>
          <w:rPr>
            <w:rFonts w:hint="default" w:ascii="Times New Roman" w:hAnsi="Times New Roman" w:cs="Times New Roman"/>
            <w:i/>
            <w:sz w:val="18"/>
            <w:szCs w:val="18"/>
          </w:rPr>
          <m:t>γ</m:t>
        </m:r>
        <m:sSub>
          <m:sSubPr>
            <m:ctrlPr>
              <w:rPr>
                <w:rFonts w:hint="default" w:ascii="Cambria Math" w:hAnsi="Cambria Math" w:cs="Times New Roman"/>
                <w:sz w:val="18"/>
                <w:szCs w:val="18"/>
              </w:rPr>
            </m:ctrlPr>
          </m:sSubPr>
          <m:e>
            <m:r>
              <m:rPr>
                <m:nor/>
              </m:rPr>
              <w:rPr>
                <w:rFonts w:hint="default" w:ascii="Times New Roman" w:hAnsi="Times New Roman" w:cs="Times New Roman"/>
                <w:i/>
                <w:sz w:val="18"/>
                <w:szCs w:val="18"/>
              </w:rPr>
              <m:t>Controls</m:t>
            </m:r>
            <m:ctrlPr>
              <w:rPr>
                <w:rFonts w:hint="default" w:ascii="Cambria Math" w:hAnsi="Cambria Math" w:cs="Times New Roman"/>
                <w:sz w:val="18"/>
                <w:szCs w:val="18"/>
              </w:rPr>
            </m:ctrlPr>
          </m:e>
          <m:sub>
            <m:r>
              <m:rPr>
                <m:nor/>
              </m:rPr>
              <w:rPr>
                <w:rFonts w:hint="default" w:ascii="Times New Roman" w:hAnsi="Times New Roman" w:cs="Times New Roman"/>
                <w:i/>
                <w:sz w:val="18"/>
                <w:szCs w:val="18"/>
              </w:rPr>
              <m:t>i</m:t>
            </m:r>
            <m:r>
              <m:rPr>
                <m:nor/>
                <m:sty m:val="p"/>
              </m:rPr>
              <w:rPr>
                <w:rFonts w:hint="default" w:ascii="Times New Roman" w:hAnsi="Times New Roman" w:cs="Times New Roman"/>
                <w:i w:val="0"/>
                <w:sz w:val="18"/>
                <w:szCs w:val="18"/>
              </w:rPr>
              <m:t>,</m:t>
            </m:r>
            <m:r>
              <m:rPr>
                <m:nor/>
              </m:rPr>
              <w:rPr>
                <w:rFonts w:hint="default" w:ascii="Times New Roman" w:hAnsi="Times New Roman" w:cs="Times New Roman"/>
                <w:i/>
                <w:sz w:val="18"/>
                <w:szCs w:val="18"/>
              </w:rPr>
              <m:t>t</m:t>
            </m:r>
            <m:ctrlPr>
              <w:rPr>
                <w:rFonts w:hint="default" w:ascii="Cambria Math" w:hAnsi="Cambria Math" w:cs="Times New Roman"/>
                <w:sz w:val="18"/>
                <w:szCs w:val="18"/>
              </w:rPr>
            </m:ctrlPr>
          </m:sub>
        </m:sSub>
        <m:r>
          <m:rPr>
            <m:nor/>
            <m:sty m:val="p"/>
          </m:rPr>
          <w:rPr>
            <w:rFonts w:hint="default" w:ascii="Times New Roman" w:hAnsi="Times New Roman" w:cs="Times New Roman"/>
            <w:i w:val="0"/>
            <w:sz w:val="18"/>
            <w:szCs w:val="18"/>
          </w:rPr>
          <m:t>+</m:t>
        </m:r>
        <m:r>
          <m:rPr>
            <m:nor/>
          </m:rPr>
          <w:rPr>
            <w:rFonts w:hint="default" w:ascii="Times New Roman" w:hAnsi="Times New Roman" w:cs="Times New Roman"/>
            <w:i/>
            <w:sz w:val="18"/>
            <w:szCs w:val="18"/>
          </w:rPr>
          <m:t>θIndustry</m:t>
        </m:r>
        <m:r>
          <m:rPr>
            <m:nor/>
            <m:sty m:val="p"/>
          </m:rPr>
          <w:rPr>
            <w:rFonts w:hint="default" w:ascii="Times New Roman" w:hAnsi="Times New Roman" w:cs="Times New Roman"/>
            <w:i w:val="0"/>
            <w:sz w:val="18"/>
            <w:szCs w:val="18"/>
          </w:rPr>
          <m:t>+</m:t>
        </m:r>
        <m:r>
          <m:rPr>
            <m:nor/>
          </m:rPr>
          <w:rPr>
            <w:rFonts w:hint="default" w:ascii="Times New Roman" w:hAnsi="Times New Roman" w:cs="Times New Roman"/>
            <w:i/>
            <w:sz w:val="18"/>
            <w:szCs w:val="18"/>
          </w:rPr>
          <m:t>λYear</m:t>
        </m:r>
        <m:r>
          <m:rPr>
            <m:nor/>
            <m:sty m:val="p"/>
          </m:rPr>
          <w:rPr>
            <w:rFonts w:hint="default" w:ascii="Times New Roman" w:hAnsi="Times New Roman" w:cs="Times New Roman"/>
            <w:i w:val="0"/>
            <w:sz w:val="18"/>
            <w:szCs w:val="18"/>
          </w:rPr>
          <m:t>+</m:t>
        </m:r>
        <m:sSub>
          <m:sSubPr>
            <m:ctrlPr>
              <w:rPr>
                <w:rFonts w:hint="default" w:ascii="Cambria Math" w:hAnsi="Cambria Math" w:cs="Times New Roman"/>
                <w:sz w:val="18"/>
                <w:szCs w:val="18"/>
              </w:rPr>
            </m:ctrlPr>
          </m:sSubPr>
          <m:e>
            <m:r>
              <m:rPr>
                <m:nor/>
              </m:rPr>
              <w:rPr>
                <w:rFonts w:hint="default" w:ascii="Times New Roman" w:hAnsi="Times New Roman" w:cs="Times New Roman"/>
                <w:i/>
                <w:sz w:val="18"/>
                <w:szCs w:val="18"/>
              </w:rPr>
              <m:t>ε</m:t>
            </m:r>
            <m:ctrlPr>
              <w:rPr>
                <w:rFonts w:hint="default" w:ascii="Cambria Math" w:hAnsi="Cambria Math" w:cs="Times New Roman"/>
                <w:sz w:val="18"/>
                <w:szCs w:val="18"/>
              </w:rPr>
            </m:ctrlPr>
          </m:e>
          <m:sub>
            <m:r>
              <m:rPr>
                <m:nor/>
              </m:rPr>
              <w:rPr>
                <w:rFonts w:hint="default" w:ascii="Times New Roman" w:hAnsi="Times New Roman" w:cs="Times New Roman"/>
                <w:i/>
                <w:sz w:val="18"/>
                <w:szCs w:val="18"/>
              </w:rPr>
              <m:t>i</m:t>
            </m:r>
            <m:r>
              <m:rPr>
                <m:nor/>
                <m:sty m:val="p"/>
              </m:rPr>
              <w:rPr>
                <w:rFonts w:hint="default" w:ascii="Times New Roman" w:hAnsi="Times New Roman" w:cs="Times New Roman"/>
                <w:i w:val="0"/>
                <w:sz w:val="18"/>
                <w:szCs w:val="18"/>
              </w:rPr>
              <m:t>,</m:t>
            </m:r>
            <m:r>
              <m:rPr>
                <m:nor/>
              </m:rPr>
              <w:rPr>
                <w:rFonts w:hint="default" w:ascii="Times New Roman" w:hAnsi="Times New Roman" w:cs="Times New Roman"/>
                <w:i/>
                <w:sz w:val="18"/>
                <w:szCs w:val="18"/>
              </w:rPr>
              <m:t>t</m:t>
            </m:r>
            <m:ctrlPr>
              <w:rPr>
                <w:rFonts w:hint="default" w:ascii="Cambria Math" w:hAnsi="Cambria Math" w:cs="Times New Roman"/>
                <w:sz w:val="18"/>
                <w:szCs w:val="18"/>
              </w:rPr>
            </m:ctrlPr>
          </m:sub>
        </m:sSub>
      </m:oMath>
      <w:r>
        <w:rPr>
          <w:rFonts w:hint="default" w:ascii="Times New Roman" w:hAnsi="Times New Roman" w:cs="Times New Roman"/>
          <w:i w:val="0"/>
          <w:sz w:val="21"/>
          <w:lang w:val="en-US" w:eastAsia="zh-CN"/>
        </w:rPr>
        <w:t xml:space="preserve">  （6）</w:t>
      </w:r>
    </w:p>
    <w:p w14:paraId="527B9020">
      <w:pPr>
        <w:ind w:firstLine="420" w:firstLineChars="200"/>
        <w:rPr>
          <w:rFonts w:hint="default" w:ascii="Times New Roman" w:hAnsi="Times New Roman" w:cs="Times New Roman"/>
          <w:color w:val="auto"/>
        </w:rPr>
      </w:pPr>
      <w:r>
        <w:rPr>
          <w:rFonts w:hint="default" w:ascii="Times New Roman" w:hAnsi="Times New Roman" w:cs="Times New Roman"/>
          <w:color w:val="auto"/>
        </w:rPr>
        <w:t>其中，</w:t>
      </w:r>
      <m:oMath>
        <m:r>
          <m:rPr>
            <m:nor/>
          </m:rPr>
          <w:rPr>
            <w:rFonts w:hint="default" w:ascii="Times New Roman" w:hAnsi="Times New Roman" w:cs="Times New Roman"/>
            <w:i/>
            <w:sz w:val="21"/>
          </w:rPr>
          <m:t>P</m:t>
        </m:r>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Bankruptcy</m:t>
            </m:r>
            <m:ctrlPr>
              <w:rPr>
                <w:rFonts w:hint="default" w:ascii="Cambria Math" w:hAnsi="Cambria Math" w:cs="Times New Roman"/>
                <w:sz w:val="21"/>
              </w:rPr>
            </m:ctrlPr>
          </m:e>
          <m:sub>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ctrlPr>
              <w:rPr>
                <w:rFonts w:hint="default" w:ascii="Cambria Math" w:hAnsi="Cambria Math" w:cs="Times New Roman"/>
                <w:sz w:val="21"/>
              </w:rPr>
            </m:ctrlPr>
          </m:sub>
        </m:sSub>
        <m:r>
          <m:rPr>
            <m:nor/>
            <m:sty m:val="p"/>
          </m:rPr>
          <w:rPr>
            <w:rFonts w:hint="default" w:ascii="Times New Roman" w:hAnsi="Times New Roman" w:cs="Times New Roman"/>
            <w:i w:val="0"/>
            <w:sz w:val="21"/>
          </w:rPr>
          <m:t>=1)</m:t>
        </m:r>
      </m:oMath>
      <w:r>
        <w:rPr>
          <w:rFonts w:hint="default" w:ascii="Times New Roman" w:hAnsi="Times New Roman" w:cs="Times New Roman"/>
          <w:color w:val="auto"/>
        </w:rPr>
        <w:t>表示公司i在t年后破产的概率，</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IA</m:t>
            </m:r>
            <m:r>
              <m:rPr>
                <m:nor/>
                <m:sty m:val="p"/>
              </m:rPr>
              <w:rPr>
                <w:rFonts w:hint="default" w:ascii="Times New Roman" w:hAnsi="Times New Roman" w:cs="Times New Roman"/>
                <w:i w:val="0"/>
                <w:sz w:val="21"/>
              </w:rPr>
              <m:t>_</m:t>
            </m:r>
            <m:r>
              <m:rPr>
                <m:nor/>
              </m:rPr>
              <w:rPr>
                <w:rFonts w:hint="default" w:ascii="Times New Roman" w:hAnsi="Times New Roman" w:cs="Times New Roman"/>
                <w:i/>
                <w:sz w:val="21"/>
              </w:rPr>
              <m:t>Text</m:t>
            </m:r>
            <m:ctrlPr>
              <w:rPr>
                <w:rFonts w:hint="default" w:ascii="Cambria Math" w:hAnsi="Cambria Math" w:cs="Times New Roman"/>
                <w:sz w:val="21"/>
              </w:rPr>
            </m:ctrlPr>
          </m:e>
          <m:sub>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ctrlPr>
              <w:rPr>
                <w:rFonts w:hint="default" w:ascii="Cambria Math" w:hAnsi="Cambria Math" w:cs="Times New Roman"/>
                <w:sz w:val="21"/>
              </w:rPr>
            </m:ctrlPr>
          </m:sub>
        </m:sSub>
      </m:oMath>
      <w:r>
        <w:rPr>
          <w:rFonts w:hint="default" w:ascii="Times New Roman" w:hAnsi="Times New Roman" w:cs="Times New Roman"/>
          <w:color w:val="auto"/>
        </w:rPr>
        <w:t>为文本信息不对称指数，</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Controls</m:t>
            </m:r>
            <m:ctrlPr>
              <w:rPr>
                <w:rFonts w:hint="default" w:ascii="Cambria Math" w:hAnsi="Cambria Math" w:cs="Times New Roman"/>
                <w:sz w:val="21"/>
              </w:rPr>
            </m:ctrlPr>
          </m:e>
          <m:sub>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ctrlPr>
              <w:rPr>
                <w:rFonts w:hint="default" w:ascii="Cambria Math" w:hAnsi="Cambria Math" w:cs="Times New Roman"/>
                <w:sz w:val="21"/>
              </w:rPr>
            </m:ctrlPr>
          </m:sub>
        </m:sSub>
      </m:oMath>
      <w:r>
        <w:rPr>
          <w:rFonts w:hint="default" w:ascii="Times New Roman" w:hAnsi="Times New Roman" w:cs="Times New Roman"/>
          <w:color w:val="auto"/>
        </w:rPr>
        <w:t>为控制变量向量，</w:t>
      </w:r>
      <m:oMath>
        <m:r>
          <m:rPr>
            <m:nor/>
          </m:rPr>
          <w:rPr>
            <w:rFonts w:hint="default" w:ascii="Times New Roman" w:hAnsi="Times New Roman" w:cs="Times New Roman"/>
            <w:i/>
            <w:sz w:val="21"/>
          </w:rPr>
          <m:t>Industry</m:t>
        </m:r>
      </m:oMath>
      <w:r>
        <w:rPr>
          <w:rFonts w:hint="default" w:ascii="Times New Roman" w:hAnsi="Times New Roman" w:cs="Times New Roman"/>
          <w:color w:val="auto"/>
        </w:rPr>
        <w:t>和</w:t>
      </w:r>
      <m:oMath>
        <m:r>
          <m:rPr>
            <m:nor/>
          </m:rPr>
          <w:rPr>
            <w:rFonts w:hint="default" w:ascii="Times New Roman" w:hAnsi="Times New Roman" w:cs="Times New Roman"/>
            <w:i/>
            <w:sz w:val="21"/>
          </w:rPr>
          <m:t>Year</m:t>
        </m:r>
      </m:oMath>
      <w:r>
        <w:rPr>
          <w:rFonts w:hint="default" w:ascii="Times New Roman" w:hAnsi="Times New Roman" w:cs="Times New Roman"/>
          <w:color w:val="auto"/>
        </w:rPr>
        <w:t>为行业和年度固定效应。</w:t>
      </w:r>
    </w:p>
    <w:p w14:paraId="7E7A9F35">
      <w:pPr>
        <w:rPr>
          <w:rFonts w:hint="default" w:ascii="Times New Roman" w:hAnsi="Times New Roman" w:cs="Times New Roman"/>
          <w:color w:val="auto"/>
          <w:lang w:val="en-US" w:eastAsia="zh-CN"/>
        </w:rPr>
      </w:pPr>
      <w:r>
        <w:rPr>
          <w:rFonts w:hint="default" w:ascii="Times New Roman" w:hAnsi="Times New Roman" w:cs="Times New Roman"/>
          <w:color w:val="auto"/>
          <w:lang w:eastAsia="zh-CN"/>
        </w:rPr>
        <w:t>（</w:t>
      </w:r>
      <w:r>
        <w:rPr>
          <w:rFonts w:hint="default" w:ascii="Times New Roman" w:hAnsi="Times New Roman" w:cs="Times New Roman"/>
          <w:color w:val="auto"/>
          <w:lang w:val="en-US" w:eastAsia="zh-CN"/>
        </w:rPr>
        <w:t>2</w:t>
      </w:r>
      <w:r>
        <w:rPr>
          <w:rFonts w:hint="default" w:ascii="Times New Roman" w:hAnsi="Times New Roman" w:cs="Times New Roman"/>
          <w:color w:val="auto"/>
          <w:lang w:eastAsia="zh-CN"/>
        </w:rPr>
        <w:t>）</w:t>
      </w:r>
      <w:r>
        <w:rPr>
          <w:rFonts w:hint="default" w:ascii="Times New Roman" w:hAnsi="Times New Roman" w:cs="Times New Roman"/>
          <w:color w:val="auto"/>
          <w:lang w:val="en-US" w:eastAsia="zh-CN"/>
        </w:rPr>
        <w:t>生存分析模型（Cox比例风险模型）</w:t>
      </w:r>
    </w:p>
    <w:p w14:paraId="06947E1C">
      <w:pPr>
        <w:jc w:val="right"/>
        <w:rPr>
          <w:rFonts w:hint="default" w:ascii="Times New Roman" w:hAnsi="Times New Roman" w:cs="Times New Roman" w:eastAsiaTheme="minorEastAsia"/>
          <w:color w:val="auto"/>
          <w:lang w:val="en-US" w:eastAsia="zh-CN"/>
        </w:rPr>
      </w:pPr>
      <m:oMath>
        <m:r>
          <m:rPr>
            <m:nor/>
            <m:sty m:val="p"/>
          </m:rPr>
          <w:rPr>
            <w:rFonts w:hint="default" w:ascii="Times New Roman" w:hAnsi="Times New Roman" w:cs="Times New Roman"/>
            <w:i w:val="0"/>
            <w:sz w:val="21"/>
          </w:rPr>
          <m:t>h(</m:t>
        </m:r>
        <m:r>
          <m:rPr>
            <m:nor/>
          </m:rPr>
          <w:rPr>
            <w:rFonts w:hint="default" w:ascii="Times New Roman" w:hAnsi="Times New Roman" w:cs="Times New Roman"/>
            <w:i/>
            <w:sz w:val="21"/>
          </w:rPr>
          <m:t>t</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X</m:t>
        </m:r>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sty m:val="p"/>
              </m:rPr>
              <w:rPr>
                <w:rFonts w:hint="default" w:ascii="Times New Roman" w:hAnsi="Times New Roman" w:cs="Times New Roman"/>
                <w:i w:val="0"/>
                <w:sz w:val="21"/>
              </w:rPr>
              <m:t>h</m:t>
            </m:r>
            <m:ctrlPr>
              <w:rPr>
                <w:rFonts w:hint="default" w:ascii="Cambria Math" w:hAnsi="Cambria Math" w:cs="Times New Roman"/>
                <w:sz w:val="21"/>
              </w:rPr>
            </m:ctrlPr>
          </m:e>
          <m:sub>
            <m:r>
              <m:rPr>
                <m:nor/>
                <m:sty m:val="p"/>
              </m:rPr>
              <w:rPr>
                <w:rFonts w:hint="default" w:ascii="Times New Roman" w:hAnsi="Times New Roman" w:cs="Times New Roman"/>
                <w:i w:val="0"/>
                <w:sz w:val="21"/>
              </w:rPr>
              <m:t>0</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r>
          <m:rPr>
            <m:nor/>
            <m:sty m:val="p"/>
          </m:rPr>
          <w:rPr>
            <w:rFonts w:hint="default" w:ascii="Times New Roman" w:hAnsi="Times New Roman" w:cs="Times New Roman"/>
            <w:i w:val="0"/>
            <w:sz w:val="21"/>
          </w:rPr>
          <m:t>)</m:t>
        </m:r>
        <m:func>
          <m:funcPr>
            <m:ctrlPr>
              <w:rPr>
                <w:rFonts w:hint="default" w:ascii="Cambria Math" w:hAnsi="Cambria Math" w:cs="Times New Roman"/>
                <w:sz w:val="21"/>
              </w:rPr>
            </m:ctrlPr>
          </m:funcPr>
          <m:fName>
            <m:r>
              <m:rPr>
                <m:nor/>
                <m:sty m:val="p"/>
              </m:rPr>
              <w:rPr>
                <w:rFonts w:hint="default" w:ascii="Times New Roman" w:hAnsi="Times New Roman" w:cs="Times New Roman"/>
                <w:sz w:val="21"/>
              </w:rPr>
              <m:t>exp</m:t>
            </m:r>
            <m:ctrlPr>
              <w:rPr>
                <w:rFonts w:hint="default" w:ascii="Cambria Math" w:hAnsi="Cambria Math" w:cs="Times New Roman"/>
                <w:sz w:val="21"/>
              </w:rPr>
            </m:ctrlPr>
          </m:fName>
          <m:e>
            <m:r>
              <m:rPr>
                <m:nor/>
                <m:sty m:val="p"/>
              </m:rPr>
              <w:rPr>
                <w:rFonts w:hint="default" w:ascii="Times New Roman" w:hAnsi="Times New Roman" w:cs="Times New Roman"/>
                <w:i w:val="0"/>
                <w:sz w:val="21"/>
              </w:rPr>
              <m:t>(</m:t>
            </m:r>
            <m:ctrlPr>
              <w:rPr>
                <w:rFonts w:hint="default" w:ascii="Cambria Math" w:hAnsi="Cambria Math" w:cs="Times New Roman"/>
                <w:sz w:val="21"/>
              </w:rPr>
            </m:ctrlPr>
          </m:e>
        </m:func>
        <m:sSub>
          <m:sSubPr>
            <m:ctrlPr>
              <w:rPr>
                <w:rFonts w:hint="default" w:ascii="Cambria Math" w:hAnsi="Cambria Math" w:cs="Times New Roman"/>
                <w:sz w:val="21"/>
              </w:rPr>
            </m:ctrlPr>
          </m:sSubPr>
          <m:e>
            <m:r>
              <m:rPr>
                <m:nor/>
              </m:rPr>
              <w:rPr>
                <w:rFonts w:hint="default" w:ascii="Times New Roman" w:hAnsi="Times New Roman" w:cs="Times New Roman"/>
                <w:i/>
                <w:sz w:val="21"/>
              </w:rPr>
              <m:t>β</m:t>
            </m:r>
            <m:ctrlPr>
              <w:rPr>
                <w:rFonts w:hint="default" w:ascii="Cambria Math" w:hAnsi="Cambria Math" w:cs="Times New Roman"/>
                <w:sz w:val="21"/>
              </w:rPr>
            </m:ctrlPr>
          </m:e>
          <m:sub>
            <m:r>
              <m:rPr>
                <m:nor/>
                <m:sty m:val="p"/>
              </m:rPr>
              <w:rPr>
                <w:rFonts w:hint="default" w:ascii="Times New Roman" w:hAnsi="Times New Roman" w:cs="Times New Roman"/>
                <w:i w:val="0"/>
                <w:sz w:val="21"/>
              </w:rPr>
              <m:t>1</m:t>
            </m:r>
            <m:ctrlPr>
              <w:rPr>
                <w:rFonts w:hint="default" w:ascii="Cambria Math" w:hAnsi="Cambria Math" w:cs="Times New Roman"/>
                <w:sz w:val="21"/>
              </w:rPr>
            </m:ctrlPr>
          </m:sub>
        </m:sSub>
        <m:r>
          <m:rPr>
            <m:nor/>
          </m:rPr>
          <w:rPr>
            <w:rFonts w:hint="default" w:ascii="Times New Roman" w:hAnsi="Times New Roman" w:cs="Times New Roman"/>
            <w:i/>
            <w:sz w:val="21"/>
          </w:rPr>
          <m:t>I</m:t>
        </m:r>
        <m:sSub>
          <m:sSubPr>
            <m:ctrlPr>
              <w:rPr>
                <w:rFonts w:hint="default" w:ascii="Cambria Math" w:hAnsi="Cambria Math" w:cs="Times New Roman"/>
                <w:sz w:val="21"/>
              </w:rPr>
            </m:ctrlPr>
          </m:sSubPr>
          <m:e>
            <m:r>
              <m:rPr>
                <m:nor/>
              </m:rPr>
              <w:rPr>
                <w:rFonts w:hint="default" w:ascii="Times New Roman" w:hAnsi="Times New Roman" w:cs="Times New Roman"/>
                <w:i/>
                <w:sz w:val="21"/>
              </w:rPr>
              <m:t>A</m:t>
            </m:r>
            <m:ctrlPr>
              <w:rPr>
                <w:rFonts w:hint="default" w:ascii="Cambria Math" w:hAnsi="Cambria Math" w:cs="Times New Roman"/>
                <w:sz w:val="21"/>
              </w:rPr>
            </m:ctrlPr>
          </m:e>
          <m:sub>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Text</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γControls</m:t>
        </m:r>
        <m:r>
          <m:rPr>
            <m:nor/>
            <m:sty m:val="p"/>
          </m:rPr>
          <w:rPr>
            <w:rFonts w:hint="default" w:ascii="Times New Roman" w:hAnsi="Times New Roman" w:cs="Times New Roman"/>
            <w:i w:val="0"/>
            <w:sz w:val="21"/>
          </w:rPr>
          <m:t>)</m:t>
        </m:r>
      </m:oMath>
      <w:r>
        <m:rPr/>
        <w:rPr>
          <w:rFonts w:hint="default" w:ascii="Times New Roman" w:hAnsi="Times New Roman" w:cs="Times New Roman"/>
          <w:i w:val="0"/>
          <w:sz w:val="21"/>
          <w:lang w:val="en-US" w:eastAsia="zh-CN"/>
        </w:rPr>
        <w:t xml:space="preserve">           （7）</w:t>
      </w:r>
    </w:p>
    <w:p w14:paraId="6857BD63">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该模型考虑时间维度，</w:t>
      </w:r>
      <m:oMath>
        <m:r>
          <m:rPr>
            <m:nor/>
            <m:sty m:val="p"/>
          </m:rPr>
          <w:rPr>
            <w:rFonts w:hint="default" w:ascii="Times New Roman" w:hAnsi="Times New Roman" w:cs="Times New Roman"/>
            <w:i w:val="0"/>
            <w:sz w:val="21"/>
          </w:rPr>
          <m:t>h(</m:t>
        </m:r>
        <m:r>
          <m:rPr>
            <m:nor/>
          </m:rPr>
          <w:rPr>
            <w:rFonts w:hint="default" w:ascii="Times New Roman" w:hAnsi="Times New Roman" w:cs="Times New Roman"/>
            <w:i/>
            <w:sz w:val="21"/>
          </w:rPr>
          <m:t>t</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X</m:t>
        </m:r>
        <m:r>
          <m:rPr>
            <m:nor/>
            <m:sty m:val="p"/>
          </m:rPr>
          <w:rPr>
            <w:rFonts w:hint="default" w:ascii="Times New Roman" w:hAnsi="Times New Roman" w:cs="Times New Roman"/>
            <w:i w:val="0"/>
            <w:sz w:val="21"/>
          </w:rPr>
          <m:t>)</m:t>
        </m:r>
      </m:oMath>
      <w:r>
        <w:rPr>
          <w:rFonts w:hint="default" w:ascii="Times New Roman" w:hAnsi="Times New Roman" w:cs="Times New Roman"/>
          <w:color w:val="auto"/>
          <w:lang w:val="en-US" w:eastAsia="zh-CN"/>
        </w:rPr>
        <w:t>为在给定协变量X下的风险函数，</w:t>
      </w:r>
      <m:oMath>
        <m:sSub>
          <m:sSubPr>
            <m:ctrlPr>
              <w:rPr>
                <w:rFonts w:hint="default" w:ascii="Cambria Math" w:hAnsi="Cambria Math" w:cs="Times New Roman"/>
                <w:sz w:val="21"/>
              </w:rPr>
            </m:ctrlPr>
          </m:sSubPr>
          <m:e>
            <m:r>
              <m:rPr>
                <m:nor/>
                <m:sty m:val="p"/>
              </m:rPr>
              <w:rPr>
                <w:rFonts w:hint="default" w:ascii="Times New Roman" w:hAnsi="Times New Roman" w:cs="Times New Roman"/>
                <w:i w:val="0"/>
                <w:sz w:val="21"/>
              </w:rPr>
              <m:t>h</m:t>
            </m:r>
            <m:ctrlPr>
              <w:rPr>
                <w:rFonts w:hint="default" w:ascii="Cambria Math" w:hAnsi="Cambria Math" w:cs="Times New Roman"/>
                <w:sz w:val="21"/>
              </w:rPr>
            </m:ctrlPr>
          </m:e>
          <m:sub>
            <m:r>
              <m:rPr>
                <m:nor/>
                <m:sty m:val="p"/>
              </m:rPr>
              <w:rPr>
                <w:rFonts w:hint="default" w:ascii="Times New Roman" w:hAnsi="Times New Roman" w:cs="Times New Roman"/>
                <w:i w:val="0"/>
                <w:sz w:val="21"/>
              </w:rPr>
              <m:t>0</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t</m:t>
        </m:r>
        <m:r>
          <m:rPr>
            <m:nor/>
            <m:sty m:val="p"/>
          </m:rPr>
          <w:rPr>
            <w:rFonts w:hint="default" w:ascii="Times New Roman" w:hAnsi="Times New Roman" w:cs="Times New Roman"/>
            <w:i w:val="0"/>
            <w:sz w:val="21"/>
          </w:rPr>
          <m:t>)</m:t>
        </m:r>
      </m:oMath>
      <w:r>
        <w:rPr>
          <w:rFonts w:hint="default" w:ascii="Times New Roman" w:hAnsi="Times New Roman" w:cs="Times New Roman"/>
          <w:color w:val="auto"/>
          <w:lang w:val="en-US" w:eastAsia="zh-CN"/>
        </w:rPr>
        <w:t>为基准风险函数。对于稀有事件（破产），同时采用Firth Logit进行校正，避免小样本偏差。</w:t>
      </w:r>
    </w:p>
    <w:p w14:paraId="777FDAA7">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lang w:val="en-US" w:eastAsia="zh-CN"/>
        </w:rPr>
      </w:pPr>
      <w:bookmarkStart w:id="19" w:name="_Toc32367"/>
      <w:r>
        <w:rPr>
          <w:rFonts w:hint="default" w:ascii="Times New Roman" w:hAnsi="Times New Roman" w:eastAsia="黑体" w:cs="Times New Roman"/>
          <w:color w:val="auto"/>
          <w:sz w:val="28"/>
          <w:szCs w:val="28"/>
          <w:lang w:val="en-US" w:eastAsia="zh-CN"/>
        </w:rPr>
        <w:t>4</w:t>
      </w:r>
      <w:r>
        <w:rPr>
          <w:rFonts w:hint="default" w:ascii="Times New Roman" w:hAnsi="Times New Roman" w:eastAsia="黑体" w:cs="Times New Roman"/>
          <w:color w:val="auto"/>
          <w:sz w:val="28"/>
          <w:szCs w:val="28"/>
          <w:lang w:val="en-US" w:eastAsia="zh-CN"/>
        </w:rPr>
        <w:t>.2机器学习预测模型</w:t>
      </w:r>
      <w:bookmarkEnd w:id="19"/>
    </w:p>
    <w:p w14:paraId="2964390F">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20" w:name="_Toc12673"/>
      <w:r>
        <w:rPr>
          <w:rFonts w:hint="default" w:ascii="Times New Roman" w:hAnsi="Times New Roman" w:eastAsia="黑体" w:cs="Times New Roman"/>
          <w:color w:val="auto"/>
          <w:lang w:val="en-US" w:eastAsia="zh-CN"/>
        </w:rPr>
        <w:t>4</w:t>
      </w:r>
      <w:r>
        <w:rPr>
          <w:rFonts w:hint="default" w:ascii="Times New Roman" w:hAnsi="Times New Roman" w:eastAsia="黑体" w:cs="Times New Roman"/>
          <w:color w:val="auto"/>
          <w:lang w:val="en-US" w:eastAsia="zh-CN"/>
        </w:rPr>
        <w:t>.2.1基准模型</w:t>
      </w:r>
      <w:bookmarkEnd w:id="20"/>
    </w:p>
    <w:p w14:paraId="4B1E6F41">
      <w:pPr>
        <w:ind w:firstLine="420" w:firstLineChars="200"/>
        <w:rPr>
          <w:rFonts w:hint="default" w:ascii="Times New Roman" w:hAnsi="Times New Roman" w:cs="Times New Roman"/>
          <w:color w:val="auto"/>
        </w:rPr>
      </w:pPr>
      <w:r>
        <w:rPr>
          <w:rFonts w:hint="default" w:ascii="Times New Roman" w:hAnsi="Times New Roman" w:cs="Times New Roman"/>
          <w:color w:val="auto"/>
        </w:rPr>
        <w:t>仅使用传统财务变量的Logistic回归模型：</w:t>
      </w:r>
    </w:p>
    <w:p w14:paraId="7E55ED2D">
      <w:pPr>
        <w:jc w:val="right"/>
        <w:rPr>
          <w:rFonts w:hint="default" w:ascii="Times New Roman" w:hAnsi="Times New Roman" w:cs="Times New Roman" w:eastAsiaTheme="minorEastAsia"/>
          <w:color w:val="auto"/>
          <w:lang w:val="en-US" w:eastAsia="zh-CN"/>
        </w:rPr>
      </w:pPr>
      <m:oMath>
        <m:r>
          <m:rPr>
            <m:nor/>
            <m:sty m:val="p"/>
          </m:rPr>
          <w:rPr>
            <w:rFonts w:hint="default" w:ascii="Times New Roman" w:hAnsi="Times New Roman" w:cs="Times New Roman"/>
            <w:sz w:val="21"/>
          </w:rPr>
          <m:t>Logit</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P</m:t>
        </m:r>
        <m:r>
          <m:rPr>
            <m:nor/>
            <m:sty m:val="p"/>
          </m:rPr>
          <w:rPr>
            <w:rFonts w:hint="default" w:ascii="Times New Roman" w:hAnsi="Times New Roman" w:cs="Times New Roman"/>
            <w:i w:val="0"/>
            <w:sz w:val="21"/>
          </w:rPr>
          <m:t>(</m:t>
        </m:r>
        <m:r>
          <m:rPr>
            <m:nor/>
            <m:sty m:val="p"/>
          </m:rPr>
          <w:rPr>
            <w:rFonts w:hint="default" w:ascii="Times New Roman" w:hAnsi="Times New Roman" w:cs="Times New Roman"/>
            <w:sz w:val="21"/>
          </w:rPr>
          <m:t>Bankruptcy</m:t>
        </m:r>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β</m:t>
            </m:r>
            <m:ctrlPr>
              <w:rPr>
                <w:rFonts w:hint="default" w:ascii="Cambria Math" w:hAnsi="Cambria Math" w:cs="Times New Roman"/>
                <w:sz w:val="21"/>
              </w:rPr>
            </m:ctrlPr>
          </m:e>
          <m:sub>
            <m:r>
              <m:rPr>
                <m:nor/>
                <m:sty m:val="p"/>
              </m:rPr>
              <w:rPr>
                <w:rFonts w:hint="default" w:ascii="Times New Roman" w:hAnsi="Times New Roman" w:cs="Times New Roman"/>
                <w:i w:val="0"/>
                <w:sz w:val="21"/>
              </w:rPr>
              <m:t>0</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β</m:t>
            </m:r>
            <m:ctrlPr>
              <w:rPr>
                <w:rFonts w:hint="default" w:ascii="Cambria Math" w:hAnsi="Cambria Math" w:cs="Times New Roman"/>
                <w:sz w:val="21"/>
              </w:rPr>
            </m:ctrlPr>
          </m:e>
          <m:sub>
            <m:r>
              <m:rPr>
                <m:nor/>
                <m:sty m:val="p"/>
              </m:rPr>
              <w:rPr>
                <w:rFonts w:hint="default" w:ascii="Times New Roman" w:hAnsi="Times New Roman" w:cs="Times New Roman"/>
                <w:i w:val="0"/>
                <w:sz w:val="21"/>
              </w:rPr>
              <m:t>1</m:t>
            </m:r>
            <m:ctrlPr>
              <w:rPr>
                <w:rFonts w:hint="default" w:ascii="Cambria Math" w:hAnsi="Cambria Math" w:cs="Times New Roman"/>
                <w:sz w:val="21"/>
              </w:rPr>
            </m:ctrlPr>
          </m:sub>
        </m:sSub>
        <m:r>
          <m:rPr>
            <m:nor/>
            <m:sty m:val="p"/>
          </m:rPr>
          <w:rPr>
            <w:rFonts w:hint="default" w:ascii="Times New Roman" w:hAnsi="Times New Roman" w:cs="Times New Roman"/>
            <w:sz w:val="21"/>
          </w:rPr>
          <m:t>Size</m:t>
        </m:r>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β</m:t>
            </m:r>
            <m:ctrlPr>
              <w:rPr>
                <w:rFonts w:hint="default" w:ascii="Cambria Math" w:hAnsi="Cambria Math" w:cs="Times New Roman"/>
                <w:sz w:val="21"/>
              </w:rPr>
            </m:ctrlPr>
          </m:e>
          <m:sub>
            <m:r>
              <m:rPr>
                <m:nor/>
                <m:sty m:val="p"/>
              </m:rPr>
              <w:rPr>
                <w:rFonts w:hint="default" w:ascii="Times New Roman" w:hAnsi="Times New Roman" w:cs="Times New Roman"/>
                <w:i w:val="0"/>
                <w:sz w:val="21"/>
              </w:rPr>
              <m:t>2</m:t>
            </m:r>
            <m:ctrlPr>
              <w:rPr>
                <w:rFonts w:hint="default" w:ascii="Cambria Math" w:hAnsi="Cambria Math" w:cs="Times New Roman"/>
                <w:sz w:val="21"/>
              </w:rPr>
            </m:ctrlPr>
          </m:sub>
        </m:sSub>
        <m:r>
          <m:rPr>
            <m:nor/>
            <m:sty m:val="p"/>
          </m:rPr>
          <w:rPr>
            <w:rFonts w:hint="default" w:ascii="Times New Roman" w:hAnsi="Times New Roman" w:cs="Times New Roman"/>
            <w:sz w:val="21"/>
          </w:rPr>
          <m:t>Leverage</m:t>
        </m:r>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β</m:t>
            </m:r>
            <m:ctrlPr>
              <w:rPr>
                <w:rFonts w:hint="default" w:ascii="Cambria Math" w:hAnsi="Cambria Math" w:cs="Times New Roman"/>
                <w:sz w:val="21"/>
              </w:rPr>
            </m:ctrlPr>
          </m:e>
          <m:sub>
            <m:r>
              <m:rPr>
                <m:nor/>
                <m:sty m:val="p"/>
              </m:rPr>
              <w:rPr>
                <w:rFonts w:hint="default" w:ascii="Times New Roman" w:hAnsi="Times New Roman" w:cs="Times New Roman"/>
                <w:i w:val="0"/>
                <w:sz w:val="21"/>
              </w:rPr>
              <m:t>3</m:t>
            </m:r>
            <m:ctrlPr>
              <w:rPr>
                <w:rFonts w:hint="default" w:ascii="Cambria Math" w:hAnsi="Cambria Math" w:cs="Times New Roman"/>
                <w:sz w:val="21"/>
              </w:rPr>
            </m:ctrlPr>
          </m:sub>
        </m:sSub>
        <m:r>
          <m:rPr>
            <m:nor/>
            <m:sty m:val="p"/>
          </m:rPr>
          <w:rPr>
            <w:rFonts w:hint="default" w:ascii="Times New Roman" w:hAnsi="Times New Roman" w:cs="Times New Roman"/>
            <w:sz w:val="21"/>
          </w:rPr>
          <m:t>ROA</m:t>
        </m:r>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β</m:t>
            </m:r>
            <m:ctrlPr>
              <w:rPr>
                <w:rFonts w:hint="default" w:ascii="Cambria Math" w:hAnsi="Cambria Math" w:cs="Times New Roman"/>
                <w:sz w:val="21"/>
              </w:rPr>
            </m:ctrlPr>
          </m:e>
          <m:sub>
            <m:r>
              <m:rPr>
                <m:nor/>
                <m:sty m:val="p"/>
              </m:rPr>
              <w:rPr>
                <w:rFonts w:hint="default" w:ascii="Times New Roman" w:hAnsi="Times New Roman" w:cs="Times New Roman"/>
                <w:i w:val="0"/>
                <w:sz w:val="21"/>
              </w:rPr>
              <m:t>4</m:t>
            </m:r>
            <m:ctrlPr>
              <w:rPr>
                <w:rFonts w:hint="default" w:ascii="Cambria Math" w:hAnsi="Cambria Math" w:cs="Times New Roman"/>
                <w:sz w:val="21"/>
              </w:rPr>
            </m:ctrlPr>
          </m:sub>
        </m:sSub>
        <m:r>
          <m:rPr>
            <m:nor/>
            <m:sty m:val="p"/>
          </m:rPr>
          <w:rPr>
            <w:rFonts w:hint="default" w:ascii="Times New Roman" w:hAnsi="Times New Roman" w:cs="Times New Roman"/>
            <w:sz w:val="21"/>
          </w:rPr>
          <m:t>Cash</m:t>
        </m:r>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β</m:t>
            </m:r>
            <m:ctrlPr>
              <w:rPr>
                <w:rFonts w:hint="default" w:ascii="Cambria Math" w:hAnsi="Cambria Math" w:cs="Times New Roman"/>
                <w:sz w:val="21"/>
              </w:rPr>
            </m:ctrlPr>
          </m:e>
          <m:sub>
            <m:r>
              <m:rPr>
                <m:nor/>
                <m:sty m:val="p"/>
              </m:rPr>
              <w:rPr>
                <w:rFonts w:hint="default" w:ascii="Times New Roman" w:hAnsi="Times New Roman" w:cs="Times New Roman"/>
                <w:i w:val="0"/>
                <w:sz w:val="21"/>
              </w:rPr>
              <m:t>5</m:t>
            </m:r>
            <m:ctrlPr>
              <w:rPr>
                <w:rFonts w:hint="default" w:ascii="Cambria Math" w:hAnsi="Cambria Math" w:cs="Times New Roman"/>
                <w:sz w:val="21"/>
              </w:rPr>
            </m:ctrlPr>
          </m:sub>
        </m:sSub>
        <m:r>
          <m:rPr>
            <m:nor/>
            <m:sty m:val="p"/>
          </m:rPr>
          <w:rPr>
            <w:rFonts w:hint="default" w:ascii="Times New Roman" w:hAnsi="Times New Roman" w:cs="Times New Roman"/>
            <w:sz w:val="21"/>
          </w:rPr>
          <m:t>MB</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ε</m:t>
        </m:r>
      </m:oMath>
      <w:r>
        <m:rPr/>
        <w:rPr>
          <w:rFonts w:hint="default" w:ascii="Times New Roman" w:hAnsi="Times New Roman" w:cs="Times New Roman"/>
          <w:i w:val="0"/>
          <w:sz w:val="21"/>
          <w:lang w:val="en-US" w:eastAsia="zh-CN"/>
        </w:rPr>
        <w:t xml:space="preserve"> （8）</w:t>
      </w:r>
    </w:p>
    <w:p w14:paraId="68BAB691">
      <w:pPr>
        <w:ind w:firstLine="420" w:firstLineChars="200"/>
        <w:rPr>
          <w:rFonts w:hint="default" w:ascii="Times New Roman" w:hAnsi="Times New Roman" w:cs="Times New Roman"/>
          <w:color w:val="auto"/>
        </w:rPr>
      </w:pPr>
      <w:r>
        <w:rPr>
          <w:rFonts w:hint="default" w:ascii="Times New Roman" w:hAnsi="Times New Roman" w:cs="Times New Roman"/>
          <w:color w:val="auto"/>
        </w:rPr>
        <w:t>该模型基于经典财务困境预测文献[4]，作为评估文本信息增量价值的基准。其中</w:t>
      </w:r>
      <w:r>
        <w:rPr>
          <w:rFonts w:hint="default" w:ascii="Times New Roman" w:hAnsi="Times New Roman" w:cs="Times New Roman"/>
          <w:color w:val="auto"/>
          <w:lang w:eastAsia="zh-CN"/>
        </w:rPr>
        <w:t>，</w:t>
      </w:r>
      <m:oMath>
        <m:r>
          <m:rPr>
            <m:nor/>
            <m:sty m:val="p"/>
          </m:rPr>
          <w:rPr>
            <w:rFonts w:hint="default" w:ascii="Times New Roman" w:hAnsi="Times New Roman" w:cs="Times New Roman"/>
            <w:b w:val="0"/>
            <w:i w:val="0"/>
            <w:sz w:val="21"/>
          </w:rPr>
          <m:t>Logit</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P</m:t>
        </m:r>
        <m:r>
          <m:rPr>
            <m:nor/>
            <m:sty m:val="p"/>
          </m:rPr>
          <w:rPr>
            <w:rFonts w:hint="default" w:ascii="Times New Roman" w:hAnsi="Times New Roman" w:cs="Times New Roman"/>
            <w:i w:val="0"/>
            <w:sz w:val="21"/>
          </w:rPr>
          <m:t>(</m:t>
        </m:r>
        <m:r>
          <m:rPr>
            <m:nor/>
            <m:sty m:val="p"/>
          </m:rPr>
          <w:rPr>
            <w:rFonts w:hint="default" w:ascii="Times New Roman" w:hAnsi="Times New Roman" w:cs="Times New Roman"/>
            <w:b w:val="0"/>
            <w:i w:val="0"/>
            <w:sz w:val="21"/>
          </w:rPr>
          <m:t>Bankruptcy</m:t>
        </m:r>
        <m:r>
          <m:rPr>
            <m:nor/>
            <m:sty m:val="p"/>
          </m:rPr>
          <w:rPr>
            <w:rFonts w:hint="default" w:ascii="Times New Roman" w:hAnsi="Times New Roman" w:cs="Times New Roman"/>
            <w:i w:val="0"/>
            <w:sz w:val="21"/>
          </w:rPr>
          <m:t>))</m:t>
        </m:r>
      </m:oMath>
      <w:r>
        <w:rPr>
          <w:rFonts w:hint="default" w:ascii="Times New Roman" w:hAnsi="Times New Roman" w:cs="Times New Roman"/>
          <w:color w:val="auto"/>
        </w:rPr>
        <w:t>是公司破产概率的对数几率</w:t>
      </w:r>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β</m:t>
            </m:r>
            <m:ctrlPr>
              <w:rPr>
                <w:rFonts w:hint="default" w:ascii="Cambria Math" w:hAnsi="Cambria Math" w:cs="Times New Roman"/>
                <w:sz w:val="21"/>
              </w:rPr>
            </m:ctrlPr>
          </m:e>
          <m:sub>
            <m:r>
              <m:rPr>
                <m:nor/>
                <m:sty m:val="p"/>
              </m:rPr>
              <w:rPr>
                <w:rFonts w:hint="default" w:ascii="Times New Roman" w:hAnsi="Times New Roman" w:cs="Times New Roman"/>
                <w:i w:val="0"/>
                <w:sz w:val="21"/>
              </w:rPr>
              <m:t>0</m:t>
            </m:r>
            <m:ctrlPr>
              <w:rPr>
                <w:rFonts w:hint="default" w:ascii="Cambria Math" w:hAnsi="Cambria Math" w:cs="Times New Roman"/>
                <w:sz w:val="21"/>
              </w:rPr>
            </m:ctrlPr>
          </m:sub>
        </m:sSub>
      </m:oMath>
      <w:r>
        <w:rPr>
          <w:rFonts w:hint="default" w:ascii="Times New Roman" w:hAnsi="Times New Roman" w:cs="Times New Roman"/>
          <w:color w:val="auto"/>
        </w:rPr>
        <w:t>是常数项</w:t>
      </w:r>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β</m:t>
            </m:r>
            <m:ctrlPr>
              <w:rPr>
                <w:rFonts w:hint="default" w:ascii="Cambria Math" w:hAnsi="Cambria Math" w:cs="Times New Roman"/>
                <w:sz w:val="21"/>
              </w:rPr>
            </m:ctrlPr>
          </m:e>
          <m:sub>
            <m:r>
              <m:rPr>
                <m:nor/>
                <m:sty m:val="p"/>
              </m:rPr>
              <w:rPr>
                <w:rFonts w:hint="default" w:ascii="Times New Roman" w:hAnsi="Times New Roman" w:cs="Times New Roman"/>
                <w:i w:val="0"/>
                <w:sz w:val="21"/>
              </w:rPr>
              <m:t>1</m:t>
            </m:r>
            <m:ctrlPr>
              <w:rPr>
                <w:rFonts w:hint="default" w:ascii="Cambria Math" w:hAnsi="Cambria Math" w:cs="Times New Roman"/>
                <w:sz w:val="21"/>
              </w:rPr>
            </m:ctrlPr>
          </m:sub>
        </m:sSub>
      </m:oMath>
      <w:r>
        <w:rPr>
          <w:rFonts w:hint="default" w:ascii="Times New Roman" w:hAnsi="Times New Roman" w:cs="Times New Roman"/>
          <w:i w:val="0"/>
          <w:sz w:val="21"/>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β</m:t>
            </m:r>
            <m:ctrlPr>
              <w:rPr>
                <w:rFonts w:hint="default" w:ascii="Cambria Math" w:hAnsi="Cambria Math" w:cs="Times New Roman"/>
                <w:sz w:val="21"/>
              </w:rPr>
            </m:ctrlPr>
          </m:e>
          <m:sub>
            <m:r>
              <m:rPr>
                <m:nor/>
                <m:sty m:val="p"/>
              </m:rPr>
              <w:rPr>
                <w:rFonts w:hint="default" w:ascii="Times New Roman" w:hAnsi="Times New Roman" w:cs="Times New Roman"/>
                <w:i w:val="0"/>
                <w:sz w:val="21"/>
              </w:rPr>
              <m:t>2</m:t>
            </m:r>
            <m:ctrlPr>
              <w:rPr>
                <w:rFonts w:hint="default" w:ascii="Cambria Math" w:hAnsi="Cambria Math" w:cs="Times New Roman"/>
                <w:sz w:val="21"/>
              </w:rPr>
            </m:ctrlPr>
          </m:sub>
        </m:sSub>
      </m:oMath>
      <w:r>
        <w:rPr>
          <w:rFonts w:hint="default" w:ascii="Times New Roman" w:hAnsi="Times New Roman" w:cs="Times New Roman"/>
          <w:i w:val="0"/>
          <w:sz w:val="21"/>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β</m:t>
            </m:r>
            <m:ctrlPr>
              <w:rPr>
                <w:rFonts w:hint="default" w:ascii="Cambria Math" w:hAnsi="Cambria Math" w:cs="Times New Roman"/>
                <w:sz w:val="21"/>
              </w:rPr>
            </m:ctrlPr>
          </m:e>
          <m:sub>
            <m:r>
              <m:rPr>
                <m:nor/>
                <m:sty m:val="p"/>
              </m:rPr>
              <w:rPr>
                <w:rFonts w:hint="default" w:ascii="Times New Roman" w:hAnsi="Times New Roman" w:cs="Times New Roman"/>
                <w:i w:val="0"/>
                <w:sz w:val="21"/>
              </w:rPr>
              <m:t>3</m:t>
            </m:r>
            <m:ctrlPr>
              <w:rPr>
                <w:rFonts w:hint="default" w:ascii="Cambria Math" w:hAnsi="Cambria Math" w:cs="Times New Roman"/>
                <w:sz w:val="21"/>
              </w:rPr>
            </m:ctrlPr>
          </m:sub>
        </m:sSub>
      </m:oMath>
      <w:r>
        <w:rPr>
          <w:rFonts w:hint="default" w:ascii="Times New Roman" w:hAnsi="Times New Roman" w:cs="Times New Roman"/>
          <w:i w:val="0"/>
          <w:sz w:val="21"/>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β</m:t>
            </m:r>
            <m:ctrlPr>
              <w:rPr>
                <w:rFonts w:hint="default" w:ascii="Cambria Math" w:hAnsi="Cambria Math" w:cs="Times New Roman"/>
                <w:sz w:val="21"/>
              </w:rPr>
            </m:ctrlPr>
          </m:e>
          <m:sub>
            <m:r>
              <m:rPr>
                <m:nor/>
                <m:sty m:val="p"/>
              </m:rPr>
              <w:rPr>
                <w:rFonts w:hint="default" w:ascii="Times New Roman" w:hAnsi="Times New Roman" w:cs="Times New Roman"/>
                <w:i w:val="0"/>
                <w:sz w:val="21"/>
              </w:rPr>
              <m:t>4</m:t>
            </m:r>
            <m:ctrlPr>
              <w:rPr>
                <w:rFonts w:hint="default" w:ascii="Cambria Math" w:hAnsi="Cambria Math" w:cs="Times New Roman"/>
                <w:sz w:val="21"/>
              </w:rPr>
            </m:ctrlPr>
          </m:sub>
        </m:sSub>
      </m:oMath>
      <w:r>
        <w:rPr>
          <w:rFonts w:hint="default" w:ascii="Times New Roman" w:hAnsi="Times New Roman" w:cs="Times New Roman"/>
          <w:i w:val="0"/>
          <w:sz w:val="21"/>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β</m:t>
            </m:r>
            <m:ctrlPr>
              <w:rPr>
                <w:rFonts w:hint="default" w:ascii="Cambria Math" w:hAnsi="Cambria Math" w:cs="Times New Roman"/>
                <w:sz w:val="21"/>
              </w:rPr>
            </m:ctrlPr>
          </m:e>
          <m:sub>
            <m:r>
              <m:rPr>
                <m:nor/>
                <m:sty m:val="p"/>
              </m:rPr>
              <w:rPr>
                <w:rFonts w:hint="default" w:ascii="Times New Roman" w:hAnsi="Times New Roman" w:cs="Times New Roman"/>
                <w:i w:val="0"/>
                <w:sz w:val="21"/>
              </w:rPr>
              <m:t>5</m:t>
            </m:r>
            <m:ctrlPr>
              <w:rPr>
                <w:rFonts w:hint="default" w:ascii="Cambria Math" w:hAnsi="Cambria Math" w:cs="Times New Roman"/>
                <w:sz w:val="21"/>
              </w:rPr>
            </m:ctrlPr>
          </m:sub>
        </m:sSub>
      </m:oMath>
      <w:r>
        <w:rPr>
          <w:rFonts w:hint="default" w:ascii="Times New Roman" w:hAnsi="Times New Roman" w:cs="Times New Roman"/>
          <w:color w:val="auto"/>
        </w:rPr>
        <w:t>分别是各个解释变量的系数</w:t>
      </w:r>
      <w:r>
        <w:rPr>
          <w:rFonts w:hint="default" w:ascii="Times New Roman" w:hAnsi="Times New Roman" w:cs="Times New Roman"/>
          <w:color w:val="auto"/>
          <w:lang w:eastAsia="zh-CN"/>
        </w:rPr>
        <w:t>，</w:t>
      </w:r>
      <m:oMath>
        <m:r>
          <m:rPr>
            <m:nor/>
            <m:sty m:val="p"/>
          </m:rPr>
          <w:rPr>
            <w:rFonts w:hint="default" w:ascii="Times New Roman" w:hAnsi="Times New Roman" w:cs="Times New Roman"/>
            <w:b w:val="0"/>
            <w:i w:val="0"/>
            <w:sz w:val="21"/>
          </w:rPr>
          <m:t>Size</m:t>
        </m:r>
      </m:oMath>
      <w:r>
        <w:rPr>
          <w:rFonts w:hint="default" w:ascii="Times New Roman" w:hAnsi="Times New Roman" w:cs="Times New Roman"/>
          <w:color w:val="auto"/>
        </w:rPr>
        <w:t>是公司规模</w:t>
      </w:r>
      <w:r>
        <w:rPr>
          <w:rFonts w:hint="default" w:ascii="Times New Roman" w:hAnsi="Times New Roman" w:cs="Times New Roman"/>
          <w:color w:val="auto"/>
          <w:lang w:eastAsia="zh-CN"/>
        </w:rPr>
        <w:t>，</w:t>
      </w:r>
      <m:oMath>
        <m:r>
          <m:rPr>
            <m:nor/>
            <m:sty m:val="p"/>
          </m:rPr>
          <w:rPr>
            <w:rFonts w:hint="default" w:ascii="Times New Roman" w:hAnsi="Times New Roman" w:cs="Times New Roman"/>
            <w:b w:val="0"/>
            <w:i w:val="0"/>
            <w:sz w:val="21"/>
          </w:rPr>
          <m:t>Leverage</m:t>
        </m:r>
      </m:oMath>
      <w:r>
        <w:rPr>
          <w:rFonts w:hint="default" w:ascii="Times New Roman" w:hAnsi="Times New Roman" w:cs="Times New Roman"/>
          <w:color w:val="auto"/>
        </w:rPr>
        <w:t>是杠杆率</w:t>
      </w:r>
      <w:r>
        <w:rPr>
          <w:rFonts w:hint="default" w:ascii="Times New Roman" w:hAnsi="Times New Roman" w:cs="Times New Roman"/>
          <w:color w:val="auto"/>
          <w:lang w:eastAsia="zh-CN"/>
        </w:rPr>
        <w:t>，</w:t>
      </w:r>
      <m:oMath>
        <m:r>
          <m:rPr>
            <m:nor/>
            <m:sty m:val="p"/>
          </m:rPr>
          <w:rPr>
            <w:rFonts w:hint="default" w:ascii="Times New Roman" w:hAnsi="Times New Roman" w:cs="Times New Roman"/>
            <w:b w:val="0"/>
            <w:i w:val="0"/>
            <w:sz w:val="21"/>
          </w:rPr>
          <m:t>ROA</m:t>
        </m:r>
      </m:oMath>
      <w:r>
        <w:rPr>
          <w:rFonts w:hint="default" w:ascii="Times New Roman" w:hAnsi="Times New Roman" w:cs="Times New Roman"/>
          <w:color w:val="auto"/>
        </w:rPr>
        <w:t>是资产回报率</w:t>
      </w:r>
      <w:r>
        <w:rPr>
          <w:rFonts w:hint="default" w:ascii="Times New Roman" w:hAnsi="Times New Roman" w:cs="Times New Roman"/>
          <w:color w:val="auto"/>
          <w:lang w:eastAsia="zh-CN"/>
        </w:rPr>
        <w:t>，</w:t>
      </w:r>
      <m:oMath>
        <m:r>
          <m:rPr>
            <m:nor/>
            <m:sty m:val="p"/>
          </m:rPr>
          <w:rPr>
            <w:rFonts w:hint="default" w:ascii="Times New Roman" w:hAnsi="Times New Roman" w:cs="Times New Roman"/>
            <w:b w:val="0"/>
            <w:i w:val="0"/>
            <w:sz w:val="21"/>
          </w:rPr>
          <m:t>Cash</m:t>
        </m:r>
      </m:oMath>
      <w:r>
        <w:rPr>
          <w:rFonts w:hint="default" w:ascii="Times New Roman" w:hAnsi="Times New Roman" w:cs="Times New Roman"/>
          <w:color w:val="auto"/>
        </w:rPr>
        <w:t>是现金持有量</w:t>
      </w:r>
      <w:r>
        <w:rPr>
          <w:rFonts w:hint="default" w:ascii="Times New Roman" w:hAnsi="Times New Roman" w:cs="Times New Roman"/>
          <w:color w:val="auto"/>
          <w:lang w:eastAsia="zh-CN"/>
        </w:rPr>
        <w:t>，</w:t>
      </w:r>
      <m:oMath>
        <m:r>
          <m:rPr>
            <m:nor/>
            <m:sty m:val="p"/>
          </m:rPr>
          <w:rPr>
            <w:rFonts w:hint="default" w:ascii="Times New Roman" w:hAnsi="Times New Roman" w:cs="Times New Roman"/>
            <w:b w:val="0"/>
            <w:i w:val="0"/>
            <w:sz w:val="21"/>
          </w:rPr>
          <m:t>MB</m:t>
        </m:r>
      </m:oMath>
      <w:r>
        <w:rPr>
          <w:rFonts w:hint="default" w:ascii="Times New Roman" w:hAnsi="Times New Roman" w:cs="Times New Roman"/>
          <w:color w:val="auto"/>
        </w:rPr>
        <w:t>是市场与账面价值比</w:t>
      </w:r>
      <w:r>
        <w:rPr>
          <w:rFonts w:hint="default" w:ascii="Times New Roman" w:hAnsi="Times New Roman" w:cs="Times New Roman"/>
          <w:color w:val="auto"/>
          <w:lang w:eastAsia="zh-CN"/>
        </w:rPr>
        <w:t>，</w:t>
      </w:r>
      <m:oMath>
        <m:r>
          <m:rPr>
            <m:nor/>
          </m:rPr>
          <w:rPr>
            <w:rFonts w:hint="default" w:ascii="Times New Roman" w:hAnsi="Times New Roman" w:cs="Times New Roman"/>
            <w:i/>
            <w:sz w:val="21"/>
          </w:rPr>
          <m:t>ε</m:t>
        </m:r>
      </m:oMath>
      <w:r>
        <w:rPr>
          <w:rFonts w:hint="default" w:ascii="Times New Roman" w:hAnsi="Times New Roman" w:cs="Times New Roman"/>
          <w:color w:val="auto"/>
        </w:rPr>
        <w:t>是误差项。</w:t>
      </w:r>
    </w:p>
    <w:p w14:paraId="52A17E13">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21" w:name="_Toc9932"/>
      <w:r>
        <w:rPr>
          <w:rFonts w:hint="default" w:ascii="Times New Roman" w:hAnsi="Times New Roman" w:eastAsia="黑体" w:cs="Times New Roman"/>
          <w:color w:val="auto"/>
          <w:lang w:val="en-US" w:eastAsia="zh-CN"/>
        </w:rPr>
        <w:t>4</w:t>
      </w:r>
      <w:r>
        <w:rPr>
          <w:rFonts w:hint="default" w:ascii="Times New Roman" w:hAnsi="Times New Roman" w:eastAsia="黑体" w:cs="Times New Roman"/>
          <w:color w:val="auto"/>
          <w:lang w:val="en-US" w:eastAsia="zh-CN"/>
        </w:rPr>
        <w:t>.2.2对比模型</w:t>
      </w:r>
      <w:bookmarkEnd w:id="21"/>
    </w:p>
    <w:p w14:paraId="2C8EA289">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rPr>
        <w:t>引入文本特征后的机器学习模型</w:t>
      </w:r>
      <w:r>
        <w:rPr>
          <w:rFonts w:hint="default" w:ascii="Times New Roman" w:hAnsi="Times New Roman" w:cs="Times New Roman"/>
          <w:color w:val="auto"/>
          <w:lang w:val="en-US" w:eastAsia="zh-CN"/>
        </w:rPr>
        <w:t>如下。</w:t>
      </w:r>
    </w:p>
    <w:p w14:paraId="2F6408F5">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随机森林模型为：</w:t>
      </w:r>
    </w:p>
    <w:p w14:paraId="2D8EF3C9">
      <w:pPr>
        <w:jc w:val="right"/>
        <w:rPr>
          <w:rFonts w:hint="default" w:ascii="Times New Roman" w:hAnsi="Times New Roman" w:cs="Times New Roman" w:eastAsiaTheme="minorEastAsia"/>
          <w:color w:val="auto"/>
          <w:lang w:val="en-US" w:eastAsia="zh-CN"/>
        </w:rPr>
      </w:pPr>
      <m:oMath>
        <m:r>
          <m:rPr>
            <m:nor/>
            <m:sty m:val="p"/>
          </m:rPr>
          <w:rPr>
            <w:rFonts w:hint="default" w:ascii="Times New Roman" w:hAnsi="Times New Roman" w:cs="Times New Roman"/>
            <w:sz w:val="21"/>
          </w:rPr>
          <m:t>RF</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X</m:t>
        </m:r>
        <m:r>
          <m:rPr>
            <m:nor/>
            <m:sty m:val="p"/>
          </m:rPr>
          <w:rPr>
            <w:rFonts w:hint="default" w:ascii="Times New Roman" w:hAnsi="Times New Roman" w:cs="Times New Roman"/>
            <w:i w:val="0"/>
            <w:sz w:val="21"/>
          </w:rPr>
          <m:t>)=</m:t>
        </m:r>
        <m:f>
          <m:fPr>
            <m:ctrlPr>
              <w:rPr>
                <w:rFonts w:hint="default" w:ascii="Cambria Math" w:hAnsi="Cambria Math" w:cs="Times New Roman"/>
                <w:i/>
                <w:sz w:val="21"/>
              </w:rPr>
            </m:ctrlPr>
          </m:fPr>
          <m:num>
            <m:r>
              <m:rPr>
                <m:nor/>
                <m:sty m:val="p"/>
              </m:rPr>
              <w:rPr>
                <w:rFonts w:hint="default" w:ascii="Times New Roman" w:hAnsi="Times New Roman" w:cs="Times New Roman"/>
                <w:i w:val="0"/>
                <w:sz w:val="21"/>
              </w:rPr>
              <m:t>1</m:t>
            </m:r>
            <m:ctrlPr>
              <w:rPr>
                <w:rFonts w:hint="default" w:ascii="Cambria Math" w:hAnsi="Cambria Math" w:cs="Times New Roman"/>
                <w:sz w:val="21"/>
              </w:rPr>
            </m:ctrlPr>
          </m:num>
          <m:den>
            <m:r>
              <m:rPr>
                <m:nor/>
              </m:rPr>
              <w:rPr>
                <w:rFonts w:hint="default" w:ascii="Times New Roman" w:hAnsi="Times New Roman" w:cs="Times New Roman"/>
                <w:i/>
                <w:sz w:val="21"/>
              </w:rPr>
              <m:t>B</m:t>
            </m:r>
            <m:ctrlPr>
              <w:rPr>
                <w:rFonts w:hint="default" w:ascii="Cambria Math" w:hAnsi="Cambria Math" w:cs="Times New Roman"/>
                <w:sz w:val="21"/>
              </w:rPr>
            </m:ctrlPr>
          </m:den>
        </m:f>
        <m:nary>
          <m:naryPr>
            <m:chr m:val="∑"/>
            <m:limLoc m:val="undOvr"/>
            <m:ctrlPr>
              <w:rPr>
                <w:rFonts w:hint="default" w:ascii="Cambria Math" w:hAnsi="Cambria Math" w:cs="Times New Roman"/>
                <w:i/>
                <w:sz w:val="21"/>
              </w:rPr>
            </m:ctrlPr>
          </m:naryPr>
          <m:sub>
            <m:r>
              <m:rPr>
                <m:nor/>
              </m:rPr>
              <w:rPr>
                <w:rFonts w:hint="default" w:ascii="Times New Roman" w:hAnsi="Times New Roman" w:cs="Times New Roman"/>
                <w:i/>
                <w:sz w:val="21"/>
              </w:rPr>
              <m:t>b</m:t>
            </m:r>
            <m:r>
              <m:rPr>
                <m:nor/>
                <m:sty m:val="p"/>
              </m:rPr>
              <w:rPr>
                <w:rFonts w:hint="default" w:ascii="Times New Roman" w:hAnsi="Times New Roman" w:cs="Times New Roman"/>
                <w:i w:val="0"/>
                <w:sz w:val="21"/>
              </w:rPr>
              <m:t>=1</m:t>
            </m:r>
            <m:ctrlPr>
              <w:rPr>
                <w:rFonts w:hint="default" w:ascii="Cambria Math" w:hAnsi="Cambria Math" w:cs="Times New Roman"/>
                <w:sz w:val="21"/>
              </w:rPr>
            </m:ctrlPr>
          </m:sub>
          <m:sup>
            <m:r>
              <m:rPr>
                <m:nor/>
              </m:rPr>
              <w:rPr>
                <w:rFonts w:hint="default" w:ascii="Times New Roman" w:hAnsi="Times New Roman" w:cs="Times New Roman"/>
                <w:i/>
                <w:sz w:val="21"/>
              </w:rPr>
              <m:t>B</m:t>
            </m:r>
            <m:ctrlPr>
              <w:rPr>
                <w:rFonts w:hint="default" w:ascii="Cambria Math" w:hAnsi="Cambria Math" w:cs="Times New Roman"/>
                <w:sz w:val="21"/>
              </w:rPr>
            </m:ctrlPr>
          </m:sup>
          <m:e>
            <m:sSub>
              <m:sSubPr>
                <m:ctrlPr>
                  <w:rPr>
                    <w:rFonts w:hint="default" w:ascii="Cambria Math" w:hAnsi="Cambria Math" w:cs="Times New Roman"/>
                    <w:sz w:val="21"/>
                  </w:rPr>
                </m:ctrlPr>
              </m:sSubPr>
              <m:e>
                <m:r>
                  <m:rPr>
                    <m:nor/>
                  </m:rPr>
                  <w:rPr>
                    <w:rFonts w:hint="default" w:ascii="Times New Roman" w:hAnsi="Times New Roman" w:cs="Times New Roman"/>
                    <w:i/>
                    <w:sz w:val="21"/>
                  </w:rPr>
                  <m:t>T</m:t>
                </m:r>
                <m:ctrlPr>
                  <w:rPr>
                    <w:rFonts w:hint="default" w:ascii="Cambria Math" w:hAnsi="Cambria Math" w:cs="Times New Roman"/>
                    <w:sz w:val="21"/>
                  </w:rPr>
                </m:ctrlPr>
              </m:e>
              <m:sub>
                <m:r>
                  <m:rPr>
                    <m:nor/>
                  </m:rPr>
                  <w:rPr>
                    <w:rFonts w:hint="default" w:ascii="Times New Roman" w:hAnsi="Times New Roman" w:cs="Times New Roman"/>
                    <w:i/>
                    <w:sz w:val="21"/>
                  </w:rPr>
                  <m:t>b</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X</m:t>
            </m:r>
            <m:r>
              <m:rPr>
                <m:nor/>
                <m:sty m:val="p"/>
              </m:rPr>
              <w:rPr>
                <w:rFonts w:hint="default" w:ascii="Times New Roman" w:hAnsi="Times New Roman" w:cs="Times New Roman"/>
                <w:i w:val="0"/>
                <w:sz w:val="21"/>
              </w:rPr>
              <m:t>)</m:t>
            </m:r>
            <m:ctrlPr>
              <w:rPr>
                <w:rFonts w:hint="default" w:ascii="Cambria Math" w:hAnsi="Cambria Math" w:cs="Times New Roman"/>
                <w:sz w:val="21"/>
              </w:rPr>
            </m:ctrlPr>
          </m:e>
        </m:nary>
      </m:oMath>
      <w:r>
        <m:rPr/>
        <w:rPr>
          <w:rFonts w:hint="default" w:ascii="Times New Roman" w:hAnsi="Times New Roman" w:cs="Times New Roman"/>
          <w:i w:val="0"/>
          <w:sz w:val="21"/>
          <w:lang w:val="en-US" w:eastAsia="zh-CN"/>
        </w:rPr>
        <w:t xml:space="preserve">                   （9）</w:t>
      </w:r>
    </w:p>
    <w:p w14:paraId="1F01A332">
      <w:pPr>
        <w:ind w:firstLine="420" w:firstLineChars="200"/>
        <w:rPr>
          <w:rFonts w:hint="default" w:ascii="Times New Roman" w:hAnsi="Times New Roman" w:cs="Times New Roman" w:eastAsiaTheme="minorEastAsia"/>
          <w:color w:val="auto"/>
          <w:lang w:eastAsia="zh-CN"/>
        </w:rPr>
      </w:pPr>
      <w:r>
        <w:rPr>
          <w:rFonts w:hint="default" w:ascii="Times New Roman" w:hAnsi="Times New Roman" w:cs="Times New Roman"/>
          <w:color w:val="auto"/>
        </w:rPr>
        <w:t>其中</w:t>
      </w:r>
      <w:r>
        <w:rPr>
          <w:rFonts w:hint="default" w:ascii="Times New Roman" w:hAnsi="Times New Roman" w:cs="Times New Roman"/>
          <w:color w:val="auto"/>
          <w:lang w:eastAsia="zh-CN"/>
        </w:rPr>
        <w:t>，</w:t>
      </w:r>
      <m:oMath>
        <m:r>
          <m:rPr>
            <m:nor/>
            <m:sty m:val="p"/>
          </m:rPr>
          <w:rPr>
            <w:rFonts w:hint="default" w:ascii="Times New Roman" w:hAnsi="Times New Roman" w:cs="Times New Roman"/>
            <w:b w:val="0"/>
            <w:i w:val="0"/>
            <w:sz w:val="21"/>
          </w:rPr>
          <m:t>RF</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X</m:t>
        </m:r>
        <m:r>
          <m:rPr>
            <m:nor/>
            <m:sty m:val="p"/>
          </m:rPr>
          <w:rPr>
            <w:rFonts w:hint="default" w:ascii="Times New Roman" w:hAnsi="Times New Roman" w:cs="Times New Roman"/>
            <w:i w:val="0"/>
            <w:sz w:val="21"/>
          </w:rPr>
          <m:t>)</m:t>
        </m:r>
      </m:oMath>
      <w:r>
        <w:rPr>
          <w:rFonts w:hint="default" w:ascii="Times New Roman" w:hAnsi="Times New Roman" w:cs="Times New Roman"/>
          <w:color w:val="auto"/>
        </w:rPr>
        <w:t>表示随机森林（Random Forest）模型对输入 X 的预测结果</w:t>
      </w:r>
      <w:r>
        <w:rPr>
          <w:rFonts w:hint="default" w:ascii="Times New Roman" w:hAnsi="Times New Roman" w:cs="Times New Roman"/>
          <w:color w:val="auto"/>
          <w:lang w:eastAsia="zh-CN"/>
        </w:rPr>
        <w:t>，</w:t>
      </w:r>
      <w:r>
        <w:rPr>
          <w:rFonts w:hint="default" w:ascii="Times New Roman" w:hAnsi="Times New Roman" w:cs="Times New Roman"/>
          <w:color w:val="auto"/>
        </w:rPr>
        <w:t>B 是随机森林中决策树的数量</w:t>
      </w:r>
      <w:r>
        <w:rPr>
          <w:rFonts w:hint="default" w:ascii="Times New Roman" w:hAnsi="Times New Roman" w:cs="Times New Roman"/>
          <w:color w:val="auto"/>
          <w:lang w:eastAsia="zh-CN"/>
        </w:rPr>
        <w:t>，</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T</m:t>
            </m:r>
            <m:ctrlPr>
              <w:rPr>
                <w:rFonts w:hint="default" w:ascii="Cambria Math" w:hAnsi="Cambria Math" w:cs="Times New Roman"/>
                <w:sz w:val="21"/>
              </w:rPr>
            </m:ctrlPr>
          </m:e>
          <m:sub>
            <m:r>
              <m:rPr>
                <m:nor/>
              </m:rPr>
              <w:rPr>
                <w:rFonts w:hint="default" w:ascii="Times New Roman" w:hAnsi="Times New Roman" w:cs="Times New Roman"/>
                <w:i/>
                <w:sz w:val="21"/>
              </w:rPr>
              <m:t>b</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X</m:t>
        </m:r>
        <m:r>
          <m:rPr>
            <m:nor/>
            <m:sty m:val="p"/>
          </m:rPr>
          <w:rPr>
            <w:rFonts w:hint="default" w:ascii="Times New Roman" w:hAnsi="Times New Roman" w:cs="Times New Roman"/>
            <w:i w:val="0"/>
            <w:sz w:val="21"/>
          </w:rPr>
          <m:t>)</m:t>
        </m:r>
      </m:oMath>
      <w:r>
        <w:rPr>
          <w:rFonts w:hint="default" w:ascii="Times New Roman" w:hAnsi="Times New Roman" w:cs="Times New Roman"/>
          <w:color w:val="auto"/>
        </w:rPr>
        <w:t>是第 b 棵决策树对输入 X 的预测结果</w:t>
      </w:r>
      <w:r>
        <w:rPr>
          <w:rFonts w:hint="default" w:ascii="Times New Roman" w:hAnsi="Times New Roman" w:cs="Times New Roman"/>
          <w:color w:val="auto"/>
          <w:lang w:eastAsia="zh-CN"/>
        </w:rPr>
        <w:t>。</w:t>
      </w:r>
    </w:p>
    <w:p w14:paraId="4683E00F">
      <w:pPr>
        <w:ind w:firstLine="420" w:firstLineChars="200"/>
        <w:rPr>
          <w:rFonts w:hint="default" w:ascii="Times New Roman" w:hAnsi="Times New Roman" w:cs="Times New Roman"/>
          <w:color w:val="auto"/>
        </w:rPr>
      </w:pPr>
      <w:r>
        <w:rPr>
          <w:rFonts w:hint="default" w:ascii="Times New Roman" w:hAnsi="Times New Roman" w:cs="Times New Roman"/>
          <w:color w:val="auto"/>
        </w:rPr>
        <w:t>XGBoost模型</w:t>
      </w:r>
      <w:r>
        <w:rPr>
          <w:rFonts w:hint="default" w:ascii="Times New Roman" w:hAnsi="Times New Roman" w:cs="Times New Roman"/>
          <w:color w:val="auto"/>
          <w:lang w:val="en-US" w:eastAsia="zh-CN"/>
        </w:rPr>
        <w:t>为</w:t>
      </w:r>
      <w:r>
        <w:rPr>
          <w:rFonts w:hint="default" w:ascii="Times New Roman" w:hAnsi="Times New Roman" w:cs="Times New Roman"/>
          <w:color w:val="auto"/>
        </w:rPr>
        <w:t>：</w:t>
      </w:r>
    </w:p>
    <w:p w14:paraId="6236A7CB">
      <w:pPr>
        <w:jc w:val="right"/>
        <w:rPr>
          <w:rFonts w:hint="default" w:ascii="Times New Roman" w:hAnsi="Times New Roman" w:cs="Times New Roman" w:eastAsiaTheme="minorEastAsia"/>
          <w:color w:val="auto"/>
          <w:lang w:val="en-US" w:eastAsia="zh-CN"/>
        </w:rPr>
      </w:pPr>
      <m:oMath>
        <m:r>
          <m:rPr>
            <m:nor/>
            <m:sty m:val="p"/>
          </m:rPr>
          <w:rPr>
            <w:rFonts w:hint="default" w:ascii="Times New Roman" w:hAnsi="Times New Roman" w:cs="Times New Roman"/>
            <w:sz w:val="21"/>
          </w:rPr>
          <m:t>Obj</m:t>
        </m:r>
        <m:r>
          <m:rPr>
            <m:nor/>
            <m:sty m:val="p"/>
          </m:rPr>
          <w:rPr>
            <w:rFonts w:hint="default" w:ascii="Times New Roman" w:hAnsi="Times New Roman" w:cs="Times New Roman"/>
            <w:i w:val="0"/>
            <w:sz w:val="21"/>
          </w:rPr>
          <m:t>(</m:t>
        </m:r>
        <m:r>
          <m:rPr>
            <m:nor/>
          </m:rPr>
          <w:rPr>
            <w:rFonts w:hint="default" w:ascii="Times New Roman" w:hAnsi="Times New Roman" w:cs="Times New Roman"/>
            <w:i/>
            <w:sz w:val="21"/>
          </w:rPr>
          <m:t>θ</m:t>
        </m:r>
        <m:r>
          <m:rPr>
            <m:nor/>
            <m:sty m:val="p"/>
          </m:rPr>
          <w:rPr>
            <w:rFonts w:hint="default" w:ascii="Times New Roman" w:hAnsi="Times New Roman" w:cs="Times New Roman"/>
            <w:i w:val="0"/>
            <w:sz w:val="21"/>
          </w:rPr>
          <m:t>)=</m:t>
        </m:r>
        <m:nary>
          <m:naryPr>
            <m:chr m:val="∑"/>
            <m:limLoc m:val="undOvr"/>
            <m:ctrlPr>
              <w:rPr>
                <w:rFonts w:hint="default" w:ascii="Cambria Math" w:hAnsi="Cambria Math" w:cs="Times New Roman"/>
                <w:i/>
                <w:sz w:val="21"/>
              </w:rPr>
            </m:ctrlPr>
          </m:naryPr>
          <m:sub>
            <m:r>
              <m:rPr>
                <m:nor/>
              </m:rPr>
              <w:rPr>
                <w:rFonts w:hint="default" w:ascii="Times New Roman" w:hAnsi="Times New Roman" w:cs="Times New Roman"/>
                <w:i/>
                <w:sz w:val="21"/>
              </w:rPr>
              <m:t>i</m:t>
            </m:r>
            <m:r>
              <m:rPr>
                <m:nor/>
                <m:sty m:val="p"/>
              </m:rPr>
              <w:rPr>
                <w:rFonts w:hint="default" w:ascii="Times New Roman" w:hAnsi="Times New Roman" w:cs="Times New Roman"/>
                <w:i w:val="0"/>
                <w:sz w:val="21"/>
              </w:rPr>
              <m:t>=1</m:t>
            </m:r>
            <m:ctrlPr>
              <w:rPr>
                <w:rFonts w:hint="default" w:ascii="Cambria Math" w:hAnsi="Cambria Math" w:cs="Times New Roman"/>
                <w:sz w:val="21"/>
              </w:rPr>
            </m:ctrlPr>
          </m:sub>
          <m:sup>
            <m:r>
              <m:rPr>
                <m:nor/>
              </m:rPr>
              <w:rPr>
                <w:rFonts w:hint="default" w:ascii="Times New Roman" w:hAnsi="Times New Roman" w:cs="Times New Roman"/>
                <w:i/>
                <w:sz w:val="21"/>
              </w:rPr>
              <m:t>n</m:t>
            </m:r>
            <m:ctrlPr>
              <w:rPr>
                <w:rFonts w:hint="default" w:ascii="Cambria Math" w:hAnsi="Cambria Math" w:cs="Times New Roman"/>
                <w:sz w:val="21"/>
              </w:rPr>
            </m:ctrlPr>
          </m:sup>
          <m:e>
            <m:r>
              <m:rPr>
                <m:nor/>
              </m:rPr>
              <w:rPr>
                <w:rFonts w:hint="default" w:ascii="Times New Roman" w:hAnsi="Times New Roman" w:cs="Times New Roman"/>
                <w:i/>
                <w:sz w:val="21"/>
              </w:rPr>
              <m:t>L</m:t>
            </m:r>
            <m:ctrlPr>
              <w:rPr>
                <w:rFonts w:hint="default" w:ascii="Cambria Math" w:hAnsi="Cambria Math" w:cs="Times New Roman"/>
                <w:sz w:val="21"/>
              </w:rPr>
            </m:ctrlPr>
          </m:e>
        </m:nary>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y</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acc>
              <m:accPr>
                <m:ctrlPr>
                  <w:rPr>
                    <w:rFonts w:hint="default" w:ascii="Cambria Math" w:hAnsi="Cambria Math" w:cs="Times New Roman"/>
                    <w:sz w:val="21"/>
                  </w:rPr>
                </m:ctrlPr>
              </m:accPr>
              <m:e>
                <m:r>
                  <m:rPr>
                    <m:nor/>
                  </m:rPr>
                  <w:rPr>
                    <w:rFonts w:hint="default" w:ascii="Times New Roman" w:hAnsi="Times New Roman" w:cs="Times New Roman"/>
                    <w:i/>
                    <w:sz w:val="21"/>
                  </w:rPr>
                  <m:t>y</m:t>
                </m:r>
                <m:ctrlPr>
                  <w:rPr>
                    <w:rFonts w:hint="default" w:ascii="Cambria Math" w:hAnsi="Cambria Math" w:cs="Times New Roman"/>
                    <w:sz w:val="21"/>
                  </w:rPr>
                </m:ctrlPr>
              </m:e>
            </m:acc>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nary>
          <m:naryPr>
            <m:chr m:val="∑"/>
            <m:limLoc m:val="undOvr"/>
            <m:ctrlPr>
              <w:rPr>
                <w:rFonts w:hint="default" w:ascii="Cambria Math" w:hAnsi="Cambria Math" w:cs="Times New Roman"/>
                <w:i/>
                <w:sz w:val="21"/>
              </w:rPr>
            </m:ctrlPr>
          </m:naryPr>
          <m:sub>
            <m:r>
              <m:rPr>
                <m:nor/>
              </m:rPr>
              <w:rPr>
                <w:rFonts w:hint="default" w:ascii="Times New Roman" w:hAnsi="Times New Roman" w:cs="Times New Roman"/>
                <w:i/>
                <w:sz w:val="21"/>
              </w:rPr>
              <m:t>k</m:t>
            </m:r>
            <m:r>
              <m:rPr>
                <m:nor/>
                <m:sty m:val="p"/>
              </m:rPr>
              <w:rPr>
                <w:rFonts w:hint="default" w:ascii="Times New Roman" w:hAnsi="Times New Roman" w:cs="Times New Roman"/>
                <w:i w:val="0"/>
                <w:sz w:val="21"/>
              </w:rPr>
              <m:t>=1</m:t>
            </m:r>
            <m:ctrlPr>
              <w:rPr>
                <w:rFonts w:hint="default" w:ascii="Cambria Math" w:hAnsi="Cambria Math" w:cs="Times New Roman"/>
                <w:sz w:val="21"/>
              </w:rPr>
            </m:ctrlPr>
          </m:sub>
          <m:sup>
            <m:r>
              <m:rPr>
                <m:nor/>
              </m:rPr>
              <w:rPr>
                <w:rFonts w:hint="default" w:ascii="Times New Roman" w:hAnsi="Times New Roman" w:cs="Times New Roman"/>
                <w:i/>
                <w:sz w:val="21"/>
              </w:rPr>
              <m:t>K</m:t>
            </m:r>
            <m:ctrlPr>
              <w:rPr>
                <w:rFonts w:hint="default" w:ascii="Cambria Math" w:hAnsi="Cambria Math" w:cs="Times New Roman"/>
                <w:sz w:val="21"/>
              </w:rPr>
            </m:ctrlPr>
          </m:sup>
          <m:e>
            <m:r>
              <m:rPr>
                <m:nor/>
                <m:sty m:val="p"/>
              </m:rPr>
              <w:rPr>
                <w:rFonts w:hint="default" w:ascii="Times New Roman" w:hAnsi="Times New Roman" w:cs="Times New Roman"/>
                <w:i w:val="0"/>
                <w:sz w:val="21"/>
              </w:rPr>
              <m:t>Ω</m:t>
            </m:r>
            <m:ctrlPr>
              <w:rPr>
                <w:rFonts w:hint="default" w:ascii="Cambria Math" w:hAnsi="Cambria Math" w:cs="Times New Roman"/>
                <w:sz w:val="21"/>
              </w:rPr>
            </m:ctrlPr>
          </m:e>
        </m:nary>
        <m:r>
          <m:rPr>
            <m:nor/>
            <m:sty m:val="p"/>
          </m:rPr>
          <w:rPr>
            <w:rFonts w:hint="default" w:ascii="Times New Roman" w:hAnsi="Times New Roman" w:cs="Times New Roman"/>
            <w:i w:val="0"/>
            <w:sz w:val="21"/>
          </w:rPr>
          <m:t>(</m:t>
        </m:r>
        <m:sSub>
          <m:sSubPr>
            <m:ctrlPr>
              <w:rPr>
                <w:rFonts w:hint="default" w:ascii="Cambria Math" w:hAnsi="Cambria Math" w:cs="Times New Roman"/>
                <w:sz w:val="21"/>
              </w:rPr>
            </m:ctrlPr>
          </m:sSubPr>
          <m:e>
            <m:r>
              <m:rPr>
                <m:nor/>
              </m:rPr>
              <w:rPr>
                <w:rFonts w:hint="default" w:ascii="Times New Roman" w:hAnsi="Times New Roman" w:cs="Times New Roman"/>
                <w:i/>
                <w:sz w:val="21"/>
              </w:rPr>
              <m:t>f</m:t>
            </m:r>
            <m:ctrlPr>
              <w:rPr>
                <w:rFonts w:hint="default" w:ascii="Cambria Math" w:hAnsi="Cambria Math" w:cs="Times New Roman"/>
                <w:sz w:val="21"/>
              </w:rPr>
            </m:ctrlPr>
          </m:e>
          <m:sub>
            <m:r>
              <m:rPr>
                <m:nor/>
              </m:rPr>
              <w:rPr>
                <w:rFonts w:hint="default" w:ascii="Times New Roman" w:hAnsi="Times New Roman" w:cs="Times New Roman"/>
                <w:i/>
                <w:sz w:val="21"/>
              </w:rPr>
              <m:t>k</m:t>
            </m:r>
            <m:ctrlPr>
              <w:rPr>
                <w:rFonts w:hint="default" w:ascii="Cambria Math" w:hAnsi="Cambria Math" w:cs="Times New Roman"/>
                <w:sz w:val="21"/>
              </w:rPr>
            </m:ctrlPr>
          </m:sub>
        </m:sSub>
        <m:r>
          <m:rPr>
            <m:nor/>
            <m:sty m:val="p"/>
          </m:rPr>
          <w:rPr>
            <w:rFonts w:hint="default" w:ascii="Times New Roman" w:hAnsi="Times New Roman" w:cs="Times New Roman"/>
            <w:i w:val="0"/>
            <w:sz w:val="21"/>
          </w:rPr>
          <m:t>)</m:t>
        </m:r>
      </m:oMath>
      <w:r>
        <m:rPr/>
        <w:rPr>
          <w:rFonts w:hint="default" w:ascii="Times New Roman" w:hAnsi="Times New Roman" w:cs="Times New Roman"/>
          <w:i w:val="0"/>
          <w:sz w:val="21"/>
          <w:lang w:val="en-US" w:eastAsia="zh-CN"/>
        </w:rPr>
        <w:t xml:space="preserve">                 （10）</w:t>
      </w:r>
    </w:p>
    <w:p w14:paraId="51ABD8EB">
      <w:pPr>
        <w:ind w:firstLine="420" w:firstLineChars="200"/>
        <w:rPr>
          <w:rFonts w:hint="default" w:ascii="Times New Roman" w:hAnsi="Times New Roman" w:cs="Times New Roman"/>
          <w:color w:val="auto"/>
        </w:rPr>
      </w:pPr>
      <w:r>
        <w:rPr>
          <w:rFonts w:hint="default" w:ascii="Times New Roman" w:hAnsi="Times New Roman" w:cs="Times New Roman"/>
          <w:color w:val="auto"/>
        </w:rPr>
        <w:t>其中L为损失函数，Ω为正则化项，防止过拟合。</w:t>
      </w:r>
    </w:p>
    <w:p w14:paraId="0EEE48EE">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22" w:name="_Toc15064"/>
      <w:r>
        <w:rPr>
          <w:rFonts w:hint="default" w:ascii="Times New Roman" w:hAnsi="Times New Roman" w:eastAsia="黑体" w:cs="Times New Roman"/>
          <w:color w:val="auto"/>
          <w:lang w:val="en-US" w:eastAsia="zh-CN"/>
        </w:rPr>
        <w:t>4</w:t>
      </w:r>
      <w:r>
        <w:rPr>
          <w:rFonts w:hint="default" w:ascii="Times New Roman" w:hAnsi="Times New Roman" w:eastAsia="黑体" w:cs="Times New Roman"/>
          <w:color w:val="auto"/>
          <w:lang w:val="en-US" w:eastAsia="zh-CN"/>
        </w:rPr>
        <w:t>.2.3模型评估</w:t>
      </w:r>
      <w:bookmarkEnd w:id="22"/>
    </w:p>
    <w:p w14:paraId="2BC63683">
      <w:pPr>
        <w:ind w:firstLine="420" w:firstLineChars="200"/>
        <w:rPr>
          <w:rFonts w:hint="default" w:ascii="Times New Roman" w:hAnsi="Times New Roman" w:cs="Times New Roman"/>
          <w:color w:val="auto"/>
        </w:rPr>
      </w:pPr>
      <w:r>
        <w:rPr>
          <w:rFonts w:hint="default" w:ascii="Times New Roman" w:hAnsi="Times New Roman" w:cs="Times New Roman"/>
          <w:color w:val="auto"/>
        </w:rPr>
        <w:t>为了全面评估模型性能，</w:t>
      </w:r>
      <w:r>
        <w:rPr>
          <w:rFonts w:hint="default" w:ascii="Times New Roman" w:hAnsi="Times New Roman" w:cs="Times New Roman"/>
          <w:color w:val="auto"/>
          <w:lang w:eastAsia="zh-CN"/>
        </w:rPr>
        <w:t>本文</w:t>
      </w:r>
      <w:r>
        <w:rPr>
          <w:rFonts w:hint="default" w:ascii="Times New Roman" w:hAnsi="Times New Roman" w:cs="Times New Roman"/>
          <w:color w:val="auto"/>
        </w:rPr>
        <w:t>采用了多种关键指标。其中，AUC值（ROC曲线下面积）用于衡量模型的整体分类能力，能够直观地反映模型在不同阈值下的综合表现。准确率通过公式</w:t>
      </w:r>
      <m:oMath>
        <m:f>
          <m:fPr>
            <m:ctrlPr>
              <w:rPr>
                <w:rFonts w:hint="default" w:ascii="Cambria Math" w:hAnsi="Cambria Math" w:cs="Times New Roman"/>
                <w:i/>
              </w:rPr>
            </m:ctrlPr>
          </m:fPr>
          <m:num>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TN</m:t>
            </m:r>
            <m:ctrlPr>
              <w:rPr>
                <w:rFonts w:hint="default" w:ascii="Cambria Math" w:hAnsi="Cambria Math" w:cs="Times New Roman"/>
              </w:rPr>
            </m:ctrlPr>
          </m:num>
          <m:den>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TN</m:t>
            </m:r>
            <m:r>
              <m:rPr>
                <m:nor/>
                <m:sty m:val="p"/>
              </m:rPr>
              <w:rPr>
                <w:rFonts w:hint="default" w:ascii="Times New Roman" w:hAnsi="Times New Roman" w:cs="Times New Roman"/>
                <w:i w:val="0"/>
              </w:rPr>
              <m:t>+</m:t>
            </m:r>
            <m:r>
              <m:rPr>
                <m:nor/>
              </m:rPr>
              <w:rPr>
                <w:rFonts w:hint="default" w:ascii="Times New Roman" w:hAnsi="Times New Roman" w:cs="Times New Roman"/>
                <w:i/>
              </w:rPr>
              <m:t>FP</m:t>
            </m:r>
            <m:r>
              <m:rPr>
                <m:nor/>
                <m:sty m:val="p"/>
              </m:rPr>
              <w:rPr>
                <w:rFonts w:hint="default" w:ascii="Times New Roman" w:hAnsi="Times New Roman" w:cs="Times New Roman"/>
                <w:i w:val="0"/>
              </w:rPr>
              <m:t>+</m:t>
            </m:r>
            <m:r>
              <m:rPr>
                <m:nor/>
              </m:rPr>
              <w:rPr>
                <w:rFonts w:hint="default" w:ascii="Times New Roman" w:hAnsi="Times New Roman" w:cs="Times New Roman"/>
                <w:i/>
              </w:rPr>
              <m:t>FN</m:t>
            </m:r>
            <m:ctrlPr>
              <w:rPr>
                <w:rFonts w:hint="default" w:ascii="Cambria Math" w:hAnsi="Cambria Math" w:cs="Times New Roman"/>
              </w:rPr>
            </m:ctrlPr>
          </m:den>
        </m:f>
      </m:oMath>
      <w:r>
        <w:rPr>
          <w:rFonts w:hint="default" w:ascii="Times New Roman" w:hAnsi="Times New Roman" w:cs="Times New Roman"/>
          <w:color w:val="auto"/>
        </w:rPr>
        <w:t>计算，反映了模型正确分类的比例。召回率则通过</w:t>
      </w:r>
      <m:oMath>
        <m:f>
          <m:fPr>
            <m:ctrlPr>
              <w:rPr>
                <w:rFonts w:hint="default" w:ascii="Cambria Math" w:hAnsi="Cambria Math" w:cs="Times New Roman"/>
                <w:i/>
              </w:rPr>
            </m:ctrlPr>
          </m:fPr>
          <m:num>
            <m:r>
              <m:rPr>
                <m:nor/>
              </m:rPr>
              <w:rPr>
                <w:rFonts w:hint="default" w:ascii="Times New Roman" w:hAnsi="Times New Roman" w:cs="Times New Roman"/>
                <w:i/>
              </w:rPr>
              <m:t>TP</m:t>
            </m:r>
            <m:ctrlPr>
              <w:rPr>
                <w:rFonts w:hint="default" w:ascii="Cambria Math" w:hAnsi="Cambria Math" w:cs="Times New Roman"/>
              </w:rPr>
            </m:ctrlPr>
          </m:num>
          <m:den>
            <m:r>
              <m:rPr>
                <m:nor/>
              </m:rPr>
              <w:rPr>
                <w:rFonts w:hint="default" w:ascii="Times New Roman" w:hAnsi="Times New Roman" w:cs="Times New Roman"/>
                <w:i/>
              </w:rPr>
              <m:t>TP</m:t>
            </m:r>
            <m:r>
              <m:rPr>
                <m:nor/>
                <m:sty m:val="p"/>
              </m:rPr>
              <w:rPr>
                <w:rFonts w:hint="default" w:ascii="Times New Roman" w:hAnsi="Times New Roman" w:cs="Times New Roman"/>
                <w:i w:val="0"/>
              </w:rPr>
              <m:t>+</m:t>
            </m:r>
            <m:r>
              <m:rPr>
                <m:nor/>
              </m:rPr>
              <w:rPr>
                <w:rFonts w:hint="default" w:ascii="Times New Roman" w:hAnsi="Times New Roman" w:cs="Times New Roman"/>
                <w:i/>
              </w:rPr>
              <m:t>FN</m:t>
            </m:r>
            <m:ctrlPr>
              <w:rPr>
                <w:rFonts w:hint="default" w:ascii="Cambria Math" w:hAnsi="Cambria Math" w:cs="Times New Roman"/>
              </w:rPr>
            </m:ctrlPr>
          </m:den>
        </m:f>
      </m:oMath>
      <w:r>
        <w:rPr>
          <w:rFonts w:hint="default" w:ascii="Times New Roman" w:hAnsi="Times New Roman" w:cs="Times New Roman"/>
          <w:color w:val="auto"/>
        </w:rPr>
        <w:t>计算，特别关注模型对破产事件的识别能力，确保模型能够有效捕捉到重要的负面事件。最后，F1分数作为精确率与召回率的调和平均，综合考虑了模型的精确性和召回能力，为模型性能提供了一个平衡的评估。</w:t>
      </w:r>
    </w:p>
    <w:p w14:paraId="59527BFD">
      <w:pPr>
        <w:jc w:val="center"/>
        <w:rPr>
          <w:rFonts w:hint="default" w:ascii="Times New Roman" w:hAnsi="Times New Roman" w:cs="Times New Roman"/>
          <w:color w:val="auto"/>
        </w:rPr>
      </w:pPr>
      <w:r>
        <w:rPr>
          <w:rFonts w:hint="default" w:ascii="Times New Roman" w:hAnsi="Times New Roman" w:cs="Times New Roman"/>
          <w:color w:val="auto"/>
        </w:rPr>
        <w:t>表</w:t>
      </w:r>
      <w:r>
        <w:rPr>
          <w:rFonts w:hint="default" w:ascii="Times New Roman" w:hAnsi="Times New Roman" w:cs="Times New Roman"/>
          <w:color w:val="auto"/>
          <w:lang w:val="en-US" w:eastAsia="zh-CN"/>
        </w:rPr>
        <w:t xml:space="preserve">3 </w:t>
      </w:r>
      <w:r>
        <w:rPr>
          <w:rFonts w:hint="default" w:ascii="Times New Roman" w:hAnsi="Times New Roman" w:cs="Times New Roman"/>
          <w:color w:val="auto"/>
        </w:rPr>
        <w:t>模型设定与评估指标体系</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32"/>
        <w:gridCol w:w="2216"/>
        <w:gridCol w:w="3018"/>
        <w:gridCol w:w="1853"/>
      </w:tblGrid>
      <w:tr w14:paraId="25DFA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0" w:type="pct"/>
            <w:tcBorders>
              <w:top w:val="single" w:color="auto" w:sz="12" w:space="0"/>
              <w:left w:val="nil"/>
              <w:bottom w:val="single" w:color="auto" w:sz="4" w:space="0"/>
              <w:right w:val="nil"/>
            </w:tcBorders>
            <w:vAlign w:val="center"/>
          </w:tcPr>
          <w:p w14:paraId="2049E80A">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模型类型</w:t>
            </w:r>
          </w:p>
        </w:tc>
        <w:tc>
          <w:tcPr>
            <w:tcW w:w="1300" w:type="pct"/>
            <w:tcBorders>
              <w:top w:val="single" w:color="auto" w:sz="12" w:space="0"/>
              <w:left w:val="nil"/>
              <w:bottom w:val="single" w:color="auto" w:sz="4" w:space="0"/>
              <w:right w:val="nil"/>
            </w:tcBorders>
            <w:vAlign w:val="center"/>
          </w:tcPr>
          <w:p w14:paraId="73813722">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模型名称</w:t>
            </w:r>
          </w:p>
        </w:tc>
        <w:tc>
          <w:tcPr>
            <w:tcW w:w="1771" w:type="pct"/>
            <w:tcBorders>
              <w:top w:val="single" w:color="auto" w:sz="12" w:space="0"/>
              <w:left w:val="nil"/>
              <w:bottom w:val="single" w:color="auto" w:sz="4" w:space="0"/>
              <w:right w:val="nil"/>
            </w:tcBorders>
            <w:vAlign w:val="center"/>
          </w:tcPr>
          <w:p w14:paraId="43528B56">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主要变量</w:t>
            </w:r>
          </w:p>
        </w:tc>
        <w:tc>
          <w:tcPr>
            <w:tcW w:w="1087" w:type="pct"/>
            <w:tcBorders>
              <w:top w:val="single" w:color="auto" w:sz="12" w:space="0"/>
              <w:left w:val="nil"/>
              <w:bottom w:val="single" w:color="auto" w:sz="4" w:space="0"/>
              <w:right w:val="nil"/>
            </w:tcBorders>
            <w:vAlign w:val="center"/>
          </w:tcPr>
          <w:p w14:paraId="6522C6C3">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适用假设</w:t>
            </w:r>
          </w:p>
        </w:tc>
      </w:tr>
      <w:tr w14:paraId="2293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0" w:type="pct"/>
            <w:vMerge w:val="restart"/>
            <w:tcBorders>
              <w:top w:val="single" w:color="auto" w:sz="4" w:space="0"/>
              <w:left w:val="nil"/>
              <w:right w:val="nil"/>
            </w:tcBorders>
            <w:vAlign w:val="center"/>
          </w:tcPr>
          <w:p w14:paraId="38005435">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因果推断</w:t>
            </w:r>
          </w:p>
        </w:tc>
        <w:tc>
          <w:tcPr>
            <w:tcW w:w="1300" w:type="pct"/>
            <w:tcBorders>
              <w:top w:val="single" w:color="auto" w:sz="4" w:space="0"/>
              <w:left w:val="nil"/>
              <w:bottom w:val="nil"/>
              <w:right w:val="nil"/>
            </w:tcBorders>
            <w:vAlign w:val="center"/>
          </w:tcPr>
          <w:p w14:paraId="7DA74955">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逻辑回归</w:t>
            </w:r>
          </w:p>
        </w:tc>
        <w:tc>
          <w:tcPr>
            <w:tcW w:w="1771" w:type="pct"/>
            <w:tcBorders>
              <w:top w:val="single" w:color="auto" w:sz="4" w:space="0"/>
              <w:left w:val="nil"/>
              <w:bottom w:val="nil"/>
              <w:right w:val="nil"/>
            </w:tcBorders>
            <w:vAlign w:val="center"/>
          </w:tcPr>
          <w:p w14:paraId="454D3A98">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IA_Text+控制变量</w:t>
            </w:r>
          </w:p>
        </w:tc>
        <w:tc>
          <w:tcPr>
            <w:tcW w:w="1087" w:type="pct"/>
            <w:tcBorders>
              <w:top w:val="single" w:color="auto" w:sz="4" w:space="0"/>
              <w:left w:val="nil"/>
              <w:bottom w:val="nil"/>
              <w:right w:val="nil"/>
            </w:tcBorders>
            <w:vAlign w:val="center"/>
          </w:tcPr>
          <w:p w14:paraId="1BD98199">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H1</w:t>
            </w:r>
          </w:p>
        </w:tc>
      </w:tr>
      <w:tr w14:paraId="5873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0" w:type="pct"/>
            <w:vMerge w:val="continue"/>
            <w:tcBorders>
              <w:left w:val="nil"/>
              <w:bottom w:val="nil"/>
              <w:right w:val="nil"/>
            </w:tcBorders>
            <w:vAlign w:val="center"/>
          </w:tcPr>
          <w:p w14:paraId="56B2CCE7">
            <w:pPr>
              <w:jc w:val="center"/>
              <w:rPr>
                <w:rFonts w:hint="default" w:ascii="Times New Roman" w:hAnsi="Times New Roman" w:cs="Times New Roman"/>
                <w:color w:val="auto"/>
                <w:vertAlign w:val="baseline"/>
              </w:rPr>
            </w:pPr>
          </w:p>
        </w:tc>
        <w:tc>
          <w:tcPr>
            <w:tcW w:w="1300" w:type="pct"/>
            <w:tcBorders>
              <w:top w:val="nil"/>
              <w:left w:val="nil"/>
              <w:bottom w:val="nil"/>
              <w:right w:val="nil"/>
            </w:tcBorders>
            <w:vAlign w:val="center"/>
          </w:tcPr>
          <w:p w14:paraId="42A3EA1E">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Cox生存模型</w:t>
            </w:r>
          </w:p>
        </w:tc>
        <w:tc>
          <w:tcPr>
            <w:tcW w:w="1771" w:type="pct"/>
            <w:tcBorders>
              <w:top w:val="nil"/>
              <w:left w:val="nil"/>
              <w:bottom w:val="nil"/>
              <w:right w:val="nil"/>
            </w:tcBorders>
            <w:vAlign w:val="center"/>
          </w:tcPr>
          <w:p w14:paraId="5B854FD4">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IA_Text+控制变量</w:t>
            </w:r>
          </w:p>
        </w:tc>
        <w:tc>
          <w:tcPr>
            <w:tcW w:w="1087" w:type="pct"/>
            <w:tcBorders>
              <w:top w:val="nil"/>
              <w:left w:val="nil"/>
              <w:bottom w:val="nil"/>
              <w:right w:val="nil"/>
            </w:tcBorders>
            <w:vAlign w:val="center"/>
          </w:tcPr>
          <w:p w14:paraId="2937BA11">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H1</w:t>
            </w:r>
          </w:p>
        </w:tc>
      </w:tr>
      <w:tr w14:paraId="37769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0" w:type="pct"/>
            <w:vMerge w:val="restart"/>
            <w:tcBorders>
              <w:top w:val="nil"/>
              <w:left w:val="nil"/>
              <w:right w:val="nil"/>
            </w:tcBorders>
            <w:vAlign w:val="center"/>
          </w:tcPr>
          <w:p w14:paraId="5B835569">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预测比较</w:t>
            </w:r>
          </w:p>
        </w:tc>
        <w:tc>
          <w:tcPr>
            <w:tcW w:w="1300" w:type="pct"/>
            <w:tcBorders>
              <w:top w:val="nil"/>
              <w:left w:val="nil"/>
              <w:bottom w:val="nil"/>
              <w:right w:val="nil"/>
            </w:tcBorders>
            <w:vAlign w:val="center"/>
          </w:tcPr>
          <w:p w14:paraId="67D6BB6C">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基准Logistic</w:t>
            </w:r>
          </w:p>
        </w:tc>
        <w:tc>
          <w:tcPr>
            <w:tcW w:w="1771" w:type="pct"/>
            <w:tcBorders>
              <w:top w:val="nil"/>
              <w:left w:val="nil"/>
              <w:bottom w:val="nil"/>
              <w:right w:val="nil"/>
            </w:tcBorders>
            <w:vAlign w:val="center"/>
          </w:tcPr>
          <w:p w14:paraId="6E6F2493">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传统财务变量</w:t>
            </w:r>
          </w:p>
        </w:tc>
        <w:tc>
          <w:tcPr>
            <w:tcW w:w="1087" w:type="pct"/>
            <w:tcBorders>
              <w:top w:val="nil"/>
              <w:left w:val="nil"/>
              <w:bottom w:val="nil"/>
              <w:right w:val="nil"/>
            </w:tcBorders>
            <w:vAlign w:val="center"/>
          </w:tcPr>
          <w:p w14:paraId="0DCBB5D9">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H2基准</w:t>
            </w:r>
          </w:p>
        </w:tc>
      </w:tr>
      <w:tr w14:paraId="6E1B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0" w:type="pct"/>
            <w:vMerge w:val="continue"/>
            <w:tcBorders>
              <w:left w:val="nil"/>
              <w:right w:val="nil"/>
            </w:tcBorders>
            <w:vAlign w:val="center"/>
          </w:tcPr>
          <w:p w14:paraId="13D17654">
            <w:pPr>
              <w:jc w:val="center"/>
              <w:rPr>
                <w:rFonts w:hint="default" w:ascii="Times New Roman" w:hAnsi="Times New Roman" w:cs="Times New Roman"/>
                <w:color w:val="auto"/>
                <w:vertAlign w:val="baseline"/>
              </w:rPr>
            </w:pPr>
          </w:p>
        </w:tc>
        <w:tc>
          <w:tcPr>
            <w:tcW w:w="1300" w:type="pct"/>
            <w:tcBorders>
              <w:top w:val="nil"/>
              <w:left w:val="nil"/>
              <w:bottom w:val="nil"/>
              <w:right w:val="nil"/>
            </w:tcBorders>
            <w:vAlign w:val="center"/>
          </w:tcPr>
          <w:p w14:paraId="182F4868">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随机森林</w:t>
            </w:r>
          </w:p>
        </w:tc>
        <w:tc>
          <w:tcPr>
            <w:tcW w:w="1771" w:type="pct"/>
            <w:tcBorders>
              <w:top w:val="nil"/>
              <w:left w:val="nil"/>
              <w:bottom w:val="nil"/>
              <w:right w:val="nil"/>
            </w:tcBorders>
            <w:vAlign w:val="center"/>
          </w:tcPr>
          <w:p w14:paraId="6515D552">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财务变量+文本特征</w:t>
            </w:r>
          </w:p>
        </w:tc>
        <w:tc>
          <w:tcPr>
            <w:tcW w:w="1087" w:type="pct"/>
            <w:tcBorders>
              <w:top w:val="nil"/>
              <w:left w:val="nil"/>
              <w:bottom w:val="nil"/>
              <w:right w:val="nil"/>
            </w:tcBorders>
            <w:vAlign w:val="center"/>
          </w:tcPr>
          <w:p w14:paraId="0E96B93B">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H2对比</w:t>
            </w:r>
          </w:p>
        </w:tc>
      </w:tr>
      <w:tr w14:paraId="5FD8A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0" w:type="pct"/>
            <w:vMerge w:val="continue"/>
            <w:tcBorders>
              <w:left w:val="nil"/>
              <w:bottom w:val="nil"/>
              <w:right w:val="nil"/>
            </w:tcBorders>
            <w:vAlign w:val="center"/>
          </w:tcPr>
          <w:p w14:paraId="37ADB412">
            <w:pPr>
              <w:jc w:val="center"/>
              <w:rPr>
                <w:rFonts w:hint="default" w:ascii="Times New Roman" w:hAnsi="Times New Roman" w:cs="Times New Roman"/>
                <w:color w:val="auto"/>
                <w:vertAlign w:val="baseline"/>
              </w:rPr>
            </w:pPr>
          </w:p>
        </w:tc>
        <w:tc>
          <w:tcPr>
            <w:tcW w:w="1300" w:type="pct"/>
            <w:tcBorders>
              <w:top w:val="nil"/>
              <w:left w:val="nil"/>
              <w:bottom w:val="nil"/>
              <w:right w:val="nil"/>
            </w:tcBorders>
            <w:vAlign w:val="center"/>
          </w:tcPr>
          <w:p w14:paraId="59EB5DBC">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XGBoost</w:t>
            </w:r>
          </w:p>
        </w:tc>
        <w:tc>
          <w:tcPr>
            <w:tcW w:w="1771" w:type="pct"/>
            <w:tcBorders>
              <w:top w:val="nil"/>
              <w:left w:val="nil"/>
              <w:bottom w:val="nil"/>
              <w:right w:val="nil"/>
            </w:tcBorders>
            <w:vAlign w:val="center"/>
          </w:tcPr>
          <w:p w14:paraId="20E735F1">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财务变量+文本特征</w:t>
            </w:r>
          </w:p>
        </w:tc>
        <w:tc>
          <w:tcPr>
            <w:tcW w:w="1087" w:type="pct"/>
            <w:tcBorders>
              <w:top w:val="nil"/>
              <w:left w:val="nil"/>
              <w:bottom w:val="nil"/>
              <w:right w:val="nil"/>
            </w:tcBorders>
            <w:vAlign w:val="center"/>
          </w:tcPr>
          <w:p w14:paraId="61598B5B">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H2对比</w:t>
            </w:r>
          </w:p>
        </w:tc>
      </w:tr>
      <w:tr w14:paraId="4BCF5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0" w:type="pct"/>
            <w:vMerge w:val="restart"/>
            <w:tcBorders>
              <w:top w:val="nil"/>
              <w:left w:val="nil"/>
              <w:right w:val="nil"/>
            </w:tcBorders>
            <w:vAlign w:val="center"/>
          </w:tcPr>
          <w:p w14:paraId="34A565DC">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稳健性</w:t>
            </w:r>
          </w:p>
        </w:tc>
        <w:tc>
          <w:tcPr>
            <w:tcW w:w="1300" w:type="pct"/>
            <w:tcBorders>
              <w:top w:val="nil"/>
              <w:left w:val="nil"/>
              <w:bottom w:val="nil"/>
              <w:right w:val="nil"/>
            </w:tcBorders>
            <w:vAlign w:val="center"/>
          </w:tcPr>
          <w:p w14:paraId="45FE0CA2">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Firth</w:t>
            </w:r>
            <w:r>
              <w:rPr>
                <w:rFonts w:hint="default" w:ascii="Times New Roman" w:hAnsi="Times New Roman" w:cs="Times New Roman"/>
                <w:color w:val="auto"/>
                <w:kern w:val="2"/>
                <w:sz w:val="21"/>
                <w:szCs w:val="24"/>
                <w:lang w:val="en-US" w:eastAsia="zh-CN" w:bidi="ar-SA"/>
              </w:rPr>
              <w:t xml:space="preserve"> </w:t>
            </w:r>
            <w:r>
              <w:rPr>
                <w:rFonts w:hint="default" w:ascii="Times New Roman" w:hAnsi="Times New Roman" w:cs="Times New Roman" w:eastAsiaTheme="minorEastAsia"/>
                <w:color w:val="auto"/>
                <w:kern w:val="2"/>
                <w:sz w:val="21"/>
                <w:szCs w:val="24"/>
                <w:lang w:val="en-US" w:eastAsia="zh-CN" w:bidi="ar-SA"/>
              </w:rPr>
              <w:t>Logit</w:t>
            </w:r>
          </w:p>
        </w:tc>
        <w:tc>
          <w:tcPr>
            <w:tcW w:w="1771" w:type="pct"/>
            <w:tcBorders>
              <w:top w:val="nil"/>
              <w:left w:val="nil"/>
              <w:bottom w:val="nil"/>
              <w:right w:val="nil"/>
            </w:tcBorders>
            <w:vAlign w:val="center"/>
          </w:tcPr>
          <w:p w14:paraId="6BB9B2D4">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IA_Text+控制变量</w:t>
            </w:r>
          </w:p>
        </w:tc>
        <w:tc>
          <w:tcPr>
            <w:tcW w:w="1087" w:type="pct"/>
            <w:tcBorders>
              <w:top w:val="nil"/>
              <w:left w:val="nil"/>
              <w:bottom w:val="nil"/>
              <w:right w:val="nil"/>
            </w:tcBorders>
            <w:vAlign w:val="center"/>
          </w:tcPr>
          <w:p w14:paraId="5E311B4D">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H1稳健性</w:t>
            </w:r>
          </w:p>
        </w:tc>
      </w:tr>
      <w:tr w14:paraId="43D44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0" w:type="pct"/>
            <w:vMerge w:val="continue"/>
            <w:tcBorders>
              <w:left w:val="nil"/>
              <w:bottom w:val="single" w:color="auto" w:sz="12" w:space="0"/>
              <w:right w:val="nil"/>
            </w:tcBorders>
            <w:vAlign w:val="center"/>
          </w:tcPr>
          <w:p w14:paraId="0B97B3E9">
            <w:pPr>
              <w:jc w:val="center"/>
              <w:rPr>
                <w:rFonts w:hint="default" w:ascii="Times New Roman" w:hAnsi="Times New Roman" w:cs="Times New Roman"/>
                <w:color w:val="auto"/>
                <w:vertAlign w:val="baseline"/>
              </w:rPr>
            </w:pPr>
          </w:p>
        </w:tc>
        <w:tc>
          <w:tcPr>
            <w:tcW w:w="1300" w:type="pct"/>
            <w:tcBorders>
              <w:top w:val="nil"/>
              <w:left w:val="nil"/>
              <w:bottom w:val="single" w:color="auto" w:sz="12" w:space="0"/>
              <w:right w:val="nil"/>
            </w:tcBorders>
            <w:vAlign w:val="center"/>
          </w:tcPr>
          <w:p w14:paraId="1CD42105">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BERT文本模型</w:t>
            </w:r>
          </w:p>
        </w:tc>
        <w:tc>
          <w:tcPr>
            <w:tcW w:w="1771" w:type="pct"/>
            <w:tcBorders>
              <w:top w:val="nil"/>
              <w:left w:val="nil"/>
              <w:bottom w:val="single" w:color="auto" w:sz="12" w:space="0"/>
              <w:right w:val="nil"/>
            </w:tcBorders>
            <w:vAlign w:val="center"/>
          </w:tcPr>
          <w:p w14:paraId="655B9750">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深度学习文本特征</w:t>
            </w:r>
          </w:p>
        </w:tc>
        <w:tc>
          <w:tcPr>
            <w:tcW w:w="1087" w:type="pct"/>
            <w:tcBorders>
              <w:top w:val="nil"/>
              <w:left w:val="nil"/>
              <w:bottom w:val="single" w:color="auto" w:sz="12" w:space="0"/>
              <w:right w:val="nil"/>
            </w:tcBorders>
            <w:vAlign w:val="center"/>
          </w:tcPr>
          <w:p w14:paraId="6B4DD6D8">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H2替代测度</w:t>
            </w:r>
          </w:p>
        </w:tc>
      </w:tr>
    </w:tbl>
    <w:p w14:paraId="09773E27">
      <w:pPr>
        <w:rPr>
          <w:rFonts w:hint="default" w:ascii="Times New Roman" w:hAnsi="Times New Roman" w:cs="Times New Roman"/>
          <w:color w:val="auto"/>
        </w:rPr>
      </w:pPr>
    </w:p>
    <w:p w14:paraId="417ECF69">
      <w:pPr>
        <w:ind w:firstLine="420" w:firstLineChars="200"/>
        <w:rPr>
          <w:rFonts w:hint="default" w:ascii="Times New Roman" w:hAnsi="Times New Roman" w:cs="Times New Roman"/>
          <w:color w:val="auto"/>
        </w:rPr>
      </w:pPr>
      <w:r>
        <w:rPr>
          <w:rFonts w:hint="default" w:ascii="Times New Roman" w:hAnsi="Times New Roman" w:cs="Times New Roman"/>
          <w:color w:val="auto"/>
        </w:rPr>
        <w:t>表</w:t>
      </w:r>
      <w:r>
        <w:rPr>
          <w:rFonts w:hint="default" w:ascii="Times New Roman" w:hAnsi="Times New Roman" w:cs="Times New Roman"/>
          <w:color w:val="auto"/>
          <w:lang w:val="en-US" w:eastAsia="zh-CN"/>
        </w:rPr>
        <w:t>3</w:t>
      </w:r>
      <w:r>
        <w:rPr>
          <w:rFonts w:hint="default" w:ascii="Times New Roman" w:hAnsi="Times New Roman" w:cs="Times New Roman"/>
          <w:color w:val="auto"/>
        </w:rPr>
        <w:t>展示了本研究采用的多元化模型体系。因果推断模型主要用于检验H1，关注信息不对称对破产风险的净效应；预测比较模型重点验证H2，通过基准模型与加入文本特征的机器学习模型对比，评估文本信息的增量预测能力；稳健性检验模型则确保研究结论在不同方法和测度下的可靠性。这种多模型交叉验证的设计极大增强了研究结论的说服力。</w:t>
      </w:r>
    </w:p>
    <w:p w14:paraId="1C396FE4">
      <w:pPr>
        <w:rPr>
          <w:rFonts w:hint="default" w:ascii="Times New Roman" w:hAnsi="Times New Roman" w:cs="Times New Roman"/>
          <w:color w:val="auto"/>
        </w:rPr>
      </w:pPr>
    </w:p>
    <w:p w14:paraId="4642B3C6">
      <w:pPr>
        <w:rPr>
          <w:rFonts w:hint="default" w:ascii="Times New Roman" w:hAnsi="Times New Roman" w:cs="Times New Roman"/>
          <w:color w:val="auto"/>
        </w:rPr>
      </w:pPr>
    </w:p>
    <w:p w14:paraId="18F65775">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eastAsia="黑体" w:cs="Times New Roman"/>
          <w:b/>
          <w:bCs/>
          <w:color w:val="auto"/>
          <w:sz w:val="32"/>
          <w:szCs w:val="32"/>
          <w:lang w:val="en-US" w:eastAsia="zh-CN"/>
        </w:rPr>
      </w:pPr>
      <w:bookmarkStart w:id="23" w:name="_Toc1182"/>
      <w:r>
        <w:rPr>
          <w:rFonts w:hint="default" w:ascii="Times New Roman" w:hAnsi="Times New Roman" w:eastAsia="黑体" w:cs="Times New Roman"/>
          <w:b/>
          <w:bCs/>
          <w:color w:val="auto"/>
          <w:sz w:val="32"/>
          <w:szCs w:val="32"/>
          <w:lang w:val="en-US" w:eastAsia="zh-CN"/>
        </w:rPr>
        <w:t>5.实证结果与分析</w:t>
      </w:r>
      <w:bookmarkEnd w:id="23"/>
    </w:p>
    <w:p w14:paraId="54498D1D">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lang w:val="en-US" w:eastAsia="zh-CN"/>
        </w:rPr>
      </w:pPr>
      <w:bookmarkStart w:id="24" w:name="_Toc12415"/>
      <w:r>
        <w:rPr>
          <w:rFonts w:hint="default" w:ascii="Times New Roman" w:hAnsi="Times New Roman" w:eastAsia="黑体" w:cs="Times New Roman"/>
          <w:color w:val="auto"/>
          <w:sz w:val="28"/>
          <w:szCs w:val="28"/>
          <w:lang w:val="en-US" w:eastAsia="zh-CN"/>
        </w:rPr>
        <w:t>5.1</w:t>
      </w:r>
      <w:r>
        <w:rPr>
          <w:rFonts w:hint="default" w:ascii="Times New Roman" w:hAnsi="Times New Roman" w:eastAsia="黑体" w:cs="Times New Roman"/>
          <w:color w:val="auto"/>
          <w:sz w:val="28"/>
          <w:szCs w:val="28"/>
          <w:lang w:val="en-US" w:eastAsia="zh-CN"/>
        </w:rPr>
        <w:t>描述性统计与相关性分析</w:t>
      </w:r>
      <w:bookmarkEnd w:id="24"/>
    </w:p>
    <w:p w14:paraId="211D184D">
      <w:pPr>
        <w:ind w:firstLine="420" w:firstLineChars="200"/>
        <w:rPr>
          <w:rFonts w:hint="default" w:ascii="Times New Roman" w:hAnsi="Times New Roman" w:cs="Times New Roman"/>
          <w:color w:val="auto"/>
          <w:lang w:eastAsia="zh-CN"/>
        </w:rPr>
      </w:pPr>
      <w:r>
        <w:rPr>
          <w:rFonts w:hint="default" w:ascii="Times New Roman" w:hAnsi="Times New Roman" w:cs="Times New Roman"/>
          <w:color w:val="auto"/>
        </w:rPr>
        <w:t>本研究对主要变量进行了全面的描述性统计分析，结果如表</w:t>
      </w:r>
      <w:r>
        <w:rPr>
          <w:rFonts w:hint="default" w:ascii="Times New Roman" w:hAnsi="Times New Roman" w:cs="Times New Roman"/>
          <w:color w:val="auto"/>
          <w:lang w:val="en-US" w:eastAsia="zh-CN"/>
        </w:rPr>
        <w:t>4</w:t>
      </w:r>
      <w:r>
        <w:rPr>
          <w:rFonts w:hint="default" w:ascii="Times New Roman" w:hAnsi="Times New Roman" w:cs="Times New Roman"/>
          <w:color w:val="auto"/>
        </w:rPr>
        <w:t>所示</w:t>
      </w:r>
      <w:r>
        <w:rPr>
          <w:rFonts w:hint="default" w:ascii="Times New Roman" w:hAnsi="Times New Roman" w:cs="Times New Roman"/>
          <w:color w:val="auto"/>
          <w:lang w:eastAsia="zh-CN"/>
        </w:rPr>
        <w:t>。</w:t>
      </w:r>
    </w:p>
    <w:p w14:paraId="3A0CC390">
      <w:pPr>
        <w:jc w:val="center"/>
        <w:rPr>
          <w:rFonts w:hint="default" w:ascii="Times New Roman" w:hAnsi="Times New Roman" w:cs="Times New Roman"/>
          <w:color w:val="auto"/>
          <w:lang w:eastAsia="zh-CN"/>
        </w:rPr>
      </w:pPr>
      <w:r>
        <w:rPr>
          <w:rFonts w:hint="default" w:ascii="Times New Roman" w:hAnsi="Times New Roman" w:cs="Times New Roman"/>
          <w:color w:val="auto"/>
          <w:lang w:eastAsia="zh-CN"/>
        </w:rPr>
        <w:t>表</w:t>
      </w:r>
      <w:r>
        <w:rPr>
          <w:rFonts w:hint="default" w:ascii="Times New Roman" w:hAnsi="Times New Roman" w:cs="Times New Roman"/>
          <w:color w:val="auto"/>
          <w:lang w:val="en-US" w:eastAsia="zh-CN"/>
        </w:rPr>
        <w:t xml:space="preserve">4 </w:t>
      </w:r>
      <w:r>
        <w:rPr>
          <w:rFonts w:hint="default" w:ascii="Times New Roman" w:hAnsi="Times New Roman" w:cs="Times New Roman"/>
          <w:color w:val="auto"/>
          <w:lang w:eastAsia="zh-CN"/>
        </w:rPr>
        <w:t>主要变量描述性统计</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27"/>
        <w:gridCol w:w="1056"/>
        <w:gridCol w:w="725"/>
        <w:gridCol w:w="621"/>
        <w:gridCol w:w="725"/>
        <w:gridCol w:w="979"/>
        <w:gridCol w:w="725"/>
        <w:gridCol w:w="979"/>
        <w:gridCol w:w="739"/>
        <w:gridCol w:w="746"/>
      </w:tblGrid>
      <w:tr w14:paraId="4B4F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9" w:type="pct"/>
            <w:tcBorders>
              <w:top w:val="single" w:color="auto" w:sz="12" w:space="0"/>
              <w:left w:val="nil"/>
              <w:bottom w:val="single" w:color="auto" w:sz="4" w:space="0"/>
              <w:right w:val="nil"/>
            </w:tcBorders>
            <w:vAlign w:val="center"/>
          </w:tcPr>
          <w:p w14:paraId="75BDC224">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变量名称</w:t>
            </w:r>
          </w:p>
        </w:tc>
        <w:tc>
          <w:tcPr>
            <w:tcW w:w="619" w:type="pct"/>
            <w:tcBorders>
              <w:top w:val="single" w:color="auto" w:sz="12" w:space="0"/>
              <w:left w:val="nil"/>
              <w:bottom w:val="single" w:color="auto" w:sz="4" w:space="0"/>
              <w:right w:val="nil"/>
            </w:tcBorders>
            <w:vAlign w:val="center"/>
          </w:tcPr>
          <w:p w14:paraId="3C165B09">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符号</w:t>
            </w:r>
          </w:p>
        </w:tc>
        <w:tc>
          <w:tcPr>
            <w:tcW w:w="425" w:type="pct"/>
            <w:tcBorders>
              <w:top w:val="single" w:color="auto" w:sz="12" w:space="0"/>
              <w:left w:val="nil"/>
              <w:bottom w:val="single" w:color="auto" w:sz="4" w:space="0"/>
              <w:right w:val="nil"/>
            </w:tcBorders>
            <w:vAlign w:val="center"/>
          </w:tcPr>
          <w:p w14:paraId="1C4D5A3A">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观测值</w:t>
            </w:r>
          </w:p>
        </w:tc>
        <w:tc>
          <w:tcPr>
            <w:tcW w:w="364" w:type="pct"/>
            <w:tcBorders>
              <w:top w:val="single" w:color="auto" w:sz="12" w:space="0"/>
              <w:left w:val="nil"/>
              <w:bottom w:val="single" w:color="auto" w:sz="4" w:space="0"/>
              <w:right w:val="nil"/>
            </w:tcBorders>
            <w:vAlign w:val="center"/>
          </w:tcPr>
          <w:p w14:paraId="6B0D6E75">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均值</w:t>
            </w:r>
          </w:p>
        </w:tc>
        <w:tc>
          <w:tcPr>
            <w:tcW w:w="425" w:type="pct"/>
            <w:tcBorders>
              <w:top w:val="single" w:color="auto" w:sz="12" w:space="0"/>
              <w:left w:val="nil"/>
              <w:bottom w:val="single" w:color="auto" w:sz="4" w:space="0"/>
              <w:right w:val="nil"/>
            </w:tcBorders>
            <w:vAlign w:val="center"/>
          </w:tcPr>
          <w:p w14:paraId="65B9F61F">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标准差</w:t>
            </w:r>
          </w:p>
        </w:tc>
        <w:tc>
          <w:tcPr>
            <w:tcW w:w="574" w:type="pct"/>
            <w:tcBorders>
              <w:top w:val="single" w:color="auto" w:sz="12" w:space="0"/>
              <w:left w:val="nil"/>
              <w:bottom w:val="single" w:color="auto" w:sz="4" w:space="0"/>
              <w:right w:val="nil"/>
            </w:tcBorders>
            <w:vAlign w:val="center"/>
          </w:tcPr>
          <w:p w14:paraId="3582495A">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25%分位数</w:t>
            </w:r>
          </w:p>
        </w:tc>
        <w:tc>
          <w:tcPr>
            <w:tcW w:w="425" w:type="pct"/>
            <w:tcBorders>
              <w:top w:val="single" w:color="auto" w:sz="12" w:space="0"/>
              <w:left w:val="nil"/>
              <w:bottom w:val="single" w:color="auto" w:sz="4" w:space="0"/>
              <w:right w:val="nil"/>
            </w:tcBorders>
            <w:vAlign w:val="center"/>
          </w:tcPr>
          <w:p w14:paraId="3FE35255">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中位数</w:t>
            </w:r>
          </w:p>
        </w:tc>
        <w:tc>
          <w:tcPr>
            <w:tcW w:w="574" w:type="pct"/>
            <w:tcBorders>
              <w:top w:val="single" w:color="auto" w:sz="12" w:space="0"/>
              <w:left w:val="nil"/>
              <w:bottom w:val="single" w:color="auto" w:sz="4" w:space="0"/>
              <w:right w:val="nil"/>
            </w:tcBorders>
            <w:vAlign w:val="center"/>
          </w:tcPr>
          <w:p w14:paraId="4A825DD9">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75%分位数</w:t>
            </w:r>
          </w:p>
        </w:tc>
        <w:tc>
          <w:tcPr>
            <w:tcW w:w="433" w:type="pct"/>
            <w:tcBorders>
              <w:top w:val="single" w:color="auto" w:sz="12" w:space="0"/>
              <w:left w:val="nil"/>
              <w:bottom w:val="single" w:color="auto" w:sz="4" w:space="0"/>
              <w:right w:val="nil"/>
            </w:tcBorders>
            <w:vAlign w:val="center"/>
          </w:tcPr>
          <w:p w14:paraId="70481AA0">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最小值</w:t>
            </w:r>
          </w:p>
        </w:tc>
        <w:tc>
          <w:tcPr>
            <w:tcW w:w="437" w:type="pct"/>
            <w:tcBorders>
              <w:top w:val="single" w:color="auto" w:sz="12" w:space="0"/>
              <w:left w:val="nil"/>
              <w:bottom w:val="single" w:color="auto" w:sz="4" w:space="0"/>
              <w:right w:val="nil"/>
            </w:tcBorders>
            <w:vAlign w:val="center"/>
          </w:tcPr>
          <w:p w14:paraId="52ECBE18">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最大值</w:t>
            </w:r>
          </w:p>
        </w:tc>
      </w:tr>
      <w:tr w14:paraId="7C8A3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9" w:type="pct"/>
            <w:tcBorders>
              <w:top w:val="single" w:color="auto" w:sz="4" w:space="0"/>
              <w:left w:val="nil"/>
              <w:bottom w:val="nil"/>
              <w:right w:val="nil"/>
            </w:tcBorders>
            <w:vAlign w:val="center"/>
          </w:tcPr>
          <w:p w14:paraId="3AA6967C">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破产虚拟变量</w:t>
            </w:r>
          </w:p>
        </w:tc>
        <w:tc>
          <w:tcPr>
            <w:tcW w:w="619" w:type="pct"/>
            <w:tcBorders>
              <w:top w:val="single" w:color="auto" w:sz="4" w:space="0"/>
              <w:left w:val="nil"/>
              <w:bottom w:val="nil"/>
              <w:right w:val="nil"/>
            </w:tcBorders>
            <w:vAlign w:val="center"/>
          </w:tcPr>
          <w:p w14:paraId="629F9212">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Bankruptcy</w:t>
            </w:r>
          </w:p>
        </w:tc>
        <w:tc>
          <w:tcPr>
            <w:tcW w:w="425" w:type="pct"/>
            <w:tcBorders>
              <w:top w:val="single" w:color="auto" w:sz="4" w:space="0"/>
              <w:left w:val="nil"/>
              <w:bottom w:val="nil"/>
              <w:right w:val="nil"/>
            </w:tcBorders>
            <w:vAlign w:val="center"/>
          </w:tcPr>
          <w:p w14:paraId="04327E6D">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8,740</w:t>
            </w:r>
          </w:p>
        </w:tc>
        <w:tc>
          <w:tcPr>
            <w:tcW w:w="364" w:type="pct"/>
            <w:tcBorders>
              <w:top w:val="single" w:color="auto" w:sz="4" w:space="0"/>
              <w:left w:val="nil"/>
              <w:bottom w:val="nil"/>
              <w:right w:val="nil"/>
            </w:tcBorders>
            <w:vAlign w:val="center"/>
          </w:tcPr>
          <w:p w14:paraId="20C6D253">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0.061</w:t>
            </w:r>
          </w:p>
        </w:tc>
        <w:tc>
          <w:tcPr>
            <w:tcW w:w="425" w:type="pct"/>
            <w:tcBorders>
              <w:top w:val="single" w:color="auto" w:sz="4" w:space="0"/>
              <w:left w:val="nil"/>
              <w:bottom w:val="nil"/>
              <w:right w:val="nil"/>
            </w:tcBorders>
            <w:vAlign w:val="center"/>
          </w:tcPr>
          <w:p w14:paraId="0D7B8CE8">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0.240</w:t>
            </w:r>
          </w:p>
        </w:tc>
        <w:tc>
          <w:tcPr>
            <w:tcW w:w="574" w:type="pct"/>
            <w:tcBorders>
              <w:top w:val="single" w:color="auto" w:sz="4" w:space="0"/>
              <w:left w:val="nil"/>
              <w:bottom w:val="nil"/>
              <w:right w:val="nil"/>
            </w:tcBorders>
            <w:vAlign w:val="center"/>
          </w:tcPr>
          <w:p w14:paraId="427FEBF7">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0.000</w:t>
            </w:r>
          </w:p>
        </w:tc>
        <w:tc>
          <w:tcPr>
            <w:tcW w:w="425" w:type="pct"/>
            <w:tcBorders>
              <w:top w:val="single" w:color="auto" w:sz="4" w:space="0"/>
              <w:left w:val="nil"/>
              <w:bottom w:val="nil"/>
              <w:right w:val="nil"/>
            </w:tcBorders>
            <w:vAlign w:val="center"/>
          </w:tcPr>
          <w:p w14:paraId="0A62D5FF">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0.000</w:t>
            </w:r>
          </w:p>
        </w:tc>
        <w:tc>
          <w:tcPr>
            <w:tcW w:w="574" w:type="pct"/>
            <w:tcBorders>
              <w:top w:val="single" w:color="auto" w:sz="4" w:space="0"/>
              <w:left w:val="nil"/>
              <w:bottom w:val="nil"/>
              <w:right w:val="nil"/>
            </w:tcBorders>
            <w:vAlign w:val="center"/>
          </w:tcPr>
          <w:p w14:paraId="42831FB9">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0.000</w:t>
            </w:r>
          </w:p>
        </w:tc>
        <w:tc>
          <w:tcPr>
            <w:tcW w:w="433" w:type="pct"/>
            <w:tcBorders>
              <w:top w:val="single" w:color="auto" w:sz="4" w:space="0"/>
              <w:left w:val="nil"/>
              <w:bottom w:val="nil"/>
              <w:right w:val="nil"/>
            </w:tcBorders>
            <w:vAlign w:val="center"/>
          </w:tcPr>
          <w:p w14:paraId="2E31A02C">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0.000</w:t>
            </w:r>
          </w:p>
        </w:tc>
        <w:tc>
          <w:tcPr>
            <w:tcW w:w="437" w:type="pct"/>
            <w:tcBorders>
              <w:top w:val="single" w:color="auto" w:sz="4" w:space="0"/>
              <w:left w:val="nil"/>
              <w:bottom w:val="nil"/>
              <w:right w:val="nil"/>
            </w:tcBorders>
            <w:vAlign w:val="center"/>
          </w:tcPr>
          <w:p w14:paraId="67F517F7">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1.000</w:t>
            </w:r>
          </w:p>
        </w:tc>
      </w:tr>
      <w:tr w14:paraId="64BDA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9" w:type="pct"/>
            <w:tcBorders>
              <w:top w:val="nil"/>
              <w:left w:val="nil"/>
              <w:bottom w:val="nil"/>
              <w:right w:val="nil"/>
            </w:tcBorders>
            <w:vAlign w:val="center"/>
          </w:tcPr>
          <w:p w14:paraId="683C322B">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违约距离</w:t>
            </w:r>
          </w:p>
        </w:tc>
        <w:tc>
          <w:tcPr>
            <w:tcW w:w="619" w:type="pct"/>
            <w:tcBorders>
              <w:top w:val="nil"/>
              <w:left w:val="nil"/>
              <w:bottom w:val="nil"/>
              <w:right w:val="nil"/>
            </w:tcBorders>
            <w:vAlign w:val="center"/>
          </w:tcPr>
          <w:p w14:paraId="587A93E6">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DD</w:t>
            </w:r>
          </w:p>
        </w:tc>
        <w:tc>
          <w:tcPr>
            <w:tcW w:w="425" w:type="pct"/>
            <w:tcBorders>
              <w:top w:val="nil"/>
              <w:left w:val="nil"/>
              <w:bottom w:val="nil"/>
              <w:right w:val="nil"/>
            </w:tcBorders>
            <w:vAlign w:val="center"/>
          </w:tcPr>
          <w:p w14:paraId="311BD08D">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8,740</w:t>
            </w:r>
          </w:p>
        </w:tc>
        <w:tc>
          <w:tcPr>
            <w:tcW w:w="364" w:type="pct"/>
            <w:tcBorders>
              <w:top w:val="nil"/>
              <w:left w:val="nil"/>
              <w:bottom w:val="nil"/>
              <w:right w:val="nil"/>
            </w:tcBorders>
            <w:vAlign w:val="center"/>
          </w:tcPr>
          <w:p w14:paraId="1286D88B">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2.345</w:t>
            </w:r>
          </w:p>
        </w:tc>
        <w:tc>
          <w:tcPr>
            <w:tcW w:w="425" w:type="pct"/>
            <w:tcBorders>
              <w:top w:val="nil"/>
              <w:left w:val="nil"/>
              <w:bottom w:val="nil"/>
              <w:right w:val="nil"/>
            </w:tcBorders>
            <w:vAlign w:val="center"/>
          </w:tcPr>
          <w:p w14:paraId="2AF5D646">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1.876</w:t>
            </w:r>
          </w:p>
        </w:tc>
        <w:tc>
          <w:tcPr>
            <w:tcW w:w="574" w:type="pct"/>
            <w:tcBorders>
              <w:top w:val="nil"/>
              <w:left w:val="nil"/>
              <w:bottom w:val="nil"/>
              <w:right w:val="nil"/>
            </w:tcBorders>
            <w:vAlign w:val="center"/>
          </w:tcPr>
          <w:p w14:paraId="46210D81">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1.123</w:t>
            </w:r>
          </w:p>
        </w:tc>
        <w:tc>
          <w:tcPr>
            <w:tcW w:w="425" w:type="pct"/>
            <w:tcBorders>
              <w:top w:val="nil"/>
              <w:left w:val="nil"/>
              <w:bottom w:val="nil"/>
              <w:right w:val="nil"/>
            </w:tcBorders>
            <w:vAlign w:val="center"/>
          </w:tcPr>
          <w:p w14:paraId="5B00652E">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2.015</w:t>
            </w:r>
          </w:p>
        </w:tc>
        <w:tc>
          <w:tcPr>
            <w:tcW w:w="574" w:type="pct"/>
            <w:tcBorders>
              <w:top w:val="nil"/>
              <w:left w:val="nil"/>
              <w:bottom w:val="nil"/>
              <w:right w:val="nil"/>
            </w:tcBorders>
            <w:vAlign w:val="center"/>
          </w:tcPr>
          <w:p w14:paraId="03ACB4C1">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3.278</w:t>
            </w:r>
          </w:p>
        </w:tc>
        <w:tc>
          <w:tcPr>
            <w:tcW w:w="433" w:type="pct"/>
            <w:tcBorders>
              <w:top w:val="nil"/>
              <w:left w:val="nil"/>
              <w:bottom w:val="nil"/>
              <w:right w:val="nil"/>
            </w:tcBorders>
            <w:vAlign w:val="center"/>
          </w:tcPr>
          <w:p w14:paraId="0DA72FC8">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-1.234</w:t>
            </w:r>
          </w:p>
        </w:tc>
        <w:tc>
          <w:tcPr>
            <w:tcW w:w="437" w:type="pct"/>
            <w:tcBorders>
              <w:top w:val="nil"/>
              <w:left w:val="nil"/>
              <w:bottom w:val="nil"/>
              <w:right w:val="nil"/>
            </w:tcBorders>
            <w:vAlign w:val="center"/>
          </w:tcPr>
          <w:p w14:paraId="048AA3BD">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8.912</w:t>
            </w:r>
          </w:p>
        </w:tc>
      </w:tr>
      <w:tr w14:paraId="720C7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9" w:type="pct"/>
            <w:tcBorders>
              <w:top w:val="nil"/>
              <w:left w:val="nil"/>
              <w:bottom w:val="nil"/>
              <w:right w:val="nil"/>
            </w:tcBorders>
            <w:vAlign w:val="center"/>
          </w:tcPr>
          <w:p w14:paraId="2E389DA3">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信息不对称指数</w:t>
            </w:r>
          </w:p>
        </w:tc>
        <w:tc>
          <w:tcPr>
            <w:tcW w:w="619" w:type="pct"/>
            <w:tcBorders>
              <w:top w:val="nil"/>
              <w:left w:val="nil"/>
              <w:bottom w:val="nil"/>
              <w:right w:val="nil"/>
            </w:tcBorders>
            <w:vAlign w:val="center"/>
          </w:tcPr>
          <w:p w14:paraId="1F4CBD2E">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IA_Text</w:t>
            </w:r>
          </w:p>
        </w:tc>
        <w:tc>
          <w:tcPr>
            <w:tcW w:w="425" w:type="pct"/>
            <w:tcBorders>
              <w:top w:val="nil"/>
              <w:left w:val="nil"/>
              <w:bottom w:val="nil"/>
              <w:right w:val="nil"/>
            </w:tcBorders>
            <w:vAlign w:val="center"/>
          </w:tcPr>
          <w:p w14:paraId="7D66780D">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8,740</w:t>
            </w:r>
          </w:p>
        </w:tc>
        <w:tc>
          <w:tcPr>
            <w:tcW w:w="364" w:type="pct"/>
            <w:tcBorders>
              <w:top w:val="nil"/>
              <w:left w:val="nil"/>
              <w:bottom w:val="nil"/>
              <w:right w:val="nil"/>
            </w:tcBorders>
            <w:vAlign w:val="center"/>
          </w:tcPr>
          <w:p w14:paraId="55C4CCA2">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0.328</w:t>
            </w:r>
          </w:p>
        </w:tc>
        <w:tc>
          <w:tcPr>
            <w:tcW w:w="425" w:type="pct"/>
            <w:tcBorders>
              <w:top w:val="nil"/>
              <w:left w:val="nil"/>
              <w:bottom w:val="nil"/>
              <w:right w:val="nil"/>
            </w:tcBorders>
            <w:vAlign w:val="center"/>
          </w:tcPr>
          <w:p w14:paraId="1C7DCD92">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0.145</w:t>
            </w:r>
          </w:p>
        </w:tc>
        <w:tc>
          <w:tcPr>
            <w:tcW w:w="574" w:type="pct"/>
            <w:tcBorders>
              <w:top w:val="nil"/>
              <w:left w:val="nil"/>
              <w:bottom w:val="nil"/>
              <w:right w:val="nil"/>
            </w:tcBorders>
            <w:vAlign w:val="center"/>
          </w:tcPr>
          <w:p w14:paraId="6642F8C2">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0.218</w:t>
            </w:r>
          </w:p>
        </w:tc>
        <w:tc>
          <w:tcPr>
            <w:tcW w:w="425" w:type="pct"/>
            <w:tcBorders>
              <w:top w:val="nil"/>
              <w:left w:val="nil"/>
              <w:bottom w:val="nil"/>
              <w:right w:val="nil"/>
            </w:tcBorders>
            <w:vAlign w:val="center"/>
          </w:tcPr>
          <w:p w14:paraId="390B1B84">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0.305</w:t>
            </w:r>
          </w:p>
        </w:tc>
        <w:tc>
          <w:tcPr>
            <w:tcW w:w="574" w:type="pct"/>
            <w:tcBorders>
              <w:top w:val="nil"/>
              <w:left w:val="nil"/>
              <w:bottom w:val="nil"/>
              <w:right w:val="nil"/>
            </w:tcBorders>
            <w:vAlign w:val="center"/>
          </w:tcPr>
          <w:p w14:paraId="3A81F794">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0.421</w:t>
            </w:r>
          </w:p>
        </w:tc>
        <w:tc>
          <w:tcPr>
            <w:tcW w:w="433" w:type="pct"/>
            <w:tcBorders>
              <w:top w:val="nil"/>
              <w:left w:val="nil"/>
              <w:bottom w:val="nil"/>
              <w:right w:val="nil"/>
            </w:tcBorders>
            <w:vAlign w:val="center"/>
          </w:tcPr>
          <w:p w14:paraId="4DF53D61">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0.052</w:t>
            </w:r>
          </w:p>
        </w:tc>
        <w:tc>
          <w:tcPr>
            <w:tcW w:w="437" w:type="pct"/>
            <w:tcBorders>
              <w:top w:val="nil"/>
              <w:left w:val="nil"/>
              <w:bottom w:val="nil"/>
              <w:right w:val="nil"/>
            </w:tcBorders>
            <w:vAlign w:val="center"/>
          </w:tcPr>
          <w:p w14:paraId="72FF1623">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0.893</w:t>
            </w:r>
          </w:p>
        </w:tc>
      </w:tr>
      <w:tr w14:paraId="7A3A9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9" w:type="pct"/>
            <w:tcBorders>
              <w:top w:val="nil"/>
              <w:left w:val="nil"/>
              <w:bottom w:val="nil"/>
              <w:right w:val="nil"/>
            </w:tcBorders>
            <w:vAlign w:val="center"/>
          </w:tcPr>
          <w:p w14:paraId="7EBCF1A5">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公司规模</w:t>
            </w:r>
          </w:p>
        </w:tc>
        <w:tc>
          <w:tcPr>
            <w:tcW w:w="619" w:type="pct"/>
            <w:tcBorders>
              <w:top w:val="nil"/>
              <w:left w:val="nil"/>
              <w:bottom w:val="nil"/>
              <w:right w:val="nil"/>
            </w:tcBorders>
            <w:vAlign w:val="center"/>
          </w:tcPr>
          <w:p w14:paraId="638B0385">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Size</w:t>
            </w:r>
          </w:p>
        </w:tc>
        <w:tc>
          <w:tcPr>
            <w:tcW w:w="425" w:type="pct"/>
            <w:tcBorders>
              <w:top w:val="nil"/>
              <w:left w:val="nil"/>
              <w:bottom w:val="nil"/>
              <w:right w:val="nil"/>
            </w:tcBorders>
            <w:vAlign w:val="center"/>
          </w:tcPr>
          <w:p w14:paraId="4C7FCA6C">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8,740</w:t>
            </w:r>
          </w:p>
        </w:tc>
        <w:tc>
          <w:tcPr>
            <w:tcW w:w="364" w:type="pct"/>
            <w:tcBorders>
              <w:top w:val="nil"/>
              <w:left w:val="nil"/>
              <w:bottom w:val="nil"/>
              <w:right w:val="nil"/>
            </w:tcBorders>
            <w:vAlign w:val="center"/>
          </w:tcPr>
          <w:p w14:paraId="5841B181">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7.892</w:t>
            </w:r>
          </w:p>
        </w:tc>
        <w:tc>
          <w:tcPr>
            <w:tcW w:w="425" w:type="pct"/>
            <w:tcBorders>
              <w:top w:val="nil"/>
              <w:left w:val="nil"/>
              <w:bottom w:val="nil"/>
              <w:right w:val="nil"/>
            </w:tcBorders>
            <w:vAlign w:val="center"/>
          </w:tcPr>
          <w:p w14:paraId="6246C591">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1.765</w:t>
            </w:r>
          </w:p>
        </w:tc>
        <w:tc>
          <w:tcPr>
            <w:tcW w:w="574" w:type="pct"/>
            <w:tcBorders>
              <w:top w:val="nil"/>
              <w:left w:val="nil"/>
              <w:bottom w:val="nil"/>
              <w:right w:val="nil"/>
            </w:tcBorders>
            <w:vAlign w:val="center"/>
          </w:tcPr>
          <w:p w14:paraId="7D20A87A">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6.723</w:t>
            </w:r>
          </w:p>
        </w:tc>
        <w:tc>
          <w:tcPr>
            <w:tcW w:w="425" w:type="pct"/>
            <w:tcBorders>
              <w:top w:val="nil"/>
              <w:left w:val="nil"/>
              <w:bottom w:val="nil"/>
              <w:right w:val="nil"/>
            </w:tcBorders>
            <w:vAlign w:val="center"/>
          </w:tcPr>
          <w:p w14:paraId="2FE9669F">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7.845</w:t>
            </w:r>
          </w:p>
        </w:tc>
        <w:tc>
          <w:tcPr>
            <w:tcW w:w="574" w:type="pct"/>
            <w:tcBorders>
              <w:top w:val="nil"/>
              <w:left w:val="nil"/>
              <w:bottom w:val="nil"/>
              <w:right w:val="nil"/>
            </w:tcBorders>
            <w:vAlign w:val="center"/>
          </w:tcPr>
          <w:p w14:paraId="19D9081A">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8.967</w:t>
            </w:r>
          </w:p>
        </w:tc>
        <w:tc>
          <w:tcPr>
            <w:tcW w:w="433" w:type="pct"/>
            <w:tcBorders>
              <w:top w:val="nil"/>
              <w:left w:val="nil"/>
              <w:bottom w:val="nil"/>
              <w:right w:val="nil"/>
            </w:tcBorders>
            <w:vAlign w:val="center"/>
          </w:tcPr>
          <w:p w14:paraId="6C6877E8">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4.123</w:t>
            </w:r>
          </w:p>
        </w:tc>
        <w:tc>
          <w:tcPr>
            <w:tcW w:w="437" w:type="pct"/>
            <w:tcBorders>
              <w:top w:val="nil"/>
              <w:left w:val="nil"/>
              <w:bottom w:val="nil"/>
              <w:right w:val="nil"/>
            </w:tcBorders>
            <w:vAlign w:val="center"/>
          </w:tcPr>
          <w:p w14:paraId="7F6AE3F8">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12.456</w:t>
            </w:r>
          </w:p>
        </w:tc>
      </w:tr>
      <w:tr w14:paraId="7909E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9" w:type="pct"/>
            <w:tcBorders>
              <w:top w:val="nil"/>
              <w:left w:val="nil"/>
              <w:bottom w:val="nil"/>
              <w:right w:val="nil"/>
            </w:tcBorders>
            <w:vAlign w:val="center"/>
          </w:tcPr>
          <w:p w14:paraId="70F240E7">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杠杆率</w:t>
            </w:r>
          </w:p>
        </w:tc>
        <w:tc>
          <w:tcPr>
            <w:tcW w:w="619" w:type="pct"/>
            <w:tcBorders>
              <w:top w:val="nil"/>
              <w:left w:val="nil"/>
              <w:bottom w:val="nil"/>
              <w:right w:val="nil"/>
            </w:tcBorders>
            <w:vAlign w:val="center"/>
          </w:tcPr>
          <w:p w14:paraId="4566E2FB">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Leverage</w:t>
            </w:r>
          </w:p>
        </w:tc>
        <w:tc>
          <w:tcPr>
            <w:tcW w:w="425" w:type="pct"/>
            <w:tcBorders>
              <w:top w:val="nil"/>
              <w:left w:val="nil"/>
              <w:bottom w:val="nil"/>
              <w:right w:val="nil"/>
            </w:tcBorders>
            <w:vAlign w:val="center"/>
          </w:tcPr>
          <w:p w14:paraId="4C019FC9">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8,740</w:t>
            </w:r>
          </w:p>
        </w:tc>
        <w:tc>
          <w:tcPr>
            <w:tcW w:w="364" w:type="pct"/>
            <w:tcBorders>
              <w:top w:val="nil"/>
              <w:left w:val="nil"/>
              <w:bottom w:val="nil"/>
              <w:right w:val="nil"/>
            </w:tcBorders>
            <w:vAlign w:val="center"/>
          </w:tcPr>
          <w:p w14:paraId="1784702F">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0.456</w:t>
            </w:r>
          </w:p>
        </w:tc>
        <w:tc>
          <w:tcPr>
            <w:tcW w:w="425" w:type="pct"/>
            <w:tcBorders>
              <w:top w:val="nil"/>
              <w:left w:val="nil"/>
              <w:bottom w:val="nil"/>
              <w:right w:val="nil"/>
            </w:tcBorders>
            <w:vAlign w:val="center"/>
          </w:tcPr>
          <w:p w14:paraId="707C0630">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0.234</w:t>
            </w:r>
          </w:p>
        </w:tc>
        <w:tc>
          <w:tcPr>
            <w:tcW w:w="574" w:type="pct"/>
            <w:tcBorders>
              <w:top w:val="nil"/>
              <w:left w:val="nil"/>
              <w:bottom w:val="nil"/>
              <w:right w:val="nil"/>
            </w:tcBorders>
            <w:vAlign w:val="center"/>
          </w:tcPr>
          <w:p w14:paraId="34754D4F">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0.278</w:t>
            </w:r>
          </w:p>
        </w:tc>
        <w:tc>
          <w:tcPr>
            <w:tcW w:w="425" w:type="pct"/>
            <w:tcBorders>
              <w:top w:val="nil"/>
              <w:left w:val="nil"/>
              <w:bottom w:val="nil"/>
              <w:right w:val="nil"/>
            </w:tcBorders>
            <w:vAlign w:val="center"/>
          </w:tcPr>
          <w:p w14:paraId="4C79EAA0">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0.432</w:t>
            </w:r>
          </w:p>
        </w:tc>
        <w:tc>
          <w:tcPr>
            <w:tcW w:w="574" w:type="pct"/>
            <w:tcBorders>
              <w:top w:val="nil"/>
              <w:left w:val="nil"/>
              <w:bottom w:val="nil"/>
              <w:right w:val="nil"/>
            </w:tcBorders>
            <w:vAlign w:val="center"/>
          </w:tcPr>
          <w:p w14:paraId="1B03CD2E">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0.615</w:t>
            </w:r>
          </w:p>
        </w:tc>
        <w:tc>
          <w:tcPr>
            <w:tcW w:w="433" w:type="pct"/>
            <w:tcBorders>
              <w:top w:val="nil"/>
              <w:left w:val="nil"/>
              <w:bottom w:val="nil"/>
              <w:right w:val="nil"/>
            </w:tcBorders>
            <w:vAlign w:val="center"/>
          </w:tcPr>
          <w:p w14:paraId="173CD005">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0.035</w:t>
            </w:r>
          </w:p>
        </w:tc>
        <w:tc>
          <w:tcPr>
            <w:tcW w:w="437" w:type="pct"/>
            <w:tcBorders>
              <w:top w:val="nil"/>
              <w:left w:val="nil"/>
              <w:bottom w:val="nil"/>
              <w:right w:val="nil"/>
            </w:tcBorders>
            <w:vAlign w:val="center"/>
          </w:tcPr>
          <w:p w14:paraId="33EFA37C">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0.945</w:t>
            </w:r>
          </w:p>
        </w:tc>
      </w:tr>
      <w:tr w14:paraId="0FC86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9" w:type="pct"/>
            <w:tcBorders>
              <w:top w:val="nil"/>
              <w:left w:val="nil"/>
              <w:bottom w:val="nil"/>
              <w:right w:val="nil"/>
            </w:tcBorders>
            <w:vAlign w:val="center"/>
          </w:tcPr>
          <w:p w14:paraId="7BD5E664">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盈利能力</w:t>
            </w:r>
          </w:p>
        </w:tc>
        <w:tc>
          <w:tcPr>
            <w:tcW w:w="619" w:type="pct"/>
            <w:tcBorders>
              <w:top w:val="nil"/>
              <w:left w:val="nil"/>
              <w:bottom w:val="nil"/>
              <w:right w:val="nil"/>
            </w:tcBorders>
            <w:vAlign w:val="center"/>
          </w:tcPr>
          <w:p w14:paraId="47FE42B8">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ROA</w:t>
            </w:r>
          </w:p>
        </w:tc>
        <w:tc>
          <w:tcPr>
            <w:tcW w:w="425" w:type="pct"/>
            <w:tcBorders>
              <w:top w:val="nil"/>
              <w:left w:val="nil"/>
              <w:bottom w:val="nil"/>
              <w:right w:val="nil"/>
            </w:tcBorders>
            <w:vAlign w:val="center"/>
          </w:tcPr>
          <w:p w14:paraId="286343EC">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8,740</w:t>
            </w:r>
          </w:p>
        </w:tc>
        <w:tc>
          <w:tcPr>
            <w:tcW w:w="364" w:type="pct"/>
            <w:tcBorders>
              <w:top w:val="nil"/>
              <w:left w:val="nil"/>
              <w:bottom w:val="nil"/>
              <w:right w:val="nil"/>
            </w:tcBorders>
            <w:vAlign w:val="center"/>
          </w:tcPr>
          <w:p w14:paraId="407D09F7">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0.084</w:t>
            </w:r>
          </w:p>
        </w:tc>
        <w:tc>
          <w:tcPr>
            <w:tcW w:w="425" w:type="pct"/>
            <w:tcBorders>
              <w:top w:val="nil"/>
              <w:left w:val="nil"/>
              <w:bottom w:val="nil"/>
              <w:right w:val="nil"/>
            </w:tcBorders>
            <w:vAlign w:val="center"/>
          </w:tcPr>
          <w:p w14:paraId="0488CB1B">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0.067</w:t>
            </w:r>
          </w:p>
        </w:tc>
        <w:tc>
          <w:tcPr>
            <w:tcW w:w="574" w:type="pct"/>
            <w:tcBorders>
              <w:top w:val="nil"/>
              <w:left w:val="nil"/>
              <w:bottom w:val="nil"/>
              <w:right w:val="nil"/>
            </w:tcBorders>
            <w:vAlign w:val="center"/>
          </w:tcPr>
          <w:p w14:paraId="0BA4D5FC">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0.041</w:t>
            </w:r>
          </w:p>
        </w:tc>
        <w:tc>
          <w:tcPr>
            <w:tcW w:w="425" w:type="pct"/>
            <w:tcBorders>
              <w:top w:val="nil"/>
              <w:left w:val="nil"/>
              <w:bottom w:val="nil"/>
              <w:right w:val="nil"/>
            </w:tcBorders>
            <w:vAlign w:val="center"/>
          </w:tcPr>
          <w:p w14:paraId="6F2AE368">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0.078</w:t>
            </w:r>
          </w:p>
        </w:tc>
        <w:tc>
          <w:tcPr>
            <w:tcW w:w="574" w:type="pct"/>
            <w:tcBorders>
              <w:top w:val="nil"/>
              <w:left w:val="nil"/>
              <w:bottom w:val="nil"/>
              <w:right w:val="nil"/>
            </w:tcBorders>
            <w:vAlign w:val="center"/>
          </w:tcPr>
          <w:p w14:paraId="2318FAD1">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0.121</w:t>
            </w:r>
          </w:p>
        </w:tc>
        <w:tc>
          <w:tcPr>
            <w:tcW w:w="433" w:type="pct"/>
            <w:tcBorders>
              <w:top w:val="nil"/>
              <w:left w:val="nil"/>
              <w:bottom w:val="nil"/>
              <w:right w:val="nil"/>
            </w:tcBorders>
            <w:vAlign w:val="center"/>
          </w:tcPr>
          <w:p w14:paraId="676CA6B9">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-0.234</w:t>
            </w:r>
          </w:p>
        </w:tc>
        <w:tc>
          <w:tcPr>
            <w:tcW w:w="437" w:type="pct"/>
            <w:tcBorders>
              <w:top w:val="nil"/>
              <w:left w:val="nil"/>
              <w:bottom w:val="nil"/>
              <w:right w:val="nil"/>
            </w:tcBorders>
            <w:vAlign w:val="center"/>
          </w:tcPr>
          <w:p w14:paraId="76ED5C0A">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0.345</w:t>
            </w:r>
          </w:p>
        </w:tc>
      </w:tr>
      <w:tr w14:paraId="27EC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9" w:type="pct"/>
            <w:tcBorders>
              <w:top w:val="nil"/>
              <w:left w:val="nil"/>
              <w:bottom w:val="nil"/>
              <w:right w:val="nil"/>
            </w:tcBorders>
            <w:vAlign w:val="center"/>
          </w:tcPr>
          <w:p w14:paraId="466810BC">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现金持有</w:t>
            </w:r>
          </w:p>
        </w:tc>
        <w:tc>
          <w:tcPr>
            <w:tcW w:w="619" w:type="pct"/>
            <w:tcBorders>
              <w:top w:val="nil"/>
              <w:left w:val="nil"/>
              <w:bottom w:val="nil"/>
              <w:right w:val="nil"/>
            </w:tcBorders>
            <w:vAlign w:val="center"/>
          </w:tcPr>
          <w:p w14:paraId="5A33203C">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Cash</w:t>
            </w:r>
          </w:p>
        </w:tc>
        <w:tc>
          <w:tcPr>
            <w:tcW w:w="425" w:type="pct"/>
            <w:tcBorders>
              <w:top w:val="nil"/>
              <w:left w:val="nil"/>
              <w:bottom w:val="nil"/>
              <w:right w:val="nil"/>
            </w:tcBorders>
            <w:vAlign w:val="center"/>
          </w:tcPr>
          <w:p w14:paraId="4C671DE7">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8,740</w:t>
            </w:r>
          </w:p>
        </w:tc>
        <w:tc>
          <w:tcPr>
            <w:tcW w:w="364" w:type="pct"/>
            <w:tcBorders>
              <w:top w:val="nil"/>
              <w:left w:val="nil"/>
              <w:bottom w:val="nil"/>
              <w:right w:val="nil"/>
            </w:tcBorders>
            <w:vAlign w:val="center"/>
          </w:tcPr>
          <w:p w14:paraId="218F38C1">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0.156</w:t>
            </w:r>
          </w:p>
        </w:tc>
        <w:tc>
          <w:tcPr>
            <w:tcW w:w="425" w:type="pct"/>
            <w:tcBorders>
              <w:top w:val="nil"/>
              <w:left w:val="nil"/>
              <w:bottom w:val="nil"/>
              <w:right w:val="nil"/>
            </w:tcBorders>
            <w:vAlign w:val="center"/>
          </w:tcPr>
          <w:p w14:paraId="19F87F06">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0.098</w:t>
            </w:r>
          </w:p>
        </w:tc>
        <w:tc>
          <w:tcPr>
            <w:tcW w:w="574" w:type="pct"/>
            <w:tcBorders>
              <w:top w:val="nil"/>
              <w:left w:val="nil"/>
              <w:bottom w:val="nil"/>
              <w:right w:val="nil"/>
            </w:tcBorders>
            <w:vAlign w:val="center"/>
          </w:tcPr>
          <w:p w14:paraId="5C458779">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0.087</w:t>
            </w:r>
          </w:p>
        </w:tc>
        <w:tc>
          <w:tcPr>
            <w:tcW w:w="425" w:type="pct"/>
            <w:tcBorders>
              <w:top w:val="nil"/>
              <w:left w:val="nil"/>
              <w:bottom w:val="nil"/>
              <w:right w:val="nil"/>
            </w:tcBorders>
            <w:vAlign w:val="center"/>
          </w:tcPr>
          <w:p w14:paraId="6EC315F4">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0.142</w:t>
            </w:r>
          </w:p>
        </w:tc>
        <w:tc>
          <w:tcPr>
            <w:tcW w:w="574" w:type="pct"/>
            <w:tcBorders>
              <w:top w:val="nil"/>
              <w:left w:val="nil"/>
              <w:bottom w:val="nil"/>
              <w:right w:val="nil"/>
            </w:tcBorders>
            <w:vAlign w:val="center"/>
          </w:tcPr>
          <w:p w14:paraId="66CA0C10">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0.208</w:t>
            </w:r>
          </w:p>
        </w:tc>
        <w:tc>
          <w:tcPr>
            <w:tcW w:w="433" w:type="pct"/>
            <w:tcBorders>
              <w:top w:val="nil"/>
              <w:left w:val="nil"/>
              <w:bottom w:val="nil"/>
              <w:right w:val="nil"/>
            </w:tcBorders>
            <w:vAlign w:val="center"/>
          </w:tcPr>
          <w:p w14:paraId="3F1B7F2D">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0.012</w:t>
            </w:r>
          </w:p>
        </w:tc>
        <w:tc>
          <w:tcPr>
            <w:tcW w:w="437" w:type="pct"/>
            <w:tcBorders>
              <w:top w:val="nil"/>
              <w:left w:val="nil"/>
              <w:bottom w:val="nil"/>
              <w:right w:val="nil"/>
            </w:tcBorders>
            <w:vAlign w:val="center"/>
          </w:tcPr>
          <w:p w14:paraId="7EBB9FF3">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0.567</w:t>
            </w:r>
          </w:p>
        </w:tc>
      </w:tr>
      <w:tr w14:paraId="27F5F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19" w:type="pct"/>
            <w:tcBorders>
              <w:top w:val="nil"/>
              <w:left w:val="nil"/>
              <w:bottom w:val="single" w:color="auto" w:sz="12" w:space="0"/>
              <w:right w:val="nil"/>
            </w:tcBorders>
            <w:vAlign w:val="center"/>
          </w:tcPr>
          <w:p w14:paraId="2ACFA135">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交易规模</w:t>
            </w:r>
          </w:p>
        </w:tc>
        <w:tc>
          <w:tcPr>
            <w:tcW w:w="619" w:type="pct"/>
            <w:tcBorders>
              <w:top w:val="nil"/>
              <w:left w:val="nil"/>
              <w:bottom w:val="single" w:color="auto" w:sz="12" w:space="0"/>
              <w:right w:val="nil"/>
            </w:tcBorders>
            <w:vAlign w:val="center"/>
          </w:tcPr>
          <w:p w14:paraId="40762C1B">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Deal_Size</w:t>
            </w:r>
          </w:p>
        </w:tc>
        <w:tc>
          <w:tcPr>
            <w:tcW w:w="425" w:type="pct"/>
            <w:tcBorders>
              <w:top w:val="nil"/>
              <w:left w:val="nil"/>
              <w:bottom w:val="single" w:color="auto" w:sz="12" w:space="0"/>
              <w:right w:val="nil"/>
            </w:tcBorders>
            <w:vAlign w:val="center"/>
          </w:tcPr>
          <w:p w14:paraId="75511FCF">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8,740</w:t>
            </w:r>
          </w:p>
        </w:tc>
        <w:tc>
          <w:tcPr>
            <w:tcW w:w="364" w:type="pct"/>
            <w:tcBorders>
              <w:top w:val="nil"/>
              <w:left w:val="nil"/>
              <w:bottom w:val="single" w:color="auto" w:sz="12" w:space="0"/>
              <w:right w:val="nil"/>
            </w:tcBorders>
            <w:vAlign w:val="center"/>
          </w:tcPr>
          <w:p w14:paraId="4C1D9640">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5.678</w:t>
            </w:r>
          </w:p>
        </w:tc>
        <w:tc>
          <w:tcPr>
            <w:tcW w:w="425" w:type="pct"/>
            <w:tcBorders>
              <w:top w:val="nil"/>
              <w:left w:val="nil"/>
              <w:bottom w:val="single" w:color="auto" w:sz="12" w:space="0"/>
              <w:right w:val="nil"/>
            </w:tcBorders>
            <w:vAlign w:val="center"/>
          </w:tcPr>
          <w:p w14:paraId="7745C10D">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2.345</w:t>
            </w:r>
          </w:p>
        </w:tc>
        <w:tc>
          <w:tcPr>
            <w:tcW w:w="574" w:type="pct"/>
            <w:tcBorders>
              <w:top w:val="nil"/>
              <w:left w:val="nil"/>
              <w:bottom w:val="single" w:color="auto" w:sz="12" w:space="0"/>
              <w:right w:val="nil"/>
            </w:tcBorders>
            <w:vAlign w:val="center"/>
          </w:tcPr>
          <w:p w14:paraId="1964FAE3">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4.012</w:t>
            </w:r>
          </w:p>
        </w:tc>
        <w:tc>
          <w:tcPr>
            <w:tcW w:w="425" w:type="pct"/>
            <w:tcBorders>
              <w:top w:val="nil"/>
              <w:left w:val="nil"/>
              <w:bottom w:val="single" w:color="auto" w:sz="12" w:space="0"/>
              <w:right w:val="nil"/>
            </w:tcBorders>
            <w:vAlign w:val="center"/>
          </w:tcPr>
          <w:p w14:paraId="34B66CDB">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5.523</w:t>
            </w:r>
          </w:p>
        </w:tc>
        <w:tc>
          <w:tcPr>
            <w:tcW w:w="574" w:type="pct"/>
            <w:tcBorders>
              <w:top w:val="nil"/>
              <w:left w:val="nil"/>
              <w:bottom w:val="single" w:color="auto" w:sz="12" w:space="0"/>
              <w:right w:val="nil"/>
            </w:tcBorders>
            <w:vAlign w:val="center"/>
          </w:tcPr>
          <w:p w14:paraId="2D38227B">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7.134</w:t>
            </w:r>
          </w:p>
        </w:tc>
        <w:tc>
          <w:tcPr>
            <w:tcW w:w="433" w:type="pct"/>
            <w:tcBorders>
              <w:top w:val="nil"/>
              <w:left w:val="nil"/>
              <w:bottom w:val="single" w:color="auto" w:sz="12" w:space="0"/>
              <w:right w:val="nil"/>
            </w:tcBorders>
            <w:vAlign w:val="center"/>
          </w:tcPr>
          <w:p w14:paraId="1425D45B">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1.234</w:t>
            </w:r>
          </w:p>
        </w:tc>
        <w:tc>
          <w:tcPr>
            <w:tcW w:w="437" w:type="pct"/>
            <w:tcBorders>
              <w:top w:val="nil"/>
              <w:left w:val="nil"/>
              <w:bottom w:val="single" w:color="auto" w:sz="12" w:space="0"/>
              <w:right w:val="nil"/>
            </w:tcBorders>
            <w:vAlign w:val="center"/>
          </w:tcPr>
          <w:p w14:paraId="375406A5">
            <w:pPr>
              <w:jc w:val="center"/>
              <w:rPr>
                <w:rFonts w:hint="default" w:ascii="Times New Roman" w:hAnsi="Times New Roman" w:cs="Times New Roman"/>
                <w:color w:val="auto"/>
                <w:sz w:val="18"/>
                <w:szCs w:val="18"/>
                <w:vertAlign w:val="baseline"/>
                <w:lang w:eastAsia="zh-CN"/>
              </w:rPr>
            </w:pPr>
            <w:r>
              <w:rPr>
                <w:rFonts w:hint="default" w:ascii="Times New Roman" w:hAnsi="Times New Roman" w:cs="Times New Roman"/>
                <w:color w:val="auto"/>
                <w:sz w:val="18"/>
                <w:szCs w:val="18"/>
                <w:lang w:val="en-US" w:eastAsia="zh-CN"/>
              </w:rPr>
              <w:t>11.567</w:t>
            </w:r>
          </w:p>
        </w:tc>
      </w:tr>
    </w:tbl>
    <w:p w14:paraId="26D7541C">
      <w:pPr>
        <w:rPr>
          <w:rFonts w:hint="default" w:ascii="Times New Roman" w:hAnsi="Times New Roman" w:cs="Times New Roman"/>
          <w:color w:val="auto"/>
          <w:lang w:eastAsia="zh-CN"/>
        </w:rPr>
      </w:pPr>
    </w:p>
    <w:p w14:paraId="26B4B12D">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rPr>
        <w:t>表</w:t>
      </w:r>
      <w:r>
        <w:rPr>
          <w:rFonts w:hint="default" w:ascii="Times New Roman" w:hAnsi="Times New Roman" w:cs="Times New Roman"/>
          <w:color w:val="auto"/>
          <w:lang w:val="en-US" w:eastAsia="zh-CN"/>
        </w:rPr>
        <w:t>4结果显示，样本中破产事件的均值为6.1%，与总体破产率6.13%基本一致，表明样本具有代表性。信息不对称指数的均值为0.328，标准差为0.145，分布相对均匀，但最大值达到0.893，表明部分并购交易中存在严重的信息不对称问题。传统财务变量如杠杆率（均值0.456）和盈利能力（ROA均值0.084）的分布符合正常企业特征。</w:t>
      </w:r>
    </w:p>
    <w:p w14:paraId="158804F2">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drawing>
          <wp:inline distT="0" distB="0" distL="114300" distR="114300">
            <wp:extent cx="5269230" cy="2195830"/>
            <wp:effectExtent l="0" t="0" r="7620" b="13970"/>
            <wp:docPr id="14" name="图片 1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
                    <pic:cNvPicPr>
                      <a:picLocks noChangeAspect="1"/>
                    </pic:cNvPicPr>
                  </pic:nvPicPr>
                  <pic:blipFill>
                    <a:blip r:embed="rId5"/>
                    <a:stretch>
                      <a:fillRect/>
                    </a:stretch>
                  </pic:blipFill>
                  <pic:spPr>
                    <a:xfrm>
                      <a:off x="0" y="0"/>
                      <a:ext cx="5269230" cy="2195830"/>
                    </a:xfrm>
                    <a:prstGeom prst="rect">
                      <a:avLst/>
                    </a:prstGeom>
                  </pic:spPr>
                </pic:pic>
              </a:graphicData>
            </a:graphic>
          </wp:inline>
        </w:drawing>
      </w:r>
    </w:p>
    <w:p w14:paraId="17AC392A">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图2 文本信息不对称指数分布特征分析</w:t>
      </w:r>
    </w:p>
    <w:p w14:paraId="4A63A033">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图2分析显示，IA_Text呈右偏分布，大部分观测值集中在0.2-0.4之间，但存在部分极端值。按破产状态分组的箱线图清晰显示，破产组的IA_Text中位数显著高于非破产组，且t检验p值小于0.0001，表明两组间的差异具有高度统计显著性。这一发现为H1提供了初步证据，支持信息不对称与破产风险之间的正相关关系。</w:t>
      </w:r>
    </w:p>
    <w:p w14:paraId="0A8F0DE1">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表5 主要变量Pearson相关系数矩阵</w:t>
      </w:r>
    </w:p>
    <w:tbl>
      <w:tblPr>
        <w:tblStyle w:val="6"/>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5"/>
        <w:gridCol w:w="1065"/>
        <w:gridCol w:w="959"/>
        <w:gridCol w:w="959"/>
        <w:gridCol w:w="959"/>
        <w:gridCol w:w="959"/>
        <w:gridCol w:w="898"/>
        <w:gridCol w:w="687"/>
        <w:gridCol w:w="964"/>
      </w:tblGrid>
      <w:tr w14:paraId="4736F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5" w:type="pct"/>
            <w:tcBorders>
              <w:top w:val="single" w:color="auto" w:sz="12" w:space="0"/>
              <w:left w:val="nil"/>
              <w:bottom w:val="single" w:color="auto" w:sz="4" w:space="0"/>
              <w:right w:val="nil"/>
            </w:tcBorders>
            <w:vAlign w:val="center"/>
          </w:tcPr>
          <w:p w14:paraId="0363A91F">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变量</w:t>
            </w:r>
          </w:p>
        </w:tc>
        <w:tc>
          <w:tcPr>
            <w:tcW w:w="625" w:type="pct"/>
            <w:tcBorders>
              <w:top w:val="single" w:color="auto" w:sz="12" w:space="0"/>
              <w:left w:val="nil"/>
              <w:bottom w:val="single" w:color="auto" w:sz="4" w:space="0"/>
              <w:right w:val="nil"/>
            </w:tcBorders>
            <w:vAlign w:val="center"/>
          </w:tcPr>
          <w:p w14:paraId="2204C30D">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Bankruptcy</w:t>
            </w:r>
          </w:p>
        </w:tc>
        <w:tc>
          <w:tcPr>
            <w:tcW w:w="563" w:type="pct"/>
            <w:tcBorders>
              <w:top w:val="single" w:color="auto" w:sz="12" w:space="0"/>
              <w:left w:val="nil"/>
              <w:bottom w:val="single" w:color="auto" w:sz="4" w:space="0"/>
              <w:right w:val="nil"/>
            </w:tcBorders>
            <w:vAlign w:val="center"/>
          </w:tcPr>
          <w:p w14:paraId="296ECD9E">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DD</w:t>
            </w:r>
          </w:p>
        </w:tc>
        <w:tc>
          <w:tcPr>
            <w:tcW w:w="563" w:type="pct"/>
            <w:tcBorders>
              <w:top w:val="single" w:color="auto" w:sz="12" w:space="0"/>
              <w:left w:val="nil"/>
              <w:bottom w:val="single" w:color="auto" w:sz="4" w:space="0"/>
              <w:right w:val="nil"/>
            </w:tcBorders>
            <w:vAlign w:val="center"/>
          </w:tcPr>
          <w:p w14:paraId="77166767">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IA_Text</w:t>
            </w:r>
          </w:p>
        </w:tc>
        <w:tc>
          <w:tcPr>
            <w:tcW w:w="563" w:type="pct"/>
            <w:tcBorders>
              <w:top w:val="single" w:color="auto" w:sz="12" w:space="0"/>
              <w:left w:val="nil"/>
              <w:bottom w:val="single" w:color="auto" w:sz="4" w:space="0"/>
              <w:right w:val="nil"/>
            </w:tcBorders>
            <w:vAlign w:val="center"/>
          </w:tcPr>
          <w:p w14:paraId="739E62D2">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Size</w:t>
            </w:r>
          </w:p>
        </w:tc>
        <w:tc>
          <w:tcPr>
            <w:tcW w:w="563" w:type="pct"/>
            <w:tcBorders>
              <w:top w:val="single" w:color="auto" w:sz="12" w:space="0"/>
              <w:left w:val="nil"/>
              <w:bottom w:val="single" w:color="auto" w:sz="4" w:space="0"/>
              <w:right w:val="nil"/>
            </w:tcBorders>
            <w:vAlign w:val="center"/>
          </w:tcPr>
          <w:p w14:paraId="2972EF51">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Leverage</w:t>
            </w:r>
          </w:p>
        </w:tc>
        <w:tc>
          <w:tcPr>
            <w:tcW w:w="527" w:type="pct"/>
            <w:tcBorders>
              <w:top w:val="single" w:color="auto" w:sz="12" w:space="0"/>
              <w:left w:val="nil"/>
              <w:bottom w:val="single" w:color="auto" w:sz="4" w:space="0"/>
              <w:right w:val="nil"/>
            </w:tcBorders>
            <w:vAlign w:val="center"/>
          </w:tcPr>
          <w:p w14:paraId="782ED11B">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ROA</w:t>
            </w:r>
          </w:p>
        </w:tc>
        <w:tc>
          <w:tcPr>
            <w:tcW w:w="403" w:type="pct"/>
            <w:tcBorders>
              <w:top w:val="single" w:color="auto" w:sz="12" w:space="0"/>
              <w:left w:val="nil"/>
              <w:bottom w:val="single" w:color="auto" w:sz="4" w:space="0"/>
              <w:right w:val="nil"/>
            </w:tcBorders>
            <w:vAlign w:val="center"/>
          </w:tcPr>
          <w:p w14:paraId="38CA2B99">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Cash</w:t>
            </w:r>
          </w:p>
        </w:tc>
        <w:tc>
          <w:tcPr>
            <w:tcW w:w="565" w:type="pct"/>
            <w:tcBorders>
              <w:top w:val="single" w:color="auto" w:sz="12" w:space="0"/>
              <w:left w:val="nil"/>
              <w:bottom w:val="single" w:color="auto" w:sz="4" w:space="0"/>
              <w:right w:val="nil"/>
            </w:tcBorders>
            <w:vAlign w:val="center"/>
          </w:tcPr>
          <w:p w14:paraId="4E7E9821">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Deal_Size</w:t>
            </w:r>
          </w:p>
        </w:tc>
      </w:tr>
      <w:tr w14:paraId="36A1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5" w:type="pct"/>
            <w:tcBorders>
              <w:top w:val="single" w:color="auto" w:sz="4" w:space="0"/>
              <w:left w:val="nil"/>
              <w:bottom w:val="nil"/>
              <w:right w:val="nil"/>
            </w:tcBorders>
            <w:vAlign w:val="center"/>
          </w:tcPr>
          <w:p w14:paraId="0BD1FC77">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Bankruptcy</w:t>
            </w:r>
          </w:p>
        </w:tc>
        <w:tc>
          <w:tcPr>
            <w:tcW w:w="625" w:type="pct"/>
            <w:tcBorders>
              <w:top w:val="single" w:color="auto" w:sz="4" w:space="0"/>
              <w:left w:val="nil"/>
              <w:bottom w:val="nil"/>
              <w:right w:val="nil"/>
            </w:tcBorders>
            <w:vAlign w:val="center"/>
          </w:tcPr>
          <w:p w14:paraId="7479C334">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1.000</w:t>
            </w:r>
          </w:p>
        </w:tc>
        <w:tc>
          <w:tcPr>
            <w:tcW w:w="563" w:type="pct"/>
            <w:tcBorders>
              <w:top w:val="single" w:color="auto" w:sz="4" w:space="0"/>
              <w:left w:val="nil"/>
              <w:bottom w:val="nil"/>
              <w:right w:val="nil"/>
            </w:tcBorders>
            <w:vAlign w:val="center"/>
          </w:tcPr>
          <w:p w14:paraId="6C24747D">
            <w:pPr>
              <w:jc w:val="center"/>
              <w:rPr>
                <w:rFonts w:hint="default" w:ascii="Times New Roman" w:hAnsi="Times New Roman" w:cs="Times New Roman"/>
                <w:color w:val="auto"/>
                <w:sz w:val="18"/>
                <w:szCs w:val="18"/>
                <w:vertAlign w:val="baseline"/>
                <w:lang w:val="en-US" w:eastAsia="zh-CN"/>
              </w:rPr>
            </w:pPr>
          </w:p>
        </w:tc>
        <w:tc>
          <w:tcPr>
            <w:tcW w:w="563" w:type="pct"/>
            <w:tcBorders>
              <w:top w:val="single" w:color="auto" w:sz="4" w:space="0"/>
              <w:left w:val="nil"/>
              <w:bottom w:val="nil"/>
              <w:right w:val="nil"/>
            </w:tcBorders>
            <w:vAlign w:val="center"/>
          </w:tcPr>
          <w:p w14:paraId="403E6949">
            <w:pPr>
              <w:jc w:val="center"/>
              <w:rPr>
                <w:rFonts w:hint="default" w:ascii="Times New Roman" w:hAnsi="Times New Roman" w:cs="Times New Roman"/>
                <w:color w:val="auto"/>
                <w:sz w:val="18"/>
                <w:szCs w:val="18"/>
                <w:vertAlign w:val="baseline"/>
                <w:lang w:val="en-US" w:eastAsia="zh-CN"/>
              </w:rPr>
            </w:pPr>
          </w:p>
        </w:tc>
        <w:tc>
          <w:tcPr>
            <w:tcW w:w="563" w:type="pct"/>
            <w:tcBorders>
              <w:top w:val="single" w:color="auto" w:sz="4" w:space="0"/>
              <w:left w:val="nil"/>
              <w:bottom w:val="nil"/>
              <w:right w:val="nil"/>
            </w:tcBorders>
            <w:vAlign w:val="center"/>
          </w:tcPr>
          <w:p w14:paraId="613344B6">
            <w:pPr>
              <w:jc w:val="center"/>
              <w:rPr>
                <w:rFonts w:hint="default" w:ascii="Times New Roman" w:hAnsi="Times New Roman" w:cs="Times New Roman"/>
                <w:color w:val="auto"/>
                <w:sz w:val="18"/>
                <w:szCs w:val="18"/>
                <w:vertAlign w:val="baseline"/>
                <w:lang w:val="en-US" w:eastAsia="zh-CN"/>
              </w:rPr>
            </w:pPr>
          </w:p>
        </w:tc>
        <w:tc>
          <w:tcPr>
            <w:tcW w:w="563" w:type="pct"/>
            <w:tcBorders>
              <w:top w:val="single" w:color="auto" w:sz="4" w:space="0"/>
              <w:left w:val="nil"/>
              <w:bottom w:val="nil"/>
              <w:right w:val="nil"/>
            </w:tcBorders>
            <w:vAlign w:val="center"/>
          </w:tcPr>
          <w:p w14:paraId="14AF2A36">
            <w:pPr>
              <w:jc w:val="center"/>
              <w:rPr>
                <w:rFonts w:hint="default" w:ascii="Times New Roman" w:hAnsi="Times New Roman" w:cs="Times New Roman"/>
                <w:color w:val="auto"/>
                <w:sz w:val="18"/>
                <w:szCs w:val="18"/>
                <w:vertAlign w:val="baseline"/>
                <w:lang w:val="en-US" w:eastAsia="zh-CN"/>
              </w:rPr>
            </w:pPr>
          </w:p>
        </w:tc>
        <w:tc>
          <w:tcPr>
            <w:tcW w:w="527" w:type="pct"/>
            <w:tcBorders>
              <w:top w:val="single" w:color="auto" w:sz="4" w:space="0"/>
              <w:left w:val="nil"/>
              <w:bottom w:val="nil"/>
              <w:right w:val="nil"/>
            </w:tcBorders>
            <w:vAlign w:val="center"/>
          </w:tcPr>
          <w:p w14:paraId="6BABEBAB">
            <w:pPr>
              <w:jc w:val="center"/>
              <w:rPr>
                <w:rFonts w:hint="default" w:ascii="Times New Roman" w:hAnsi="Times New Roman" w:cs="Times New Roman"/>
                <w:color w:val="auto"/>
                <w:sz w:val="18"/>
                <w:szCs w:val="18"/>
                <w:vertAlign w:val="baseline"/>
                <w:lang w:val="en-US" w:eastAsia="zh-CN"/>
              </w:rPr>
            </w:pPr>
          </w:p>
        </w:tc>
        <w:tc>
          <w:tcPr>
            <w:tcW w:w="403" w:type="pct"/>
            <w:tcBorders>
              <w:top w:val="single" w:color="auto" w:sz="4" w:space="0"/>
              <w:left w:val="nil"/>
              <w:bottom w:val="nil"/>
              <w:right w:val="nil"/>
            </w:tcBorders>
            <w:vAlign w:val="center"/>
          </w:tcPr>
          <w:p w14:paraId="266B32A5">
            <w:pPr>
              <w:jc w:val="center"/>
              <w:rPr>
                <w:rFonts w:hint="default" w:ascii="Times New Roman" w:hAnsi="Times New Roman" w:cs="Times New Roman"/>
                <w:color w:val="auto"/>
                <w:sz w:val="18"/>
                <w:szCs w:val="18"/>
                <w:vertAlign w:val="baseline"/>
                <w:lang w:val="en-US" w:eastAsia="zh-CN"/>
              </w:rPr>
            </w:pPr>
          </w:p>
        </w:tc>
        <w:tc>
          <w:tcPr>
            <w:tcW w:w="565" w:type="pct"/>
            <w:tcBorders>
              <w:top w:val="single" w:color="auto" w:sz="4" w:space="0"/>
              <w:left w:val="nil"/>
              <w:bottom w:val="nil"/>
              <w:right w:val="nil"/>
            </w:tcBorders>
            <w:vAlign w:val="center"/>
          </w:tcPr>
          <w:p w14:paraId="449B335A">
            <w:pPr>
              <w:jc w:val="center"/>
              <w:rPr>
                <w:rFonts w:hint="default" w:ascii="Times New Roman" w:hAnsi="Times New Roman" w:cs="Times New Roman"/>
                <w:color w:val="auto"/>
                <w:sz w:val="18"/>
                <w:szCs w:val="18"/>
                <w:vertAlign w:val="baseline"/>
                <w:lang w:val="en-US" w:eastAsia="zh-CN"/>
              </w:rPr>
            </w:pPr>
          </w:p>
        </w:tc>
      </w:tr>
      <w:tr w14:paraId="0697C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5" w:type="pct"/>
            <w:tcBorders>
              <w:top w:val="nil"/>
              <w:left w:val="nil"/>
              <w:bottom w:val="nil"/>
              <w:right w:val="nil"/>
            </w:tcBorders>
            <w:vAlign w:val="center"/>
          </w:tcPr>
          <w:p w14:paraId="77BDE123">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DD</w:t>
            </w:r>
          </w:p>
        </w:tc>
        <w:tc>
          <w:tcPr>
            <w:tcW w:w="625" w:type="pct"/>
            <w:tcBorders>
              <w:top w:val="nil"/>
              <w:left w:val="nil"/>
              <w:bottom w:val="nil"/>
              <w:right w:val="nil"/>
            </w:tcBorders>
            <w:vAlign w:val="center"/>
          </w:tcPr>
          <w:p w14:paraId="7ADD661A">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-0.342***</w:t>
            </w:r>
          </w:p>
        </w:tc>
        <w:tc>
          <w:tcPr>
            <w:tcW w:w="563" w:type="pct"/>
            <w:tcBorders>
              <w:top w:val="nil"/>
              <w:left w:val="nil"/>
              <w:bottom w:val="nil"/>
              <w:right w:val="nil"/>
            </w:tcBorders>
            <w:vAlign w:val="center"/>
          </w:tcPr>
          <w:p w14:paraId="3B7A51A2">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1.000</w:t>
            </w:r>
          </w:p>
        </w:tc>
        <w:tc>
          <w:tcPr>
            <w:tcW w:w="563" w:type="pct"/>
            <w:tcBorders>
              <w:top w:val="nil"/>
              <w:left w:val="nil"/>
              <w:bottom w:val="nil"/>
              <w:right w:val="nil"/>
            </w:tcBorders>
            <w:vAlign w:val="center"/>
          </w:tcPr>
          <w:p w14:paraId="3C4A84D8">
            <w:pPr>
              <w:jc w:val="center"/>
              <w:rPr>
                <w:rFonts w:hint="default" w:ascii="Times New Roman" w:hAnsi="Times New Roman" w:cs="Times New Roman"/>
                <w:color w:val="auto"/>
                <w:sz w:val="18"/>
                <w:szCs w:val="18"/>
                <w:vertAlign w:val="baseline"/>
                <w:lang w:val="en-US" w:eastAsia="zh-CN"/>
              </w:rPr>
            </w:pPr>
          </w:p>
        </w:tc>
        <w:tc>
          <w:tcPr>
            <w:tcW w:w="563" w:type="pct"/>
            <w:tcBorders>
              <w:top w:val="nil"/>
              <w:left w:val="nil"/>
              <w:bottom w:val="nil"/>
              <w:right w:val="nil"/>
            </w:tcBorders>
            <w:vAlign w:val="center"/>
          </w:tcPr>
          <w:p w14:paraId="29C9C081">
            <w:pPr>
              <w:jc w:val="center"/>
              <w:rPr>
                <w:rFonts w:hint="default" w:ascii="Times New Roman" w:hAnsi="Times New Roman" w:cs="Times New Roman"/>
                <w:color w:val="auto"/>
                <w:sz w:val="18"/>
                <w:szCs w:val="18"/>
                <w:vertAlign w:val="baseline"/>
                <w:lang w:val="en-US" w:eastAsia="zh-CN"/>
              </w:rPr>
            </w:pPr>
          </w:p>
        </w:tc>
        <w:tc>
          <w:tcPr>
            <w:tcW w:w="563" w:type="pct"/>
            <w:tcBorders>
              <w:top w:val="nil"/>
              <w:left w:val="nil"/>
              <w:bottom w:val="nil"/>
              <w:right w:val="nil"/>
            </w:tcBorders>
            <w:vAlign w:val="center"/>
          </w:tcPr>
          <w:p w14:paraId="3C23128F">
            <w:pPr>
              <w:jc w:val="center"/>
              <w:rPr>
                <w:rFonts w:hint="default" w:ascii="Times New Roman" w:hAnsi="Times New Roman" w:cs="Times New Roman"/>
                <w:color w:val="auto"/>
                <w:sz w:val="18"/>
                <w:szCs w:val="18"/>
                <w:vertAlign w:val="baseline"/>
                <w:lang w:val="en-US" w:eastAsia="zh-CN"/>
              </w:rPr>
            </w:pPr>
          </w:p>
        </w:tc>
        <w:tc>
          <w:tcPr>
            <w:tcW w:w="527" w:type="pct"/>
            <w:tcBorders>
              <w:top w:val="nil"/>
              <w:left w:val="nil"/>
              <w:bottom w:val="nil"/>
              <w:right w:val="nil"/>
            </w:tcBorders>
            <w:vAlign w:val="center"/>
          </w:tcPr>
          <w:p w14:paraId="2A92E117">
            <w:pPr>
              <w:jc w:val="center"/>
              <w:rPr>
                <w:rFonts w:hint="default" w:ascii="Times New Roman" w:hAnsi="Times New Roman" w:cs="Times New Roman"/>
                <w:color w:val="auto"/>
                <w:sz w:val="18"/>
                <w:szCs w:val="18"/>
                <w:vertAlign w:val="baseline"/>
                <w:lang w:val="en-US" w:eastAsia="zh-CN"/>
              </w:rPr>
            </w:pPr>
          </w:p>
        </w:tc>
        <w:tc>
          <w:tcPr>
            <w:tcW w:w="403" w:type="pct"/>
            <w:tcBorders>
              <w:top w:val="nil"/>
              <w:left w:val="nil"/>
              <w:bottom w:val="nil"/>
              <w:right w:val="nil"/>
            </w:tcBorders>
            <w:vAlign w:val="center"/>
          </w:tcPr>
          <w:p w14:paraId="5A0BDCC0">
            <w:pPr>
              <w:jc w:val="center"/>
              <w:rPr>
                <w:rFonts w:hint="default" w:ascii="Times New Roman" w:hAnsi="Times New Roman" w:cs="Times New Roman"/>
                <w:color w:val="auto"/>
                <w:sz w:val="18"/>
                <w:szCs w:val="18"/>
                <w:vertAlign w:val="baseline"/>
                <w:lang w:val="en-US" w:eastAsia="zh-CN"/>
              </w:rPr>
            </w:pPr>
          </w:p>
        </w:tc>
        <w:tc>
          <w:tcPr>
            <w:tcW w:w="565" w:type="pct"/>
            <w:tcBorders>
              <w:top w:val="nil"/>
              <w:left w:val="nil"/>
              <w:bottom w:val="nil"/>
              <w:right w:val="nil"/>
            </w:tcBorders>
            <w:vAlign w:val="center"/>
          </w:tcPr>
          <w:p w14:paraId="6F236821">
            <w:pPr>
              <w:jc w:val="center"/>
              <w:rPr>
                <w:rFonts w:hint="default" w:ascii="Times New Roman" w:hAnsi="Times New Roman" w:cs="Times New Roman"/>
                <w:color w:val="auto"/>
                <w:sz w:val="18"/>
                <w:szCs w:val="18"/>
                <w:vertAlign w:val="baseline"/>
                <w:lang w:val="en-US" w:eastAsia="zh-CN"/>
              </w:rPr>
            </w:pPr>
          </w:p>
        </w:tc>
      </w:tr>
      <w:tr w14:paraId="5FAE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5" w:type="pct"/>
            <w:tcBorders>
              <w:top w:val="nil"/>
              <w:left w:val="nil"/>
              <w:bottom w:val="nil"/>
              <w:right w:val="nil"/>
            </w:tcBorders>
            <w:vAlign w:val="center"/>
          </w:tcPr>
          <w:p w14:paraId="46088FEA">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IA_Text</w:t>
            </w:r>
          </w:p>
        </w:tc>
        <w:tc>
          <w:tcPr>
            <w:tcW w:w="625" w:type="pct"/>
            <w:tcBorders>
              <w:top w:val="nil"/>
              <w:left w:val="nil"/>
              <w:bottom w:val="nil"/>
              <w:right w:val="nil"/>
            </w:tcBorders>
            <w:vAlign w:val="center"/>
          </w:tcPr>
          <w:p w14:paraId="62B613D4">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0.287***</w:t>
            </w:r>
          </w:p>
        </w:tc>
        <w:tc>
          <w:tcPr>
            <w:tcW w:w="563" w:type="pct"/>
            <w:tcBorders>
              <w:top w:val="nil"/>
              <w:left w:val="nil"/>
              <w:bottom w:val="nil"/>
              <w:right w:val="nil"/>
            </w:tcBorders>
            <w:vAlign w:val="center"/>
          </w:tcPr>
          <w:p w14:paraId="36F486EF">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-0.234***</w:t>
            </w:r>
          </w:p>
        </w:tc>
        <w:tc>
          <w:tcPr>
            <w:tcW w:w="563" w:type="pct"/>
            <w:tcBorders>
              <w:top w:val="nil"/>
              <w:left w:val="nil"/>
              <w:bottom w:val="nil"/>
              <w:right w:val="nil"/>
            </w:tcBorders>
            <w:vAlign w:val="center"/>
          </w:tcPr>
          <w:p w14:paraId="6F2B4B2A">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1.000</w:t>
            </w:r>
          </w:p>
        </w:tc>
        <w:tc>
          <w:tcPr>
            <w:tcW w:w="563" w:type="pct"/>
            <w:tcBorders>
              <w:top w:val="nil"/>
              <w:left w:val="nil"/>
              <w:bottom w:val="nil"/>
              <w:right w:val="nil"/>
            </w:tcBorders>
            <w:vAlign w:val="center"/>
          </w:tcPr>
          <w:p w14:paraId="56130DF3">
            <w:pPr>
              <w:jc w:val="center"/>
              <w:rPr>
                <w:rFonts w:hint="default" w:ascii="Times New Roman" w:hAnsi="Times New Roman" w:cs="Times New Roman"/>
                <w:color w:val="auto"/>
                <w:sz w:val="18"/>
                <w:szCs w:val="18"/>
                <w:vertAlign w:val="baseline"/>
                <w:lang w:val="en-US" w:eastAsia="zh-CN"/>
              </w:rPr>
            </w:pPr>
          </w:p>
        </w:tc>
        <w:tc>
          <w:tcPr>
            <w:tcW w:w="563" w:type="pct"/>
            <w:tcBorders>
              <w:top w:val="nil"/>
              <w:left w:val="nil"/>
              <w:bottom w:val="nil"/>
              <w:right w:val="nil"/>
            </w:tcBorders>
            <w:vAlign w:val="center"/>
          </w:tcPr>
          <w:p w14:paraId="4D49C02C">
            <w:pPr>
              <w:jc w:val="center"/>
              <w:rPr>
                <w:rFonts w:hint="default" w:ascii="Times New Roman" w:hAnsi="Times New Roman" w:cs="Times New Roman"/>
                <w:color w:val="auto"/>
                <w:sz w:val="18"/>
                <w:szCs w:val="18"/>
                <w:vertAlign w:val="baseline"/>
                <w:lang w:val="en-US" w:eastAsia="zh-CN"/>
              </w:rPr>
            </w:pPr>
          </w:p>
        </w:tc>
        <w:tc>
          <w:tcPr>
            <w:tcW w:w="527" w:type="pct"/>
            <w:tcBorders>
              <w:top w:val="nil"/>
              <w:left w:val="nil"/>
              <w:bottom w:val="nil"/>
              <w:right w:val="nil"/>
            </w:tcBorders>
            <w:vAlign w:val="center"/>
          </w:tcPr>
          <w:p w14:paraId="0CD147E0">
            <w:pPr>
              <w:jc w:val="center"/>
              <w:rPr>
                <w:rFonts w:hint="default" w:ascii="Times New Roman" w:hAnsi="Times New Roman" w:cs="Times New Roman"/>
                <w:color w:val="auto"/>
                <w:sz w:val="18"/>
                <w:szCs w:val="18"/>
                <w:vertAlign w:val="baseline"/>
                <w:lang w:val="en-US" w:eastAsia="zh-CN"/>
              </w:rPr>
            </w:pPr>
          </w:p>
        </w:tc>
        <w:tc>
          <w:tcPr>
            <w:tcW w:w="403" w:type="pct"/>
            <w:tcBorders>
              <w:top w:val="nil"/>
              <w:left w:val="nil"/>
              <w:bottom w:val="nil"/>
              <w:right w:val="nil"/>
            </w:tcBorders>
            <w:vAlign w:val="center"/>
          </w:tcPr>
          <w:p w14:paraId="7FBD1470">
            <w:pPr>
              <w:jc w:val="center"/>
              <w:rPr>
                <w:rFonts w:hint="default" w:ascii="Times New Roman" w:hAnsi="Times New Roman" w:cs="Times New Roman"/>
                <w:color w:val="auto"/>
                <w:sz w:val="18"/>
                <w:szCs w:val="18"/>
                <w:vertAlign w:val="baseline"/>
                <w:lang w:val="en-US" w:eastAsia="zh-CN"/>
              </w:rPr>
            </w:pPr>
          </w:p>
        </w:tc>
        <w:tc>
          <w:tcPr>
            <w:tcW w:w="565" w:type="pct"/>
            <w:tcBorders>
              <w:top w:val="nil"/>
              <w:left w:val="nil"/>
              <w:bottom w:val="nil"/>
              <w:right w:val="nil"/>
            </w:tcBorders>
            <w:vAlign w:val="center"/>
          </w:tcPr>
          <w:p w14:paraId="22B3709B">
            <w:pPr>
              <w:jc w:val="center"/>
              <w:rPr>
                <w:rFonts w:hint="default" w:ascii="Times New Roman" w:hAnsi="Times New Roman" w:cs="Times New Roman"/>
                <w:color w:val="auto"/>
                <w:sz w:val="18"/>
                <w:szCs w:val="18"/>
                <w:vertAlign w:val="baseline"/>
                <w:lang w:val="en-US" w:eastAsia="zh-CN"/>
              </w:rPr>
            </w:pPr>
          </w:p>
        </w:tc>
      </w:tr>
      <w:tr w14:paraId="6784B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5" w:type="pct"/>
            <w:tcBorders>
              <w:top w:val="nil"/>
              <w:left w:val="nil"/>
              <w:bottom w:val="nil"/>
              <w:right w:val="nil"/>
            </w:tcBorders>
            <w:vAlign w:val="center"/>
          </w:tcPr>
          <w:p w14:paraId="4F4DD636">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Size</w:t>
            </w:r>
          </w:p>
        </w:tc>
        <w:tc>
          <w:tcPr>
            <w:tcW w:w="625" w:type="pct"/>
            <w:tcBorders>
              <w:top w:val="nil"/>
              <w:left w:val="nil"/>
              <w:bottom w:val="nil"/>
              <w:right w:val="nil"/>
            </w:tcBorders>
            <w:vAlign w:val="center"/>
          </w:tcPr>
          <w:p w14:paraId="45CF6DBE">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-0.156***</w:t>
            </w:r>
          </w:p>
        </w:tc>
        <w:tc>
          <w:tcPr>
            <w:tcW w:w="563" w:type="pct"/>
            <w:tcBorders>
              <w:top w:val="nil"/>
              <w:left w:val="nil"/>
              <w:bottom w:val="nil"/>
              <w:right w:val="nil"/>
            </w:tcBorders>
            <w:vAlign w:val="center"/>
          </w:tcPr>
          <w:p w14:paraId="6164CE34">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0.189***</w:t>
            </w:r>
          </w:p>
        </w:tc>
        <w:tc>
          <w:tcPr>
            <w:tcW w:w="563" w:type="pct"/>
            <w:tcBorders>
              <w:top w:val="nil"/>
              <w:left w:val="nil"/>
              <w:bottom w:val="nil"/>
              <w:right w:val="nil"/>
            </w:tcBorders>
            <w:vAlign w:val="center"/>
          </w:tcPr>
          <w:p w14:paraId="0EB742F1">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-0.123***</w:t>
            </w:r>
          </w:p>
        </w:tc>
        <w:tc>
          <w:tcPr>
            <w:tcW w:w="563" w:type="pct"/>
            <w:tcBorders>
              <w:top w:val="nil"/>
              <w:left w:val="nil"/>
              <w:bottom w:val="nil"/>
              <w:right w:val="nil"/>
            </w:tcBorders>
            <w:vAlign w:val="center"/>
          </w:tcPr>
          <w:p w14:paraId="3FDFB339">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1.000</w:t>
            </w:r>
          </w:p>
        </w:tc>
        <w:tc>
          <w:tcPr>
            <w:tcW w:w="563" w:type="pct"/>
            <w:tcBorders>
              <w:top w:val="nil"/>
              <w:left w:val="nil"/>
              <w:bottom w:val="nil"/>
              <w:right w:val="nil"/>
            </w:tcBorders>
            <w:vAlign w:val="center"/>
          </w:tcPr>
          <w:p w14:paraId="0E059AC6">
            <w:pPr>
              <w:jc w:val="center"/>
              <w:rPr>
                <w:rFonts w:hint="default" w:ascii="Times New Roman" w:hAnsi="Times New Roman" w:cs="Times New Roman"/>
                <w:color w:val="auto"/>
                <w:sz w:val="18"/>
                <w:szCs w:val="18"/>
                <w:vertAlign w:val="baseline"/>
                <w:lang w:val="en-US" w:eastAsia="zh-CN"/>
              </w:rPr>
            </w:pPr>
          </w:p>
        </w:tc>
        <w:tc>
          <w:tcPr>
            <w:tcW w:w="527" w:type="pct"/>
            <w:tcBorders>
              <w:top w:val="nil"/>
              <w:left w:val="nil"/>
              <w:bottom w:val="nil"/>
              <w:right w:val="nil"/>
            </w:tcBorders>
            <w:vAlign w:val="center"/>
          </w:tcPr>
          <w:p w14:paraId="0707202E">
            <w:pPr>
              <w:jc w:val="center"/>
              <w:rPr>
                <w:rFonts w:hint="default" w:ascii="Times New Roman" w:hAnsi="Times New Roman" w:cs="Times New Roman"/>
                <w:color w:val="auto"/>
                <w:sz w:val="18"/>
                <w:szCs w:val="18"/>
                <w:vertAlign w:val="baseline"/>
                <w:lang w:val="en-US" w:eastAsia="zh-CN"/>
              </w:rPr>
            </w:pPr>
          </w:p>
        </w:tc>
        <w:tc>
          <w:tcPr>
            <w:tcW w:w="403" w:type="pct"/>
            <w:tcBorders>
              <w:top w:val="nil"/>
              <w:left w:val="nil"/>
              <w:bottom w:val="nil"/>
              <w:right w:val="nil"/>
            </w:tcBorders>
            <w:vAlign w:val="center"/>
          </w:tcPr>
          <w:p w14:paraId="443FA8C3">
            <w:pPr>
              <w:jc w:val="center"/>
              <w:rPr>
                <w:rFonts w:hint="default" w:ascii="Times New Roman" w:hAnsi="Times New Roman" w:cs="Times New Roman"/>
                <w:color w:val="auto"/>
                <w:sz w:val="18"/>
                <w:szCs w:val="18"/>
                <w:vertAlign w:val="baseline"/>
                <w:lang w:val="en-US" w:eastAsia="zh-CN"/>
              </w:rPr>
            </w:pPr>
          </w:p>
        </w:tc>
        <w:tc>
          <w:tcPr>
            <w:tcW w:w="565" w:type="pct"/>
            <w:tcBorders>
              <w:top w:val="nil"/>
              <w:left w:val="nil"/>
              <w:bottom w:val="nil"/>
              <w:right w:val="nil"/>
            </w:tcBorders>
            <w:vAlign w:val="center"/>
          </w:tcPr>
          <w:p w14:paraId="5F9C618D">
            <w:pPr>
              <w:jc w:val="center"/>
              <w:rPr>
                <w:rFonts w:hint="default" w:ascii="Times New Roman" w:hAnsi="Times New Roman" w:cs="Times New Roman"/>
                <w:color w:val="auto"/>
                <w:sz w:val="18"/>
                <w:szCs w:val="18"/>
                <w:vertAlign w:val="baseline"/>
                <w:lang w:val="en-US" w:eastAsia="zh-CN"/>
              </w:rPr>
            </w:pPr>
          </w:p>
        </w:tc>
      </w:tr>
      <w:tr w14:paraId="0BCF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5" w:type="pct"/>
            <w:tcBorders>
              <w:top w:val="nil"/>
              <w:left w:val="nil"/>
              <w:bottom w:val="nil"/>
              <w:right w:val="nil"/>
            </w:tcBorders>
            <w:vAlign w:val="center"/>
          </w:tcPr>
          <w:p w14:paraId="72714911">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Leverage</w:t>
            </w:r>
          </w:p>
        </w:tc>
        <w:tc>
          <w:tcPr>
            <w:tcW w:w="625" w:type="pct"/>
            <w:tcBorders>
              <w:top w:val="nil"/>
              <w:left w:val="nil"/>
              <w:bottom w:val="nil"/>
              <w:right w:val="nil"/>
            </w:tcBorders>
            <w:vAlign w:val="center"/>
          </w:tcPr>
          <w:p w14:paraId="35CB0B6E">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0.298***</w:t>
            </w:r>
          </w:p>
        </w:tc>
        <w:tc>
          <w:tcPr>
            <w:tcW w:w="563" w:type="pct"/>
            <w:tcBorders>
              <w:top w:val="nil"/>
              <w:left w:val="nil"/>
              <w:bottom w:val="nil"/>
              <w:right w:val="nil"/>
            </w:tcBorders>
            <w:vAlign w:val="center"/>
          </w:tcPr>
          <w:p w14:paraId="5EB0156B">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-0.412***</w:t>
            </w:r>
          </w:p>
        </w:tc>
        <w:tc>
          <w:tcPr>
            <w:tcW w:w="563" w:type="pct"/>
            <w:tcBorders>
              <w:top w:val="nil"/>
              <w:left w:val="nil"/>
              <w:bottom w:val="nil"/>
              <w:right w:val="nil"/>
            </w:tcBorders>
            <w:vAlign w:val="center"/>
          </w:tcPr>
          <w:p w14:paraId="29FCB230">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0.178***</w:t>
            </w:r>
          </w:p>
        </w:tc>
        <w:tc>
          <w:tcPr>
            <w:tcW w:w="563" w:type="pct"/>
            <w:tcBorders>
              <w:top w:val="nil"/>
              <w:left w:val="nil"/>
              <w:bottom w:val="nil"/>
              <w:right w:val="nil"/>
            </w:tcBorders>
            <w:vAlign w:val="center"/>
          </w:tcPr>
          <w:p w14:paraId="3329777E">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-0.145***</w:t>
            </w:r>
          </w:p>
        </w:tc>
        <w:tc>
          <w:tcPr>
            <w:tcW w:w="563" w:type="pct"/>
            <w:tcBorders>
              <w:top w:val="nil"/>
              <w:left w:val="nil"/>
              <w:bottom w:val="nil"/>
              <w:right w:val="nil"/>
            </w:tcBorders>
            <w:vAlign w:val="center"/>
          </w:tcPr>
          <w:p w14:paraId="62753BD4">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1.000</w:t>
            </w:r>
          </w:p>
        </w:tc>
        <w:tc>
          <w:tcPr>
            <w:tcW w:w="527" w:type="pct"/>
            <w:tcBorders>
              <w:top w:val="nil"/>
              <w:left w:val="nil"/>
              <w:bottom w:val="nil"/>
              <w:right w:val="nil"/>
            </w:tcBorders>
            <w:vAlign w:val="center"/>
          </w:tcPr>
          <w:p w14:paraId="55FDBE22">
            <w:pPr>
              <w:jc w:val="center"/>
              <w:rPr>
                <w:rFonts w:hint="default" w:ascii="Times New Roman" w:hAnsi="Times New Roman" w:cs="Times New Roman"/>
                <w:color w:val="auto"/>
                <w:sz w:val="18"/>
                <w:szCs w:val="18"/>
                <w:vertAlign w:val="baseline"/>
                <w:lang w:val="en-US" w:eastAsia="zh-CN"/>
              </w:rPr>
            </w:pPr>
          </w:p>
        </w:tc>
        <w:tc>
          <w:tcPr>
            <w:tcW w:w="403" w:type="pct"/>
            <w:tcBorders>
              <w:top w:val="nil"/>
              <w:left w:val="nil"/>
              <w:bottom w:val="nil"/>
              <w:right w:val="nil"/>
            </w:tcBorders>
            <w:vAlign w:val="center"/>
          </w:tcPr>
          <w:p w14:paraId="47DE4C80">
            <w:pPr>
              <w:jc w:val="center"/>
              <w:rPr>
                <w:rFonts w:hint="default" w:ascii="Times New Roman" w:hAnsi="Times New Roman" w:cs="Times New Roman"/>
                <w:color w:val="auto"/>
                <w:sz w:val="18"/>
                <w:szCs w:val="18"/>
                <w:vertAlign w:val="baseline"/>
                <w:lang w:val="en-US" w:eastAsia="zh-CN"/>
              </w:rPr>
            </w:pPr>
          </w:p>
        </w:tc>
        <w:tc>
          <w:tcPr>
            <w:tcW w:w="565" w:type="pct"/>
            <w:tcBorders>
              <w:top w:val="nil"/>
              <w:left w:val="nil"/>
              <w:bottom w:val="nil"/>
              <w:right w:val="nil"/>
            </w:tcBorders>
            <w:vAlign w:val="center"/>
          </w:tcPr>
          <w:p w14:paraId="2BA24DB4">
            <w:pPr>
              <w:jc w:val="center"/>
              <w:rPr>
                <w:rFonts w:hint="default" w:ascii="Times New Roman" w:hAnsi="Times New Roman" w:cs="Times New Roman"/>
                <w:color w:val="auto"/>
                <w:sz w:val="18"/>
                <w:szCs w:val="18"/>
                <w:vertAlign w:val="baseline"/>
                <w:lang w:val="en-US" w:eastAsia="zh-CN"/>
              </w:rPr>
            </w:pPr>
          </w:p>
        </w:tc>
      </w:tr>
      <w:tr w14:paraId="62C10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5" w:type="pct"/>
            <w:tcBorders>
              <w:top w:val="nil"/>
              <w:left w:val="nil"/>
              <w:bottom w:val="nil"/>
              <w:right w:val="nil"/>
            </w:tcBorders>
            <w:vAlign w:val="center"/>
          </w:tcPr>
          <w:p w14:paraId="583BAE15">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ROA</w:t>
            </w:r>
          </w:p>
        </w:tc>
        <w:tc>
          <w:tcPr>
            <w:tcW w:w="625" w:type="pct"/>
            <w:tcBorders>
              <w:top w:val="nil"/>
              <w:left w:val="nil"/>
              <w:bottom w:val="nil"/>
              <w:right w:val="nil"/>
            </w:tcBorders>
            <w:vAlign w:val="center"/>
          </w:tcPr>
          <w:p w14:paraId="480A156C">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-0.267***</w:t>
            </w:r>
          </w:p>
        </w:tc>
        <w:tc>
          <w:tcPr>
            <w:tcW w:w="563" w:type="pct"/>
            <w:tcBorders>
              <w:top w:val="nil"/>
              <w:left w:val="nil"/>
              <w:bottom w:val="nil"/>
              <w:right w:val="nil"/>
            </w:tcBorders>
            <w:vAlign w:val="center"/>
          </w:tcPr>
          <w:p w14:paraId="6652B5C0">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0.356***</w:t>
            </w:r>
          </w:p>
        </w:tc>
        <w:tc>
          <w:tcPr>
            <w:tcW w:w="563" w:type="pct"/>
            <w:tcBorders>
              <w:top w:val="nil"/>
              <w:left w:val="nil"/>
              <w:bottom w:val="nil"/>
              <w:right w:val="nil"/>
            </w:tcBorders>
            <w:vAlign w:val="center"/>
          </w:tcPr>
          <w:p w14:paraId="68A2D44C">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-0.194***</w:t>
            </w:r>
          </w:p>
        </w:tc>
        <w:tc>
          <w:tcPr>
            <w:tcW w:w="563" w:type="pct"/>
            <w:tcBorders>
              <w:top w:val="nil"/>
              <w:left w:val="nil"/>
              <w:bottom w:val="nil"/>
              <w:right w:val="nil"/>
            </w:tcBorders>
            <w:vAlign w:val="center"/>
          </w:tcPr>
          <w:p w14:paraId="0B5B783B">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0.213***</w:t>
            </w:r>
          </w:p>
        </w:tc>
        <w:tc>
          <w:tcPr>
            <w:tcW w:w="563" w:type="pct"/>
            <w:tcBorders>
              <w:top w:val="nil"/>
              <w:left w:val="nil"/>
              <w:bottom w:val="nil"/>
              <w:right w:val="nil"/>
            </w:tcBorders>
            <w:vAlign w:val="center"/>
          </w:tcPr>
          <w:p w14:paraId="3E5AA4D0">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-0.378***</w:t>
            </w:r>
          </w:p>
        </w:tc>
        <w:tc>
          <w:tcPr>
            <w:tcW w:w="527" w:type="pct"/>
            <w:tcBorders>
              <w:top w:val="nil"/>
              <w:left w:val="nil"/>
              <w:bottom w:val="nil"/>
              <w:right w:val="nil"/>
            </w:tcBorders>
            <w:vAlign w:val="center"/>
          </w:tcPr>
          <w:p w14:paraId="2556E557">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1.000</w:t>
            </w:r>
          </w:p>
        </w:tc>
        <w:tc>
          <w:tcPr>
            <w:tcW w:w="403" w:type="pct"/>
            <w:tcBorders>
              <w:top w:val="nil"/>
              <w:left w:val="nil"/>
              <w:bottom w:val="nil"/>
              <w:right w:val="nil"/>
            </w:tcBorders>
            <w:vAlign w:val="center"/>
          </w:tcPr>
          <w:p w14:paraId="6842A0FD">
            <w:pPr>
              <w:jc w:val="center"/>
              <w:rPr>
                <w:rFonts w:hint="default" w:ascii="Times New Roman" w:hAnsi="Times New Roman" w:cs="Times New Roman"/>
                <w:color w:val="auto"/>
                <w:sz w:val="18"/>
                <w:szCs w:val="18"/>
                <w:vertAlign w:val="baseline"/>
                <w:lang w:val="en-US" w:eastAsia="zh-CN"/>
              </w:rPr>
            </w:pPr>
          </w:p>
        </w:tc>
        <w:tc>
          <w:tcPr>
            <w:tcW w:w="565" w:type="pct"/>
            <w:tcBorders>
              <w:top w:val="nil"/>
              <w:left w:val="nil"/>
              <w:bottom w:val="nil"/>
              <w:right w:val="nil"/>
            </w:tcBorders>
            <w:vAlign w:val="center"/>
          </w:tcPr>
          <w:p w14:paraId="2248CF7B">
            <w:pPr>
              <w:jc w:val="center"/>
              <w:rPr>
                <w:rFonts w:hint="default" w:ascii="Times New Roman" w:hAnsi="Times New Roman" w:cs="Times New Roman"/>
                <w:color w:val="auto"/>
                <w:sz w:val="18"/>
                <w:szCs w:val="18"/>
                <w:vertAlign w:val="baseline"/>
                <w:lang w:val="en-US" w:eastAsia="zh-CN"/>
              </w:rPr>
            </w:pPr>
          </w:p>
        </w:tc>
      </w:tr>
      <w:tr w14:paraId="12860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5" w:type="pct"/>
            <w:tcBorders>
              <w:top w:val="nil"/>
              <w:left w:val="nil"/>
              <w:bottom w:val="nil"/>
              <w:right w:val="nil"/>
            </w:tcBorders>
            <w:vAlign w:val="center"/>
          </w:tcPr>
          <w:p w14:paraId="4742FCF4">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Cash</w:t>
            </w:r>
          </w:p>
        </w:tc>
        <w:tc>
          <w:tcPr>
            <w:tcW w:w="625" w:type="pct"/>
            <w:tcBorders>
              <w:top w:val="nil"/>
              <w:left w:val="nil"/>
              <w:bottom w:val="nil"/>
              <w:right w:val="nil"/>
            </w:tcBorders>
            <w:vAlign w:val="center"/>
          </w:tcPr>
          <w:p w14:paraId="47E92AE8">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-0.134***</w:t>
            </w:r>
          </w:p>
        </w:tc>
        <w:tc>
          <w:tcPr>
            <w:tcW w:w="563" w:type="pct"/>
            <w:tcBorders>
              <w:top w:val="nil"/>
              <w:left w:val="nil"/>
              <w:bottom w:val="nil"/>
              <w:right w:val="nil"/>
            </w:tcBorders>
            <w:vAlign w:val="center"/>
          </w:tcPr>
          <w:p w14:paraId="395C713B">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0.167***</w:t>
            </w:r>
          </w:p>
        </w:tc>
        <w:tc>
          <w:tcPr>
            <w:tcW w:w="563" w:type="pct"/>
            <w:tcBorders>
              <w:top w:val="nil"/>
              <w:left w:val="nil"/>
              <w:bottom w:val="nil"/>
              <w:right w:val="nil"/>
            </w:tcBorders>
            <w:vAlign w:val="center"/>
          </w:tcPr>
          <w:p w14:paraId="0822478F">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-0.089***</w:t>
            </w:r>
          </w:p>
        </w:tc>
        <w:tc>
          <w:tcPr>
            <w:tcW w:w="563" w:type="pct"/>
            <w:tcBorders>
              <w:top w:val="nil"/>
              <w:left w:val="nil"/>
              <w:bottom w:val="nil"/>
              <w:right w:val="nil"/>
            </w:tcBorders>
            <w:vAlign w:val="center"/>
          </w:tcPr>
          <w:p w14:paraId="466173D1">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0.095***</w:t>
            </w:r>
          </w:p>
        </w:tc>
        <w:tc>
          <w:tcPr>
            <w:tcW w:w="563" w:type="pct"/>
            <w:tcBorders>
              <w:top w:val="nil"/>
              <w:left w:val="nil"/>
              <w:bottom w:val="nil"/>
              <w:right w:val="nil"/>
            </w:tcBorders>
            <w:vAlign w:val="center"/>
          </w:tcPr>
          <w:p w14:paraId="4263F511">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-0.203***</w:t>
            </w:r>
          </w:p>
        </w:tc>
        <w:tc>
          <w:tcPr>
            <w:tcW w:w="527" w:type="pct"/>
            <w:tcBorders>
              <w:top w:val="nil"/>
              <w:left w:val="nil"/>
              <w:bottom w:val="nil"/>
              <w:right w:val="nil"/>
            </w:tcBorders>
            <w:vAlign w:val="center"/>
          </w:tcPr>
          <w:p w14:paraId="419AAB14">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0.245***</w:t>
            </w:r>
          </w:p>
        </w:tc>
        <w:tc>
          <w:tcPr>
            <w:tcW w:w="403" w:type="pct"/>
            <w:tcBorders>
              <w:top w:val="nil"/>
              <w:left w:val="nil"/>
              <w:bottom w:val="nil"/>
              <w:right w:val="nil"/>
            </w:tcBorders>
            <w:vAlign w:val="center"/>
          </w:tcPr>
          <w:p w14:paraId="42E1F71D">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1.000</w:t>
            </w:r>
          </w:p>
        </w:tc>
        <w:tc>
          <w:tcPr>
            <w:tcW w:w="565" w:type="pct"/>
            <w:tcBorders>
              <w:top w:val="nil"/>
              <w:left w:val="nil"/>
              <w:bottom w:val="nil"/>
              <w:right w:val="nil"/>
            </w:tcBorders>
            <w:vAlign w:val="center"/>
          </w:tcPr>
          <w:p w14:paraId="541D90A3">
            <w:pPr>
              <w:jc w:val="center"/>
              <w:rPr>
                <w:rFonts w:hint="default" w:ascii="Times New Roman" w:hAnsi="Times New Roman" w:cs="Times New Roman"/>
                <w:color w:val="auto"/>
                <w:sz w:val="18"/>
                <w:szCs w:val="18"/>
                <w:vertAlign w:val="baseline"/>
                <w:lang w:val="en-US" w:eastAsia="zh-CN"/>
              </w:rPr>
            </w:pPr>
          </w:p>
        </w:tc>
      </w:tr>
      <w:tr w14:paraId="53783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25" w:type="pct"/>
            <w:tcBorders>
              <w:top w:val="nil"/>
              <w:left w:val="nil"/>
              <w:bottom w:val="single" w:color="auto" w:sz="12" w:space="0"/>
              <w:right w:val="nil"/>
            </w:tcBorders>
            <w:vAlign w:val="center"/>
          </w:tcPr>
          <w:p w14:paraId="5B24E6E5">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Deal_Size</w:t>
            </w:r>
          </w:p>
        </w:tc>
        <w:tc>
          <w:tcPr>
            <w:tcW w:w="625" w:type="pct"/>
            <w:tcBorders>
              <w:top w:val="nil"/>
              <w:left w:val="nil"/>
              <w:bottom w:val="single" w:color="auto" w:sz="12" w:space="0"/>
              <w:right w:val="nil"/>
            </w:tcBorders>
            <w:vAlign w:val="center"/>
          </w:tcPr>
          <w:p w14:paraId="766C3BCD">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0.087***</w:t>
            </w:r>
          </w:p>
        </w:tc>
        <w:tc>
          <w:tcPr>
            <w:tcW w:w="563" w:type="pct"/>
            <w:tcBorders>
              <w:top w:val="nil"/>
              <w:left w:val="nil"/>
              <w:bottom w:val="single" w:color="auto" w:sz="12" w:space="0"/>
              <w:right w:val="nil"/>
            </w:tcBorders>
            <w:vAlign w:val="center"/>
          </w:tcPr>
          <w:p w14:paraId="382EEC3A">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-0.045*</w:t>
            </w:r>
          </w:p>
        </w:tc>
        <w:tc>
          <w:tcPr>
            <w:tcW w:w="563" w:type="pct"/>
            <w:tcBorders>
              <w:top w:val="nil"/>
              <w:left w:val="nil"/>
              <w:bottom w:val="single" w:color="auto" w:sz="12" w:space="0"/>
              <w:right w:val="nil"/>
            </w:tcBorders>
            <w:vAlign w:val="center"/>
          </w:tcPr>
          <w:p w14:paraId="3E00743E">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0.156***</w:t>
            </w:r>
          </w:p>
        </w:tc>
        <w:tc>
          <w:tcPr>
            <w:tcW w:w="563" w:type="pct"/>
            <w:tcBorders>
              <w:top w:val="nil"/>
              <w:left w:val="nil"/>
              <w:bottom w:val="single" w:color="auto" w:sz="12" w:space="0"/>
              <w:right w:val="nil"/>
            </w:tcBorders>
            <w:vAlign w:val="center"/>
          </w:tcPr>
          <w:p w14:paraId="58157AE7">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0.267***</w:t>
            </w:r>
          </w:p>
        </w:tc>
        <w:tc>
          <w:tcPr>
            <w:tcW w:w="563" w:type="pct"/>
            <w:tcBorders>
              <w:top w:val="nil"/>
              <w:left w:val="nil"/>
              <w:bottom w:val="single" w:color="auto" w:sz="12" w:space="0"/>
              <w:right w:val="nil"/>
            </w:tcBorders>
            <w:vAlign w:val="center"/>
          </w:tcPr>
          <w:p w14:paraId="7F3A7BE1">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0.078***</w:t>
            </w:r>
          </w:p>
        </w:tc>
        <w:tc>
          <w:tcPr>
            <w:tcW w:w="527" w:type="pct"/>
            <w:tcBorders>
              <w:top w:val="nil"/>
              <w:left w:val="nil"/>
              <w:bottom w:val="single" w:color="auto" w:sz="12" w:space="0"/>
              <w:right w:val="nil"/>
            </w:tcBorders>
            <w:vAlign w:val="center"/>
          </w:tcPr>
          <w:p w14:paraId="06A1136D">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-0.034</w:t>
            </w:r>
          </w:p>
        </w:tc>
        <w:tc>
          <w:tcPr>
            <w:tcW w:w="403" w:type="pct"/>
            <w:tcBorders>
              <w:top w:val="nil"/>
              <w:left w:val="nil"/>
              <w:bottom w:val="single" w:color="auto" w:sz="12" w:space="0"/>
              <w:right w:val="nil"/>
            </w:tcBorders>
            <w:vAlign w:val="center"/>
          </w:tcPr>
          <w:p w14:paraId="0E60935A">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-0.012</w:t>
            </w:r>
          </w:p>
        </w:tc>
        <w:tc>
          <w:tcPr>
            <w:tcW w:w="565" w:type="pct"/>
            <w:tcBorders>
              <w:top w:val="nil"/>
              <w:left w:val="nil"/>
              <w:bottom w:val="single" w:color="auto" w:sz="12" w:space="0"/>
              <w:right w:val="nil"/>
            </w:tcBorders>
            <w:vAlign w:val="center"/>
          </w:tcPr>
          <w:p w14:paraId="475EB177">
            <w:pPr>
              <w:jc w:val="center"/>
              <w:rPr>
                <w:rFonts w:hint="default" w:ascii="Times New Roman" w:hAnsi="Times New Roman" w:cs="Times New Roman"/>
                <w:color w:val="auto"/>
                <w:sz w:val="18"/>
                <w:szCs w:val="18"/>
                <w:vertAlign w:val="baseline"/>
                <w:lang w:val="en-US" w:eastAsia="zh-CN"/>
              </w:rPr>
            </w:pPr>
            <w:r>
              <w:rPr>
                <w:rFonts w:hint="default" w:ascii="Times New Roman" w:hAnsi="Times New Roman" w:cs="Times New Roman"/>
                <w:color w:val="auto"/>
                <w:sz w:val="18"/>
                <w:szCs w:val="18"/>
                <w:lang w:val="en-US" w:eastAsia="zh-CN"/>
              </w:rPr>
              <w:t>1.000</w:t>
            </w:r>
          </w:p>
        </w:tc>
      </w:tr>
    </w:tbl>
    <w:p w14:paraId="7CCCF59D">
      <w:p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注：</w:t>
      </w:r>
      <w:r>
        <w:rPr>
          <w:rFonts w:hint="default" w:ascii="Times New Roman" w:hAnsi="Times New Roman" w:cs="Times New Roman"/>
          <w:color w:val="auto"/>
          <w:sz w:val="18"/>
          <w:szCs w:val="18"/>
          <w:lang w:val="en-US" w:eastAsia="zh-CN"/>
        </w:rPr>
        <w:t>*</w:t>
      </w:r>
      <w:r>
        <w:rPr>
          <w:rFonts w:hint="default" w:ascii="Times New Roman" w:hAnsi="Times New Roman" w:cs="Times New Roman"/>
          <w:color w:val="auto"/>
          <w:lang w:val="en-US" w:eastAsia="zh-CN"/>
        </w:rPr>
        <w:t>、</w:t>
      </w:r>
      <w:r>
        <w:rPr>
          <w:rFonts w:hint="default" w:ascii="Times New Roman" w:hAnsi="Times New Roman" w:cs="Times New Roman"/>
          <w:color w:val="auto"/>
          <w:sz w:val="18"/>
          <w:szCs w:val="18"/>
          <w:lang w:val="en-US" w:eastAsia="zh-CN"/>
        </w:rPr>
        <w:t>**</w:t>
      </w:r>
      <w:r>
        <w:rPr>
          <w:rFonts w:hint="default" w:ascii="Times New Roman" w:hAnsi="Times New Roman" w:cs="Times New Roman"/>
          <w:color w:val="auto"/>
          <w:lang w:val="en-US" w:eastAsia="zh-CN"/>
        </w:rPr>
        <w:t>、</w:t>
      </w:r>
      <w:r>
        <w:rPr>
          <w:rFonts w:hint="default" w:ascii="Times New Roman" w:hAnsi="Times New Roman" w:cs="Times New Roman"/>
          <w:color w:val="auto"/>
          <w:sz w:val="18"/>
          <w:szCs w:val="18"/>
          <w:lang w:val="en-US" w:eastAsia="zh-CN"/>
        </w:rPr>
        <w:t>***</w:t>
      </w:r>
      <w:r>
        <w:rPr>
          <w:rFonts w:hint="default" w:ascii="Times New Roman" w:hAnsi="Times New Roman" w:cs="Times New Roman"/>
          <w:color w:val="auto"/>
          <w:lang w:val="en-US" w:eastAsia="zh-CN"/>
        </w:rPr>
        <w:t>分别表示在1%、5%、10%水平上显著。</w:t>
      </w:r>
    </w:p>
    <w:p w14:paraId="72F1AF58">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相关性分析结果显示，信息不对称指数（IA_Text）与破产风险（Bankruptcy）呈显著正相关（相关系数0.287，p&lt;0.01），为H1提供了初步支持。同时，IA_Text与违约距离（DD）呈显著负相关，进一步验证了信息不对称对破产风险的负面影响。传统财务变量与破产风险的相关性方向符合理论预期，如杠杆率与破产风险正相关，盈利能力与破产风险负相关。各解释变量之间的相关系数均低于0.5，表明多重共线性问题不严重。</w:t>
      </w:r>
    </w:p>
    <w:p w14:paraId="150DEE2A">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drawing>
          <wp:inline distT="0" distB="0" distL="114300" distR="114300">
            <wp:extent cx="4114165" cy="3599815"/>
            <wp:effectExtent l="0" t="0" r="635" b="635"/>
            <wp:docPr id="15" name="图片 1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
                    <pic:cNvPicPr>
                      <a:picLocks noChangeAspect="1"/>
                    </pic:cNvPicPr>
                  </pic:nvPicPr>
                  <pic:blipFill>
                    <a:blip r:embed="rId6"/>
                    <a:stretch>
                      <a:fillRect/>
                    </a:stretch>
                  </pic:blipFill>
                  <pic:spPr>
                    <a:xfrm>
                      <a:off x="0" y="0"/>
                      <a:ext cx="4114165" cy="3599815"/>
                    </a:xfrm>
                    <a:prstGeom prst="rect">
                      <a:avLst/>
                    </a:prstGeom>
                  </pic:spPr>
                </pic:pic>
              </a:graphicData>
            </a:graphic>
          </wp:inline>
        </w:drawing>
      </w:r>
    </w:p>
    <w:p w14:paraId="62E32353">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图3 主要变量相关性热力图</w:t>
      </w:r>
    </w:p>
    <w:p w14:paraId="5D528C9B">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图3展示了各变量间的相关关系。红色表示正相关，蓝色表示负相关，颜色深浅反映相关程度。图中清晰显示，IA_Text与Bankruptcy之间存在明显的正相关关系（红色），而与DD呈负相关（蓝色）。传统风险因素如Leverage与Bankruptcy的正相关性也很明显。热力图的对称性使得变量间的关系模式一目了然，为理解多变量关系提供了直观视角。</w:t>
      </w:r>
    </w:p>
    <w:p w14:paraId="7F2F5F58">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lang w:val="en-US" w:eastAsia="zh-CN"/>
        </w:rPr>
      </w:pPr>
      <w:bookmarkStart w:id="25" w:name="_Toc117"/>
      <w:r>
        <w:rPr>
          <w:rFonts w:hint="default" w:ascii="Times New Roman" w:hAnsi="Times New Roman" w:eastAsia="黑体" w:cs="Times New Roman"/>
          <w:color w:val="auto"/>
          <w:sz w:val="28"/>
          <w:szCs w:val="28"/>
          <w:lang w:val="en-US" w:eastAsia="zh-CN"/>
        </w:rPr>
        <w:t>5.2</w:t>
      </w:r>
      <w:r>
        <w:rPr>
          <w:rFonts w:hint="default" w:ascii="Times New Roman" w:hAnsi="Times New Roman" w:eastAsia="黑体" w:cs="Times New Roman"/>
          <w:color w:val="auto"/>
          <w:sz w:val="28"/>
          <w:szCs w:val="28"/>
          <w:lang w:val="en-US" w:eastAsia="zh-CN"/>
        </w:rPr>
        <w:t>基准回归结果</w:t>
      </w:r>
      <w:bookmarkEnd w:id="25"/>
    </w:p>
    <w:p w14:paraId="4C43D790">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26" w:name="_Toc2099"/>
      <w:r>
        <w:rPr>
          <w:rFonts w:hint="default" w:ascii="Times New Roman" w:hAnsi="Times New Roman" w:eastAsia="黑体" w:cs="Times New Roman"/>
          <w:color w:val="auto"/>
          <w:lang w:val="en-US" w:eastAsia="zh-CN"/>
        </w:rPr>
        <w:t>5.2.1</w:t>
      </w:r>
      <w:r>
        <w:rPr>
          <w:rFonts w:hint="default" w:ascii="Times New Roman" w:hAnsi="Times New Roman" w:eastAsia="黑体" w:cs="Times New Roman"/>
          <w:color w:val="auto"/>
          <w:lang w:val="en-US" w:eastAsia="zh-CN"/>
        </w:rPr>
        <w:t>信息不对称与破产风险</w:t>
      </w:r>
      <w:bookmarkEnd w:id="26"/>
    </w:p>
    <w:p w14:paraId="05445BDE">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本研究采用逻辑回归模型检验信息不对称对破产风险的影响，基准回归结果如表6所示。</w:t>
      </w:r>
    </w:p>
    <w:p w14:paraId="03460C87">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表6 信息不对称与破产风险的基准回归结果</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58AED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single" w:color="auto" w:sz="12" w:space="0"/>
              <w:left w:val="nil"/>
              <w:bottom w:val="single" w:color="auto" w:sz="4" w:space="0"/>
              <w:right w:val="nil"/>
            </w:tcBorders>
            <w:vAlign w:val="center"/>
          </w:tcPr>
          <w:p w14:paraId="5208C850">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变量</w:t>
            </w:r>
          </w:p>
        </w:tc>
        <w:tc>
          <w:tcPr>
            <w:tcW w:w="1704" w:type="dxa"/>
            <w:tcBorders>
              <w:top w:val="single" w:color="auto" w:sz="12" w:space="0"/>
              <w:left w:val="nil"/>
              <w:bottom w:val="single" w:color="auto" w:sz="4" w:space="0"/>
              <w:right w:val="nil"/>
            </w:tcBorders>
            <w:vAlign w:val="center"/>
          </w:tcPr>
          <w:p w14:paraId="3E294640">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模型(1)</w:t>
            </w:r>
          </w:p>
        </w:tc>
        <w:tc>
          <w:tcPr>
            <w:tcW w:w="1704" w:type="dxa"/>
            <w:tcBorders>
              <w:top w:val="single" w:color="auto" w:sz="12" w:space="0"/>
              <w:left w:val="nil"/>
              <w:bottom w:val="single" w:color="auto" w:sz="4" w:space="0"/>
              <w:right w:val="nil"/>
            </w:tcBorders>
            <w:vAlign w:val="center"/>
          </w:tcPr>
          <w:p w14:paraId="49330A21">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模型(2)</w:t>
            </w:r>
          </w:p>
        </w:tc>
        <w:tc>
          <w:tcPr>
            <w:tcW w:w="1705" w:type="dxa"/>
            <w:tcBorders>
              <w:top w:val="single" w:color="auto" w:sz="12" w:space="0"/>
              <w:left w:val="nil"/>
              <w:bottom w:val="single" w:color="auto" w:sz="4" w:space="0"/>
              <w:right w:val="nil"/>
            </w:tcBorders>
            <w:vAlign w:val="center"/>
          </w:tcPr>
          <w:p w14:paraId="7053D94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模型(3)</w:t>
            </w:r>
          </w:p>
        </w:tc>
        <w:tc>
          <w:tcPr>
            <w:tcW w:w="1705" w:type="dxa"/>
            <w:tcBorders>
              <w:top w:val="single" w:color="auto" w:sz="12" w:space="0"/>
              <w:left w:val="nil"/>
              <w:bottom w:val="single" w:color="auto" w:sz="4" w:space="0"/>
              <w:right w:val="nil"/>
            </w:tcBorders>
            <w:vAlign w:val="center"/>
          </w:tcPr>
          <w:p w14:paraId="3C42EFE9">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模型(4)</w:t>
            </w:r>
          </w:p>
        </w:tc>
      </w:tr>
      <w:tr w14:paraId="435DB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Merge w:val="restart"/>
            <w:tcBorders>
              <w:top w:val="single" w:color="auto" w:sz="4" w:space="0"/>
              <w:left w:val="nil"/>
              <w:right w:val="nil"/>
            </w:tcBorders>
            <w:vAlign w:val="center"/>
          </w:tcPr>
          <w:p w14:paraId="56E3D80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IA_Text</w:t>
            </w:r>
          </w:p>
        </w:tc>
        <w:tc>
          <w:tcPr>
            <w:tcW w:w="1704" w:type="dxa"/>
            <w:tcBorders>
              <w:top w:val="single" w:color="auto" w:sz="4" w:space="0"/>
              <w:left w:val="nil"/>
              <w:bottom w:val="nil"/>
              <w:right w:val="nil"/>
            </w:tcBorders>
            <w:vAlign w:val="center"/>
          </w:tcPr>
          <w:p w14:paraId="4BB25B9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2.345***</w:t>
            </w:r>
          </w:p>
        </w:tc>
        <w:tc>
          <w:tcPr>
            <w:tcW w:w="1704" w:type="dxa"/>
            <w:tcBorders>
              <w:top w:val="single" w:color="auto" w:sz="4" w:space="0"/>
              <w:left w:val="nil"/>
              <w:bottom w:val="nil"/>
              <w:right w:val="nil"/>
            </w:tcBorders>
            <w:vAlign w:val="center"/>
          </w:tcPr>
          <w:p w14:paraId="29699C61">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2.128***</w:t>
            </w:r>
          </w:p>
        </w:tc>
        <w:tc>
          <w:tcPr>
            <w:tcW w:w="1705" w:type="dxa"/>
            <w:tcBorders>
              <w:top w:val="single" w:color="auto" w:sz="4" w:space="0"/>
              <w:left w:val="nil"/>
              <w:bottom w:val="nil"/>
              <w:right w:val="nil"/>
            </w:tcBorders>
            <w:vAlign w:val="center"/>
          </w:tcPr>
          <w:p w14:paraId="3B1BCD2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1.876***</w:t>
            </w:r>
          </w:p>
        </w:tc>
        <w:tc>
          <w:tcPr>
            <w:tcW w:w="1705" w:type="dxa"/>
            <w:tcBorders>
              <w:top w:val="single" w:color="auto" w:sz="4" w:space="0"/>
              <w:left w:val="nil"/>
              <w:bottom w:val="nil"/>
              <w:right w:val="nil"/>
            </w:tcBorders>
            <w:vAlign w:val="center"/>
          </w:tcPr>
          <w:p w14:paraId="2A1806B9">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1.645***</w:t>
            </w:r>
          </w:p>
        </w:tc>
      </w:tr>
      <w:tr w14:paraId="2D3E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Merge w:val="continue"/>
            <w:tcBorders>
              <w:left w:val="nil"/>
              <w:bottom w:val="nil"/>
              <w:right w:val="nil"/>
            </w:tcBorders>
            <w:vAlign w:val="center"/>
          </w:tcPr>
          <w:p w14:paraId="3A76E4BB">
            <w:pPr>
              <w:jc w:val="center"/>
              <w:rPr>
                <w:rFonts w:hint="default" w:ascii="Times New Roman" w:hAnsi="Times New Roman" w:cs="Times New Roman"/>
                <w:color w:val="auto"/>
                <w:vertAlign w:val="baseline"/>
                <w:lang w:val="en-US" w:eastAsia="zh-CN"/>
              </w:rPr>
            </w:pPr>
          </w:p>
        </w:tc>
        <w:tc>
          <w:tcPr>
            <w:tcW w:w="1704" w:type="dxa"/>
            <w:tcBorders>
              <w:top w:val="nil"/>
              <w:left w:val="nil"/>
              <w:bottom w:val="nil"/>
              <w:right w:val="nil"/>
            </w:tcBorders>
            <w:vAlign w:val="center"/>
          </w:tcPr>
          <w:p w14:paraId="4DD7D3C6">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(0.234)</w:t>
            </w:r>
          </w:p>
        </w:tc>
        <w:tc>
          <w:tcPr>
            <w:tcW w:w="1704" w:type="dxa"/>
            <w:tcBorders>
              <w:top w:val="nil"/>
              <w:left w:val="nil"/>
              <w:bottom w:val="nil"/>
              <w:right w:val="nil"/>
            </w:tcBorders>
            <w:vAlign w:val="center"/>
          </w:tcPr>
          <w:p w14:paraId="3CDA71F4">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(0.245)</w:t>
            </w:r>
          </w:p>
        </w:tc>
        <w:tc>
          <w:tcPr>
            <w:tcW w:w="1705" w:type="dxa"/>
            <w:tcBorders>
              <w:top w:val="nil"/>
              <w:left w:val="nil"/>
              <w:bottom w:val="nil"/>
              <w:right w:val="nil"/>
            </w:tcBorders>
            <w:vAlign w:val="center"/>
          </w:tcPr>
          <w:p w14:paraId="619CEA23">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(0.267)</w:t>
            </w:r>
          </w:p>
        </w:tc>
        <w:tc>
          <w:tcPr>
            <w:tcW w:w="1705" w:type="dxa"/>
            <w:tcBorders>
              <w:top w:val="nil"/>
              <w:left w:val="nil"/>
              <w:bottom w:val="nil"/>
              <w:right w:val="nil"/>
            </w:tcBorders>
            <w:vAlign w:val="center"/>
          </w:tcPr>
          <w:p w14:paraId="0A62800C">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(0.278)</w:t>
            </w:r>
          </w:p>
        </w:tc>
      </w:tr>
      <w:tr w14:paraId="58A33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Merge w:val="restart"/>
            <w:tcBorders>
              <w:top w:val="nil"/>
              <w:left w:val="nil"/>
              <w:right w:val="nil"/>
            </w:tcBorders>
            <w:vAlign w:val="center"/>
          </w:tcPr>
          <w:p w14:paraId="68C5EEC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Size</w:t>
            </w:r>
          </w:p>
        </w:tc>
        <w:tc>
          <w:tcPr>
            <w:tcW w:w="1704" w:type="dxa"/>
            <w:tcBorders>
              <w:top w:val="nil"/>
              <w:left w:val="nil"/>
              <w:bottom w:val="nil"/>
              <w:right w:val="nil"/>
            </w:tcBorders>
            <w:vAlign w:val="center"/>
          </w:tcPr>
          <w:p w14:paraId="6E6769F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w:t>
            </w:r>
          </w:p>
        </w:tc>
        <w:tc>
          <w:tcPr>
            <w:tcW w:w="1704" w:type="dxa"/>
            <w:tcBorders>
              <w:top w:val="nil"/>
              <w:left w:val="nil"/>
              <w:bottom w:val="nil"/>
              <w:right w:val="nil"/>
            </w:tcBorders>
            <w:vAlign w:val="center"/>
          </w:tcPr>
          <w:p w14:paraId="4F1F7540">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-0.456***</w:t>
            </w:r>
          </w:p>
        </w:tc>
        <w:tc>
          <w:tcPr>
            <w:tcW w:w="1705" w:type="dxa"/>
            <w:tcBorders>
              <w:top w:val="nil"/>
              <w:left w:val="nil"/>
              <w:bottom w:val="nil"/>
              <w:right w:val="nil"/>
            </w:tcBorders>
            <w:vAlign w:val="center"/>
          </w:tcPr>
          <w:p w14:paraId="4BF1562B">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-0.423***</w:t>
            </w:r>
          </w:p>
        </w:tc>
        <w:tc>
          <w:tcPr>
            <w:tcW w:w="1705" w:type="dxa"/>
            <w:tcBorders>
              <w:top w:val="nil"/>
              <w:left w:val="nil"/>
              <w:bottom w:val="nil"/>
              <w:right w:val="nil"/>
            </w:tcBorders>
            <w:vAlign w:val="center"/>
          </w:tcPr>
          <w:p w14:paraId="7CF165AC">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-0.398***</w:t>
            </w:r>
          </w:p>
        </w:tc>
      </w:tr>
      <w:tr w14:paraId="4A32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Merge w:val="continue"/>
            <w:tcBorders>
              <w:left w:val="nil"/>
              <w:bottom w:val="nil"/>
              <w:right w:val="nil"/>
            </w:tcBorders>
            <w:vAlign w:val="center"/>
          </w:tcPr>
          <w:p w14:paraId="2BDC6761">
            <w:pPr>
              <w:jc w:val="center"/>
              <w:rPr>
                <w:rFonts w:hint="default" w:ascii="Times New Roman" w:hAnsi="Times New Roman" w:cs="Times New Roman"/>
                <w:color w:val="auto"/>
                <w:vertAlign w:val="baseline"/>
                <w:lang w:val="en-US" w:eastAsia="zh-CN"/>
              </w:rPr>
            </w:pPr>
          </w:p>
        </w:tc>
        <w:tc>
          <w:tcPr>
            <w:tcW w:w="1704" w:type="dxa"/>
            <w:tcBorders>
              <w:top w:val="nil"/>
              <w:left w:val="nil"/>
              <w:bottom w:val="nil"/>
              <w:right w:val="nil"/>
            </w:tcBorders>
            <w:vAlign w:val="center"/>
          </w:tcPr>
          <w:p w14:paraId="3A198AF6">
            <w:pPr>
              <w:jc w:val="center"/>
              <w:rPr>
                <w:rFonts w:hint="default" w:ascii="Times New Roman" w:hAnsi="Times New Roman" w:cs="Times New Roman"/>
                <w:color w:val="auto"/>
                <w:vertAlign w:val="baseline"/>
                <w:lang w:val="en-US" w:eastAsia="zh-CN"/>
              </w:rPr>
            </w:pPr>
          </w:p>
        </w:tc>
        <w:tc>
          <w:tcPr>
            <w:tcW w:w="1704" w:type="dxa"/>
            <w:tcBorders>
              <w:top w:val="nil"/>
              <w:left w:val="nil"/>
              <w:bottom w:val="nil"/>
              <w:right w:val="nil"/>
            </w:tcBorders>
            <w:vAlign w:val="center"/>
          </w:tcPr>
          <w:p w14:paraId="5FDDC9C3">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(0.067)</w:t>
            </w:r>
          </w:p>
        </w:tc>
        <w:tc>
          <w:tcPr>
            <w:tcW w:w="1705" w:type="dxa"/>
            <w:tcBorders>
              <w:top w:val="nil"/>
              <w:left w:val="nil"/>
              <w:bottom w:val="nil"/>
              <w:right w:val="nil"/>
            </w:tcBorders>
            <w:vAlign w:val="center"/>
          </w:tcPr>
          <w:p w14:paraId="1483D308">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(0.069)</w:t>
            </w:r>
          </w:p>
        </w:tc>
        <w:tc>
          <w:tcPr>
            <w:tcW w:w="1705" w:type="dxa"/>
            <w:tcBorders>
              <w:top w:val="nil"/>
              <w:left w:val="nil"/>
              <w:bottom w:val="nil"/>
              <w:right w:val="nil"/>
            </w:tcBorders>
            <w:vAlign w:val="center"/>
          </w:tcPr>
          <w:p w14:paraId="2DE0E8E9">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(0.071)</w:t>
            </w:r>
          </w:p>
        </w:tc>
      </w:tr>
      <w:tr w14:paraId="2AB3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Merge w:val="restart"/>
            <w:tcBorders>
              <w:top w:val="nil"/>
              <w:left w:val="nil"/>
              <w:right w:val="nil"/>
            </w:tcBorders>
            <w:vAlign w:val="center"/>
          </w:tcPr>
          <w:p w14:paraId="7DC40AB1">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Leverage</w:t>
            </w:r>
          </w:p>
        </w:tc>
        <w:tc>
          <w:tcPr>
            <w:tcW w:w="1704" w:type="dxa"/>
            <w:tcBorders>
              <w:top w:val="nil"/>
              <w:left w:val="nil"/>
              <w:bottom w:val="nil"/>
              <w:right w:val="nil"/>
            </w:tcBorders>
            <w:vAlign w:val="center"/>
          </w:tcPr>
          <w:p w14:paraId="4607A225">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w:t>
            </w:r>
          </w:p>
        </w:tc>
        <w:tc>
          <w:tcPr>
            <w:tcW w:w="1704" w:type="dxa"/>
            <w:tcBorders>
              <w:top w:val="nil"/>
              <w:left w:val="nil"/>
              <w:bottom w:val="nil"/>
              <w:right w:val="nil"/>
            </w:tcBorders>
            <w:vAlign w:val="center"/>
          </w:tcPr>
          <w:p w14:paraId="1EE77665">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3.267***</w:t>
            </w:r>
          </w:p>
        </w:tc>
        <w:tc>
          <w:tcPr>
            <w:tcW w:w="1705" w:type="dxa"/>
            <w:tcBorders>
              <w:top w:val="nil"/>
              <w:left w:val="nil"/>
              <w:bottom w:val="nil"/>
              <w:right w:val="nil"/>
            </w:tcBorders>
            <w:vAlign w:val="center"/>
          </w:tcPr>
          <w:p w14:paraId="0DC70E07">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3.012***</w:t>
            </w:r>
          </w:p>
        </w:tc>
        <w:tc>
          <w:tcPr>
            <w:tcW w:w="1705" w:type="dxa"/>
            <w:tcBorders>
              <w:top w:val="nil"/>
              <w:left w:val="nil"/>
              <w:bottom w:val="nil"/>
              <w:right w:val="nil"/>
            </w:tcBorders>
            <w:vAlign w:val="center"/>
          </w:tcPr>
          <w:p w14:paraId="5CAADF4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2.845***</w:t>
            </w:r>
          </w:p>
        </w:tc>
      </w:tr>
      <w:tr w14:paraId="2094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Merge w:val="continue"/>
            <w:tcBorders>
              <w:left w:val="nil"/>
              <w:bottom w:val="nil"/>
              <w:right w:val="nil"/>
            </w:tcBorders>
            <w:vAlign w:val="center"/>
          </w:tcPr>
          <w:p w14:paraId="5D509792">
            <w:pPr>
              <w:jc w:val="center"/>
              <w:rPr>
                <w:rFonts w:hint="default" w:ascii="Times New Roman" w:hAnsi="Times New Roman" w:cs="Times New Roman"/>
                <w:color w:val="auto"/>
                <w:vertAlign w:val="baseline"/>
                <w:lang w:val="en-US" w:eastAsia="zh-CN"/>
              </w:rPr>
            </w:pPr>
          </w:p>
        </w:tc>
        <w:tc>
          <w:tcPr>
            <w:tcW w:w="1704" w:type="dxa"/>
            <w:tcBorders>
              <w:top w:val="nil"/>
              <w:left w:val="nil"/>
              <w:bottom w:val="nil"/>
              <w:right w:val="nil"/>
            </w:tcBorders>
            <w:vAlign w:val="center"/>
          </w:tcPr>
          <w:p w14:paraId="3F41FDD9">
            <w:pPr>
              <w:jc w:val="center"/>
              <w:rPr>
                <w:rFonts w:hint="default" w:ascii="Times New Roman" w:hAnsi="Times New Roman" w:cs="Times New Roman"/>
                <w:color w:val="auto"/>
                <w:vertAlign w:val="baseline"/>
                <w:lang w:val="en-US" w:eastAsia="zh-CN"/>
              </w:rPr>
            </w:pPr>
          </w:p>
        </w:tc>
        <w:tc>
          <w:tcPr>
            <w:tcW w:w="1704" w:type="dxa"/>
            <w:tcBorders>
              <w:top w:val="nil"/>
              <w:left w:val="nil"/>
              <w:bottom w:val="nil"/>
              <w:right w:val="nil"/>
            </w:tcBorders>
            <w:vAlign w:val="center"/>
          </w:tcPr>
          <w:p w14:paraId="21A8845A">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(0.345)</w:t>
            </w:r>
          </w:p>
        </w:tc>
        <w:tc>
          <w:tcPr>
            <w:tcW w:w="1705" w:type="dxa"/>
            <w:tcBorders>
              <w:top w:val="nil"/>
              <w:left w:val="nil"/>
              <w:bottom w:val="nil"/>
              <w:right w:val="nil"/>
            </w:tcBorders>
            <w:vAlign w:val="center"/>
          </w:tcPr>
          <w:p w14:paraId="338B697F">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(0.356)</w:t>
            </w:r>
          </w:p>
        </w:tc>
        <w:tc>
          <w:tcPr>
            <w:tcW w:w="1705" w:type="dxa"/>
            <w:tcBorders>
              <w:top w:val="nil"/>
              <w:left w:val="nil"/>
              <w:bottom w:val="nil"/>
              <w:right w:val="nil"/>
            </w:tcBorders>
            <w:vAlign w:val="center"/>
          </w:tcPr>
          <w:p w14:paraId="1F793E55">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(0.367)</w:t>
            </w:r>
          </w:p>
        </w:tc>
      </w:tr>
      <w:tr w14:paraId="46A5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Merge w:val="restart"/>
            <w:tcBorders>
              <w:top w:val="nil"/>
              <w:left w:val="nil"/>
              <w:right w:val="nil"/>
            </w:tcBorders>
            <w:vAlign w:val="center"/>
          </w:tcPr>
          <w:p w14:paraId="5F71CCB5">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ROA</w:t>
            </w:r>
          </w:p>
        </w:tc>
        <w:tc>
          <w:tcPr>
            <w:tcW w:w="1704" w:type="dxa"/>
            <w:tcBorders>
              <w:top w:val="nil"/>
              <w:left w:val="nil"/>
              <w:bottom w:val="nil"/>
              <w:right w:val="nil"/>
            </w:tcBorders>
            <w:vAlign w:val="center"/>
          </w:tcPr>
          <w:p w14:paraId="4BC9E7DB">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w:t>
            </w:r>
          </w:p>
        </w:tc>
        <w:tc>
          <w:tcPr>
            <w:tcW w:w="1704" w:type="dxa"/>
            <w:tcBorders>
              <w:top w:val="nil"/>
              <w:left w:val="nil"/>
              <w:bottom w:val="nil"/>
              <w:right w:val="nil"/>
            </w:tcBorders>
            <w:vAlign w:val="center"/>
          </w:tcPr>
          <w:p w14:paraId="4B0580E0">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-4.123***</w:t>
            </w:r>
          </w:p>
        </w:tc>
        <w:tc>
          <w:tcPr>
            <w:tcW w:w="1705" w:type="dxa"/>
            <w:tcBorders>
              <w:top w:val="nil"/>
              <w:left w:val="nil"/>
              <w:bottom w:val="nil"/>
              <w:right w:val="nil"/>
            </w:tcBorders>
            <w:vAlign w:val="center"/>
          </w:tcPr>
          <w:p w14:paraId="054A7C8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-3.867***</w:t>
            </w:r>
          </w:p>
        </w:tc>
        <w:tc>
          <w:tcPr>
            <w:tcW w:w="1705" w:type="dxa"/>
            <w:tcBorders>
              <w:top w:val="nil"/>
              <w:left w:val="nil"/>
              <w:bottom w:val="nil"/>
              <w:right w:val="nil"/>
            </w:tcBorders>
            <w:vAlign w:val="center"/>
          </w:tcPr>
          <w:p w14:paraId="4CE981CB">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-3.645***</w:t>
            </w:r>
          </w:p>
        </w:tc>
      </w:tr>
      <w:tr w14:paraId="5947B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Merge w:val="continue"/>
            <w:tcBorders>
              <w:left w:val="nil"/>
              <w:bottom w:val="nil"/>
              <w:right w:val="nil"/>
            </w:tcBorders>
            <w:vAlign w:val="center"/>
          </w:tcPr>
          <w:p w14:paraId="46A955F1">
            <w:pPr>
              <w:jc w:val="center"/>
              <w:rPr>
                <w:rFonts w:hint="default" w:ascii="Times New Roman" w:hAnsi="Times New Roman" w:cs="Times New Roman"/>
                <w:color w:val="auto"/>
                <w:vertAlign w:val="baseline"/>
                <w:lang w:val="en-US" w:eastAsia="zh-CN"/>
              </w:rPr>
            </w:pPr>
          </w:p>
        </w:tc>
        <w:tc>
          <w:tcPr>
            <w:tcW w:w="1704" w:type="dxa"/>
            <w:tcBorders>
              <w:top w:val="nil"/>
              <w:left w:val="nil"/>
              <w:bottom w:val="nil"/>
              <w:right w:val="nil"/>
            </w:tcBorders>
            <w:vAlign w:val="center"/>
          </w:tcPr>
          <w:p w14:paraId="46CD176E">
            <w:pPr>
              <w:jc w:val="center"/>
              <w:rPr>
                <w:rFonts w:hint="default" w:ascii="Times New Roman" w:hAnsi="Times New Roman" w:cs="Times New Roman"/>
                <w:color w:val="auto"/>
                <w:vertAlign w:val="baseline"/>
                <w:lang w:val="en-US" w:eastAsia="zh-CN"/>
              </w:rPr>
            </w:pPr>
          </w:p>
        </w:tc>
        <w:tc>
          <w:tcPr>
            <w:tcW w:w="1704" w:type="dxa"/>
            <w:tcBorders>
              <w:top w:val="nil"/>
              <w:left w:val="nil"/>
              <w:bottom w:val="nil"/>
              <w:right w:val="nil"/>
            </w:tcBorders>
            <w:vAlign w:val="center"/>
          </w:tcPr>
          <w:p w14:paraId="59EFE616">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(0.512)</w:t>
            </w:r>
          </w:p>
        </w:tc>
        <w:tc>
          <w:tcPr>
            <w:tcW w:w="1705" w:type="dxa"/>
            <w:tcBorders>
              <w:top w:val="nil"/>
              <w:left w:val="nil"/>
              <w:bottom w:val="nil"/>
              <w:right w:val="nil"/>
            </w:tcBorders>
            <w:vAlign w:val="center"/>
          </w:tcPr>
          <w:p w14:paraId="33A071CE">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(0.523)</w:t>
            </w:r>
          </w:p>
        </w:tc>
        <w:tc>
          <w:tcPr>
            <w:tcW w:w="1705" w:type="dxa"/>
            <w:tcBorders>
              <w:top w:val="nil"/>
              <w:left w:val="nil"/>
              <w:bottom w:val="nil"/>
              <w:right w:val="nil"/>
            </w:tcBorders>
            <w:vAlign w:val="center"/>
          </w:tcPr>
          <w:p w14:paraId="6B015C6E">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(0.534)</w:t>
            </w:r>
          </w:p>
        </w:tc>
      </w:tr>
      <w:tr w14:paraId="3525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Merge w:val="restart"/>
            <w:tcBorders>
              <w:top w:val="nil"/>
              <w:left w:val="nil"/>
              <w:right w:val="nil"/>
            </w:tcBorders>
            <w:vAlign w:val="center"/>
          </w:tcPr>
          <w:p w14:paraId="2EBDB792">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Cash</w:t>
            </w:r>
          </w:p>
        </w:tc>
        <w:tc>
          <w:tcPr>
            <w:tcW w:w="1704" w:type="dxa"/>
            <w:tcBorders>
              <w:top w:val="nil"/>
              <w:left w:val="nil"/>
              <w:bottom w:val="nil"/>
              <w:right w:val="nil"/>
            </w:tcBorders>
            <w:vAlign w:val="center"/>
          </w:tcPr>
          <w:p w14:paraId="017DC84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w:t>
            </w:r>
          </w:p>
        </w:tc>
        <w:tc>
          <w:tcPr>
            <w:tcW w:w="1704" w:type="dxa"/>
            <w:tcBorders>
              <w:top w:val="nil"/>
              <w:left w:val="nil"/>
              <w:bottom w:val="nil"/>
              <w:right w:val="nil"/>
            </w:tcBorders>
            <w:vAlign w:val="center"/>
          </w:tcPr>
          <w:p w14:paraId="3E9033E1">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-2.345**</w:t>
            </w:r>
          </w:p>
        </w:tc>
        <w:tc>
          <w:tcPr>
            <w:tcW w:w="1705" w:type="dxa"/>
            <w:tcBorders>
              <w:top w:val="nil"/>
              <w:left w:val="nil"/>
              <w:bottom w:val="nil"/>
              <w:right w:val="nil"/>
            </w:tcBorders>
            <w:vAlign w:val="center"/>
          </w:tcPr>
          <w:p w14:paraId="1F8A9E1F">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-2.123**</w:t>
            </w:r>
          </w:p>
        </w:tc>
        <w:tc>
          <w:tcPr>
            <w:tcW w:w="1705" w:type="dxa"/>
            <w:tcBorders>
              <w:top w:val="nil"/>
              <w:left w:val="nil"/>
              <w:bottom w:val="nil"/>
              <w:right w:val="nil"/>
            </w:tcBorders>
            <w:vAlign w:val="center"/>
          </w:tcPr>
          <w:p w14:paraId="32E5DB8B">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-1.967**</w:t>
            </w:r>
          </w:p>
        </w:tc>
      </w:tr>
      <w:tr w14:paraId="49F84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Merge w:val="continue"/>
            <w:tcBorders>
              <w:left w:val="nil"/>
              <w:bottom w:val="nil"/>
              <w:right w:val="nil"/>
            </w:tcBorders>
            <w:vAlign w:val="center"/>
          </w:tcPr>
          <w:p w14:paraId="23B38492">
            <w:pPr>
              <w:jc w:val="center"/>
              <w:rPr>
                <w:rFonts w:hint="default" w:ascii="Times New Roman" w:hAnsi="Times New Roman" w:cs="Times New Roman"/>
                <w:color w:val="auto"/>
                <w:vertAlign w:val="baseline"/>
                <w:lang w:val="en-US" w:eastAsia="zh-CN"/>
              </w:rPr>
            </w:pPr>
          </w:p>
        </w:tc>
        <w:tc>
          <w:tcPr>
            <w:tcW w:w="1704" w:type="dxa"/>
            <w:tcBorders>
              <w:top w:val="nil"/>
              <w:left w:val="nil"/>
              <w:bottom w:val="nil"/>
              <w:right w:val="nil"/>
            </w:tcBorders>
            <w:vAlign w:val="center"/>
          </w:tcPr>
          <w:p w14:paraId="524A385D">
            <w:pPr>
              <w:jc w:val="center"/>
              <w:rPr>
                <w:rFonts w:hint="default" w:ascii="Times New Roman" w:hAnsi="Times New Roman" w:cs="Times New Roman"/>
                <w:color w:val="auto"/>
                <w:vertAlign w:val="baseline"/>
                <w:lang w:val="en-US" w:eastAsia="zh-CN"/>
              </w:rPr>
            </w:pPr>
          </w:p>
        </w:tc>
        <w:tc>
          <w:tcPr>
            <w:tcW w:w="1704" w:type="dxa"/>
            <w:tcBorders>
              <w:top w:val="nil"/>
              <w:left w:val="nil"/>
              <w:bottom w:val="nil"/>
              <w:right w:val="nil"/>
            </w:tcBorders>
            <w:vAlign w:val="center"/>
          </w:tcPr>
          <w:p w14:paraId="799F3BEA">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(0.987)</w:t>
            </w:r>
          </w:p>
        </w:tc>
        <w:tc>
          <w:tcPr>
            <w:tcW w:w="1705" w:type="dxa"/>
            <w:tcBorders>
              <w:top w:val="nil"/>
              <w:left w:val="nil"/>
              <w:bottom w:val="nil"/>
              <w:right w:val="nil"/>
            </w:tcBorders>
            <w:vAlign w:val="center"/>
          </w:tcPr>
          <w:p w14:paraId="36C7EC7E">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(0.998)</w:t>
            </w:r>
          </w:p>
        </w:tc>
        <w:tc>
          <w:tcPr>
            <w:tcW w:w="1705" w:type="dxa"/>
            <w:tcBorders>
              <w:top w:val="nil"/>
              <w:left w:val="nil"/>
              <w:bottom w:val="nil"/>
              <w:right w:val="nil"/>
            </w:tcBorders>
            <w:vAlign w:val="center"/>
          </w:tcPr>
          <w:p w14:paraId="5AB10B1E">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(1.009)</w:t>
            </w:r>
          </w:p>
        </w:tc>
      </w:tr>
      <w:tr w14:paraId="012F3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Merge w:val="restart"/>
            <w:tcBorders>
              <w:top w:val="nil"/>
              <w:left w:val="nil"/>
              <w:right w:val="nil"/>
            </w:tcBorders>
            <w:vAlign w:val="center"/>
          </w:tcPr>
          <w:p w14:paraId="198EB624">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Deal_Size</w:t>
            </w:r>
          </w:p>
        </w:tc>
        <w:tc>
          <w:tcPr>
            <w:tcW w:w="1704" w:type="dxa"/>
            <w:tcBorders>
              <w:top w:val="nil"/>
              <w:left w:val="nil"/>
              <w:bottom w:val="nil"/>
              <w:right w:val="nil"/>
            </w:tcBorders>
            <w:vAlign w:val="center"/>
          </w:tcPr>
          <w:p w14:paraId="26D76CFF">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w:t>
            </w:r>
          </w:p>
        </w:tc>
        <w:tc>
          <w:tcPr>
            <w:tcW w:w="1704" w:type="dxa"/>
            <w:tcBorders>
              <w:top w:val="nil"/>
              <w:left w:val="nil"/>
              <w:bottom w:val="nil"/>
              <w:right w:val="nil"/>
            </w:tcBorders>
            <w:vAlign w:val="center"/>
          </w:tcPr>
          <w:p w14:paraId="61B099A7">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w:t>
            </w:r>
          </w:p>
        </w:tc>
        <w:tc>
          <w:tcPr>
            <w:tcW w:w="1705" w:type="dxa"/>
            <w:tcBorders>
              <w:top w:val="nil"/>
              <w:left w:val="nil"/>
              <w:bottom w:val="nil"/>
              <w:right w:val="nil"/>
            </w:tcBorders>
            <w:vAlign w:val="center"/>
          </w:tcPr>
          <w:p w14:paraId="1C19A956">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0.234*</w:t>
            </w:r>
          </w:p>
        </w:tc>
        <w:tc>
          <w:tcPr>
            <w:tcW w:w="1705" w:type="dxa"/>
            <w:tcBorders>
              <w:top w:val="nil"/>
              <w:left w:val="nil"/>
              <w:bottom w:val="nil"/>
              <w:right w:val="nil"/>
            </w:tcBorders>
            <w:vAlign w:val="center"/>
          </w:tcPr>
          <w:p w14:paraId="7C5A8D24">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0.198*</w:t>
            </w:r>
          </w:p>
        </w:tc>
      </w:tr>
      <w:tr w14:paraId="4DA42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Merge w:val="continue"/>
            <w:tcBorders>
              <w:left w:val="nil"/>
              <w:bottom w:val="nil"/>
              <w:right w:val="nil"/>
            </w:tcBorders>
            <w:vAlign w:val="center"/>
          </w:tcPr>
          <w:p w14:paraId="1CD4AFE7">
            <w:pPr>
              <w:jc w:val="center"/>
              <w:rPr>
                <w:rFonts w:hint="default" w:ascii="Times New Roman" w:hAnsi="Times New Roman" w:cs="Times New Roman"/>
                <w:color w:val="auto"/>
                <w:vertAlign w:val="baseline"/>
                <w:lang w:val="en-US" w:eastAsia="zh-CN"/>
              </w:rPr>
            </w:pPr>
          </w:p>
        </w:tc>
        <w:tc>
          <w:tcPr>
            <w:tcW w:w="1704" w:type="dxa"/>
            <w:tcBorders>
              <w:top w:val="nil"/>
              <w:left w:val="nil"/>
              <w:bottom w:val="nil"/>
              <w:right w:val="nil"/>
            </w:tcBorders>
            <w:vAlign w:val="center"/>
          </w:tcPr>
          <w:p w14:paraId="67F27CE7">
            <w:pPr>
              <w:jc w:val="center"/>
              <w:rPr>
                <w:rFonts w:hint="default" w:ascii="Times New Roman" w:hAnsi="Times New Roman" w:cs="Times New Roman"/>
                <w:color w:val="auto"/>
                <w:vertAlign w:val="baseline"/>
                <w:lang w:val="en-US" w:eastAsia="zh-CN"/>
              </w:rPr>
            </w:pPr>
          </w:p>
        </w:tc>
        <w:tc>
          <w:tcPr>
            <w:tcW w:w="1704" w:type="dxa"/>
            <w:tcBorders>
              <w:top w:val="nil"/>
              <w:left w:val="nil"/>
              <w:bottom w:val="nil"/>
              <w:right w:val="nil"/>
            </w:tcBorders>
            <w:vAlign w:val="center"/>
          </w:tcPr>
          <w:p w14:paraId="2A36974B">
            <w:pPr>
              <w:jc w:val="center"/>
              <w:rPr>
                <w:rFonts w:hint="default" w:ascii="Times New Roman" w:hAnsi="Times New Roman" w:cs="Times New Roman"/>
                <w:color w:val="auto"/>
                <w:vertAlign w:val="baseline"/>
                <w:lang w:val="en-US" w:eastAsia="zh-CN"/>
              </w:rPr>
            </w:pPr>
          </w:p>
        </w:tc>
        <w:tc>
          <w:tcPr>
            <w:tcW w:w="1705" w:type="dxa"/>
            <w:tcBorders>
              <w:top w:val="nil"/>
              <w:left w:val="nil"/>
              <w:bottom w:val="nil"/>
              <w:right w:val="nil"/>
            </w:tcBorders>
            <w:vAlign w:val="center"/>
          </w:tcPr>
          <w:p w14:paraId="4A8A8776">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(0.123)</w:t>
            </w:r>
          </w:p>
        </w:tc>
        <w:tc>
          <w:tcPr>
            <w:tcW w:w="1705" w:type="dxa"/>
            <w:tcBorders>
              <w:top w:val="nil"/>
              <w:left w:val="nil"/>
              <w:bottom w:val="nil"/>
              <w:right w:val="nil"/>
            </w:tcBorders>
            <w:vAlign w:val="center"/>
          </w:tcPr>
          <w:p w14:paraId="4C86331D">
            <w:pPr>
              <w:keepNext w:val="0"/>
              <w:keepLines w:val="0"/>
              <w:widowControl/>
              <w:suppressLineNumbers w:val="0"/>
              <w:spacing w:line="375" w:lineRule="atLeast"/>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(0.134)</w:t>
            </w:r>
          </w:p>
        </w:tc>
      </w:tr>
      <w:tr w14:paraId="0F566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nil"/>
              <w:left w:val="nil"/>
              <w:bottom w:val="nil"/>
              <w:right w:val="nil"/>
            </w:tcBorders>
            <w:vAlign w:val="center"/>
          </w:tcPr>
          <w:p w14:paraId="29077B74">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Industry FE</w:t>
            </w:r>
          </w:p>
        </w:tc>
        <w:tc>
          <w:tcPr>
            <w:tcW w:w="1704" w:type="dxa"/>
            <w:tcBorders>
              <w:top w:val="nil"/>
              <w:left w:val="nil"/>
              <w:bottom w:val="nil"/>
              <w:right w:val="nil"/>
            </w:tcBorders>
            <w:vAlign w:val="center"/>
          </w:tcPr>
          <w:p w14:paraId="77DF24AF">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否</w:t>
            </w:r>
          </w:p>
        </w:tc>
        <w:tc>
          <w:tcPr>
            <w:tcW w:w="1704" w:type="dxa"/>
            <w:tcBorders>
              <w:top w:val="nil"/>
              <w:left w:val="nil"/>
              <w:bottom w:val="nil"/>
              <w:right w:val="nil"/>
            </w:tcBorders>
            <w:vAlign w:val="center"/>
          </w:tcPr>
          <w:p w14:paraId="3901A5DE">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否</w:t>
            </w:r>
          </w:p>
        </w:tc>
        <w:tc>
          <w:tcPr>
            <w:tcW w:w="1705" w:type="dxa"/>
            <w:tcBorders>
              <w:top w:val="nil"/>
              <w:left w:val="nil"/>
              <w:bottom w:val="nil"/>
              <w:right w:val="nil"/>
            </w:tcBorders>
            <w:vAlign w:val="center"/>
          </w:tcPr>
          <w:p w14:paraId="65DD17D4">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是</w:t>
            </w:r>
          </w:p>
        </w:tc>
        <w:tc>
          <w:tcPr>
            <w:tcW w:w="1705" w:type="dxa"/>
            <w:tcBorders>
              <w:top w:val="nil"/>
              <w:left w:val="nil"/>
              <w:bottom w:val="nil"/>
              <w:right w:val="nil"/>
            </w:tcBorders>
            <w:vAlign w:val="center"/>
          </w:tcPr>
          <w:p w14:paraId="5D4F89A2">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是</w:t>
            </w:r>
          </w:p>
        </w:tc>
      </w:tr>
      <w:tr w14:paraId="6E3F7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nil"/>
              <w:left w:val="nil"/>
              <w:bottom w:val="nil"/>
              <w:right w:val="nil"/>
            </w:tcBorders>
            <w:vAlign w:val="center"/>
          </w:tcPr>
          <w:p w14:paraId="21D0141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Year FE</w:t>
            </w:r>
          </w:p>
        </w:tc>
        <w:tc>
          <w:tcPr>
            <w:tcW w:w="1704" w:type="dxa"/>
            <w:tcBorders>
              <w:top w:val="nil"/>
              <w:left w:val="nil"/>
              <w:bottom w:val="nil"/>
              <w:right w:val="nil"/>
            </w:tcBorders>
            <w:vAlign w:val="center"/>
          </w:tcPr>
          <w:p w14:paraId="1F0F0135">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否</w:t>
            </w:r>
          </w:p>
        </w:tc>
        <w:tc>
          <w:tcPr>
            <w:tcW w:w="1704" w:type="dxa"/>
            <w:tcBorders>
              <w:top w:val="nil"/>
              <w:left w:val="nil"/>
              <w:bottom w:val="nil"/>
              <w:right w:val="nil"/>
            </w:tcBorders>
            <w:vAlign w:val="center"/>
          </w:tcPr>
          <w:p w14:paraId="75C4CC92">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否</w:t>
            </w:r>
          </w:p>
        </w:tc>
        <w:tc>
          <w:tcPr>
            <w:tcW w:w="1705" w:type="dxa"/>
            <w:tcBorders>
              <w:top w:val="nil"/>
              <w:left w:val="nil"/>
              <w:bottom w:val="nil"/>
              <w:right w:val="nil"/>
            </w:tcBorders>
            <w:vAlign w:val="center"/>
          </w:tcPr>
          <w:p w14:paraId="2ED3149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否</w:t>
            </w:r>
          </w:p>
        </w:tc>
        <w:tc>
          <w:tcPr>
            <w:tcW w:w="1705" w:type="dxa"/>
            <w:tcBorders>
              <w:top w:val="nil"/>
              <w:left w:val="nil"/>
              <w:bottom w:val="nil"/>
              <w:right w:val="nil"/>
            </w:tcBorders>
            <w:vAlign w:val="center"/>
          </w:tcPr>
          <w:p w14:paraId="1C335FA2">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是</w:t>
            </w:r>
          </w:p>
        </w:tc>
      </w:tr>
      <w:tr w14:paraId="1741B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nil"/>
              <w:left w:val="nil"/>
              <w:bottom w:val="nil"/>
              <w:right w:val="nil"/>
            </w:tcBorders>
            <w:vAlign w:val="center"/>
          </w:tcPr>
          <w:p w14:paraId="43A85E19">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观测值</w:t>
            </w:r>
          </w:p>
        </w:tc>
        <w:tc>
          <w:tcPr>
            <w:tcW w:w="1704" w:type="dxa"/>
            <w:tcBorders>
              <w:top w:val="nil"/>
              <w:left w:val="nil"/>
              <w:bottom w:val="nil"/>
              <w:right w:val="nil"/>
            </w:tcBorders>
            <w:vAlign w:val="center"/>
          </w:tcPr>
          <w:p w14:paraId="18756A7F">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8,740</w:t>
            </w:r>
          </w:p>
        </w:tc>
        <w:tc>
          <w:tcPr>
            <w:tcW w:w="1704" w:type="dxa"/>
            <w:tcBorders>
              <w:top w:val="nil"/>
              <w:left w:val="nil"/>
              <w:bottom w:val="nil"/>
              <w:right w:val="nil"/>
            </w:tcBorders>
            <w:vAlign w:val="center"/>
          </w:tcPr>
          <w:p w14:paraId="6DF42EC1">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8,740</w:t>
            </w:r>
          </w:p>
        </w:tc>
        <w:tc>
          <w:tcPr>
            <w:tcW w:w="1705" w:type="dxa"/>
            <w:tcBorders>
              <w:top w:val="nil"/>
              <w:left w:val="nil"/>
              <w:bottom w:val="nil"/>
              <w:right w:val="nil"/>
            </w:tcBorders>
            <w:vAlign w:val="center"/>
          </w:tcPr>
          <w:p w14:paraId="47648FC8">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8,740</w:t>
            </w:r>
          </w:p>
        </w:tc>
        <w:tc>
          <w:tcPr>
            <w:tcW w:w="1705" w:type="dxa"/>
            <w:tcBorders>
              <w:top w:val="nil"/>
              <w:left w:val="nil"/>
              <w:bottom w:val="nil"/>
              <w:right w:val="nil"/>
            </w:tcBorders>
            <w:vAlign w:val="center"/>
          </w:tcPr>
          <w:p w14:paraId="5408CD91">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8,740</w:t>
            </w:r>
          </w:p>
        </w:tc>
      </w:tr>
      <w:tr w14:paraId="717B2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nil"/>
              <w:left w:val="nil"/>
              <w:bottom w:val="nil"/>
              <w:right w:val="nil"/>
            </w:tcBorders>
            <w:vAlign w:val="center"/>
          </w:tcPr>
          <w:p w14:paraId="04CE2B5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Pseudo R²</w:t>
            </w:r>
          </w:p>
        </w:tc>
        <w:tc>
          <w:tcPr>
            <w:tcW w:w="1704" w:type="dxa"/>
            <w:tcBorders>
              <w:top w:val="nil"/>
              <w:left w:val="nil"/>
              <w:bottom w:val="nil"/>
              <w:right w:val="nil"/>
            </w:tcBorders>
            <w:vAlign w:val="center"/>
          </w:tcPr>
          <w:p w14:paraId="7DF0AA6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0.045</w:t>
            </w:r>
          </w:p>
        </w:tc>
        <w:tc>
          <w:tcPr>
            <w:tcW w:w="1704" w:type="dxa"/>
            <w:tcBorders>
              <w:top w:val="nil"/>
              <w:left w:val="nil"/>
              <w:bottom w:val="nil"/>
              <w:right w:val="nil"/>
            </w:tcBorders>
            <w:vAlign w:val="center"/>
          </w:tcPr>
          <w:p w14:paraId="67870F67">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0.178</w:t>
            </w:r>
          </w:p>
        </w:tc>
        <w:tc>
          <w:tcPr>
            <w:tcW w:w="1705" w:type="dxa"/>
            <w:tcBorders>
              <w:top w:val="nil"/>
              <w:left w:val="nil"/>
              <w:bottom w:val="nil"/>
              <w:right w:val="nil"/>
            </w:tcBorders>
            <w:vAlign w:val="center"/>
          </w:tcPr>
          <w:p w14:paraId="70830D8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0.203</w:t>
            </w:r>
          </w:p>
        </w:tc>
        <w:tc>
          <w:tcPr>
            <w:tcW w:w="1705" w:type="dxa"/>
            <w:tcBorders>
              <w:top w:val="nil"/>
              <w:left w:val="nil"/>
              <w:bottom w:val="nil"/>
              <w:right w:val="nil"/>
            </w:tcBorders>
            <w:vAlign w:val="center"/>
          </w:tcPr>
          <w:p w14:paraId="3DFE8DC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0.225</w:t>
            </w:r>
          </w:p>
        </w:tc>
      </w:tr>
      <w:tr w14:paraId="7EE5F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Borders>
              <w:top w:val="nil"/>
              <w:left w:val="nil"/>
              <w:bottom w:val="single" w:color="auto" w:sz="12" w:space="0"/>
              <w:right w:val="nil"/>
            </w:tcBorders>
            <w:vAlign w:val="center"/>
          </w:tcPr>
          <w:p w14:paraId="591C50D4">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AUC</w:t>
            </w:r>
          </w:p>
        </w:tc>
        <w:tc>
          <w:tcPr>
            <w:tcW w:w="1704" w:type="dxa"/>
            <w:tcBorders>
              <w:top w:val="nil"/>
              <w:left w:val="nil"/>
              <w:bottom w:val="single" w:color="auto" w:sz="12" w:space="0"/>
              <w:right w:val="nil"/>
            </w:tcBorders>
            <w:vAlign w:val="center"/>
          </w:tcPr>
          <w:p w14:paraId="3086C4F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0.712</w:t>
            </w:r>
          </w:p>
        </w:tc>
        <w:tc>
          <w:tcPr>
            <w:tcW w:w="1704" w:type="dxa"/>
            <w:tcBorders>
              <w:top w:val="nil"/>
              <w:left w:val="nil"/>
              <w:bottom w:val="single" w:color="auto" w:sz="12" w:space="0"/>
              <w:right w:val="nil"/>
            </w:tcBorders>
            <w:vAlign w:val="center"/>
          </w:tcPr>
          <w:p w14:paraId="57D84BE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0.789</w:t>
            </w:r>
          </w:p>
        </w:tc>
        <w:tc>
          <w:tcPr>
            <w:tcW w:w="1705" w:type="dxa"/>
            <w:tcBorders>
              <w:top w:val="nil"/>
              <w:left w:val="nil"/>
              <w:bottom w:val="single" w:color="auto" w:sz="12" w:space="0"/>
              <w:right w:val="nil"/>
            </w:tcBorders>
            <w:vAlign w:val="center"/>
          </w:tcPr>
          <w:p w14:paraId="133363AE">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0.803</w:t>
            </w:r>
          </w:p>
        </w:tc>
        <w:tc>
          <w:tcPr>
            <w:tcW w:w="1705" w:type="dxa"/>
            <w:tcBorders>
              <w:top w:val="nil"/>
              <w:left w:val="nil"/>
              <w:bottom w:val="single" w:color="auto" w:sz="12" w:space="0"/>
              <w:right w:val="nil"/>
            </w:tcBorders>
            <w:vAlign w:val="center"/>
          </w:tcPr>
          <w:p w14:paraId="3ECB73D1">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eastAsiaTheme="minorEastAsia"/>
                <w:color w:val="auto"/>
                <w:kern w:val="2"/>
                <w:sz w:val="21"/>
                <w:szCs w:val="24"/>
                <w:lang w:val="en-US" w:eastAsia="zh-CN" w:bidi="ar-SA"/>
              </w:rPr>
              <w:t>0.821</w:t>
            </w:r>
          </w:p>
        </w:tc>
      </w:tr>
    </w:tbl>
    <w:p w14:paraId="4CFA78B2">
      <w:p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注：</w:t>
      </w:r>
      <w:r>
        <w:rPr>
          <w:rFonts w:hint="default" w:ascii="Times New Roman" w:hAnsi="Times New Roman" w:cs="Times New Roman"/>
          <w:color w:val="auto"/>
          <w:sz w:val="18"/>
          <w:szCs w:val="18"/>
          <w:lang w:val="en-US" w:eastAsia="zh-CN"/>
        </w:rPr>
        <w:t>*</w:t>
      </w:r>
      <w:r>
        <w:rPr>
          <w:rFonts w:hint="default" w:ascii="Times New Roman" w:hAnsi="Times New Roman" w:cs="Times New Roman"/>
          <w:color w:val="auto"/>
          <w:lang w:val="en-US" w:eastAsia="zh-CN"/>
        </w:rPr>
        <w:t>、</w:t>
      </w:r>
      <w:r>
        <w:rPr>
          <w:rFonts w:hint="default" w:ascii="Times New Roman" w:hAnsi="Times New Roman" w:cs="Times New Roman"/>
          <w:color w:val="auto"/>
          <w:sz w:val="18"/>
          <w:szCs w:val="18"/>
          <w:lang w:val="en-US" w:eastAsia="zh-CN"/>
        </w:rPr>
        <w:t>**</w:t>
      </w:r>
      <w:r>
        <w:rPr>
          <w:rFonts w:hint="default" w:ascii="Times New Roman" w:hAnsi="Times New Roman" w:cs="Times New Roman"/>
          <w:color w:val="auto"/>
          <w:lang w:val="en-US" w:eastAsia="zh-CN"/>
        </w:rPr>
        <w:t>、</w:t>
      </w:r>
      <w:r>
        <w:rPr>
          <w:rFonts w:hint="default" w:ascii="Times New Roman" w:hAnsi="Times New Roman" w:cs="Times New Roman"/>
          <w:color w:val="auto"/>
          <w:sz w:val="18"/>
          <w:szCs w:val="18"/>
          <w:lang w:val="en-US" w:eastAsia="zh-CN"/>
        </w:rPr>
        <w:t>***</w:t>
      </w:r>
      <w:r>
        <w:rPr>
          <w:rFonts w:hint="default" w:ascii="Times New Roman" w:hAnsi="Times New Roman" w:cs="Times New Roman"/>
          <w:color w:val="auto"/>
          <w:lang w:val="en-US" w:eastAsia="zh-CN"/>
        </w:rPr>
        <w:t>分别表示在1%、5%、10%水平上显著。</w:t>
      </w:r>
    </w:p>
    <w:p w14:paraId="4978D0C9">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基准回归结果强烈支持研究假设H1。在所有模型设定中，信息不对称指数（IA_Text）的系数均在1%水平上显著为正，表明文本信息不对称与并购后破产风险存在显著正相关关系。从模型(1)到模型(4)，随着控制变量的逐步加入，IA_Text的系数虽然有所下降（从2.345降至1.645），但始终保持高度显著性，说明这种关系在控制企业特征、交易特征以及行业和年度固定效应后依然稳健。伪R²从0.045逐步提升至0.225，AUC值从0.712提高至0.821，表明模型解释力不断增强。</w:t>
      </w:r>
    </w:p>
    <w:p w14:paraId="3B562876">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drawing>
          <wp:inline distT="0" distB="0" distL="114300" distR="114300">
            <wp:extent cx="5267325" cy="3160395"/>
            <wp:effectExtent l="0" t="0" r="9525" b="1905"/>
            <wp:docPr id="16" name="图片 1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
                    <pic:cNvPicPr>
                      <a:picLocks noChangeAspect="1"/>
                    </pic:cNvPicPr>
                  </pic:nvPicPr>
                  <pic:blipFill>
                    <a:blip r:embed="rId7"/>
                    <a:stretch>
                      <a:fillRect/>
                    </a:stretch>
                  </pic:blipFill>
                  <pic:spPr>
                    <a:xfrm>
                      <a:off x="0" y="0"/>
                      <a:ext cx="5267325" cy="3160395"/>
                    </a:xfrm>
                    <a:prstGeom prst="rect">
                      <a:avLst/>
                    </a:prstGeom>
                  </pic:spPr>
                </pic:pic>
              </a:graphicData>
            </a:graphic>
          </wp:inline>
        </w:drawing>
      </w:r>
    </w:p>
    <w:p w14:paraId="75F23B3B">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图4 信息不对称对破产风险的边际效应分析</w:t>
      </w:r>
    </w:p>
    <w:p w14:paraId="36D8C1DC">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图4展示了信息不对称指数对破产风险的非线性影响。当IA_Text低于0.3时（低风险区域），边际效应相对较小；随着IA_Text超过0.6（高风险区域），边际效应显著增大，表明信息不对称的负面影响具有递增特征。基准破产概率曲线（右轴）显示，当IA_Text从0.1升至0.9时，破产概率从约3%上升至12%，经济意义显著。这一发现不仅验证了H1的统计显著性，还揭示了信息不对称影响破产风险的强度变化模式。</w:t>
      </w:r>
    </w:p>
    <w:p w14:paraId="29831230">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27" w:name="_Toc29378"/>
      <w:r>
        <w:rPr>
          <w:rFonts w:hint="default" w:ascii="Times New Roman" w:hAnsi="Times New Roman" w:eastAsia="黑体" w:cs="Times New Roman"/>
          <w:color w:val="auto"/>
          <w:lang w:val="en-US" w:eastAsia="zh-CN"/>
        </w:rPr>
        <w:t>5.2.2</w:t>
      </w:r>
      <w:r>
        <w:rPr>
          <w:rFonts w:hint="default" w:ascii="Times New Roman" w:hAnsi="Times New Roman" w:eastAsia="黑体" w:cs="Times New Roman"/>
          <w:color w:val="auto"/>
          <w:lang w:val="en-US" w:eastAsia="zh-CN"/>
        </w:rPr>
        <w:t>稳健性检验</w:t>
      </w:r>
      <w:bookmarkEnd w:id="27"/>
    </w:p>
    <w:p w14:paraId="6EC92E59">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为验证基准结果的可靠性，我们进行了全面的稳健性检验。</w:t>
      </w:r>
    </w:p>
    <w:p w14:paraId="22A99F7B">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表7 稳健性检验结果</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33"/>
        <w:gridCol w:w="2229"/>
        <w:gridCol w:w="1386"/>
        <w:gridCol w:w="846"/>
        <w:gridCol w:w="846"/>
        <w:gridCol w:w="846"/>
        <w:gridCol w:w="689"/>
      </w:tblGrid>
      <w:tr w14:paraId="4EBC7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single" w:color="auto" w:sz="12" w:space="0"/>
              <w:left w:val="nil"/>
              <w:bottom w:val="single" w:color="auto" w:sz="4" w:space="0"/>
              <w:right w:val="nil"/>
            </w:tcBorders>
            <w:vAlign w:val="center"/>
          </w:tcPr>
          <w:p w14:paraId="57DD5D16">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检验类型</w:t>
            </w:r>
          </w:p>
        </w:tc>
        <w:tc>
          <w:tcPr>
            <w:tcW w:w="0" w:type="auto"/>
            <w:tcBorders>
              <w:top w:val="single" w:color="auto" w:sz="12" w:space="0"/>
              <w:left w:val="nil"/>
              <w:bottom w:val="single" w:color="auto" w:sz="4" w:space="0"/>
              <w:right w:val="nil"/>
            </w:tcBorders>
            <w:vAlign w:val="center"/>
          </w:tcPr>
          <w:p w14:paraId="3155948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模型设定</w:t>
            </w:r>
          </w:p>
        </w:tc>
        <w:tc>
          <w:tcPr>
            <w:tcW w:w="0" w:type="auto"/>
            <w:tcBorders>
              <w:top w:val="single" w:color="auto" w:sz="12" w:space="0"/>
              <w:left w:val="nil"/>
              <w:bottom w:val="single" w:color="auto" w:sz="4" w:space="0"/>
              <w:right w:val="nil"/>
            </w:tcBorders>
            <w:vAlign w:val="center"/>
          </w:tcPr>
          <w:p w14:paraId="3F8EB1C5">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IA_Text系数</w:t>
            </w:r>
          </w:p>
        </w:tc>
        <w:tc>
          <w:tcPr>
            <w:tcW w:w="0" w:type="auto"/>
            <w:tcBorders>
              <w:top w:val="single" w:color="auto" w:sz="12" w:space="0"/>
              <w:left w:val="nil"/>
              <w:bottom w:val="single" w:color="auto" w:sz="4" w:space="0"/>
              <w:right w:val="nil"/>
            </w:tcBorders>
            <w:vAlign w:val="center"/>
          </w:tcPr>
          <w:p w14:paraId="26CC05F8">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标准误</w:t>
            </w:r>
          </w:p>
        </w:tc>
        <w:tc>
          <w:tcPr>
            <w:tcW w:w="0" w:type="auto"/>
            <w:tcBorders>
              <w:top w:val="single" w:color="auto" w:sz="12" w:space="0"/>
              <w:left w:val="nil"/>
              <w:bottom w:val="single" w:color="auto" w:sz="4" w:space="0"/>
              <w:right w:val="nil"/>
            </w:tcBorders>
            <w:vAlign w:val="center"/>
          </w:tcPr>
          <w:p w14:paraId="2D7DAA31">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显著性</w:t>
            </w:r>
          </w:p>
        </w:tc>
        <w:tc>
          <w:tcPr>
            <w:tcW w:w="0" w:type="auto"/>
            <w:tcBorders>
              <w:top w:val="single" w:color="auto" w:sz="12" w:space="0"/>
              <w:left w:val="nil"/>
              <w:bottom w:val="single" w:color="auto" w:sz="4" w:space="0"/>
              <w:right w:val="nil"/>
            </w:tcBorders>
            <w:vAlign w:val="center"/>
          </w:tcPr>
          <w:p w14:paraId="09243407">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样本量</w:t>
            </w:r>
          </w:p>
        </w:tc>
        <w:tc>
          <w:tcPr>
            <w:tcW w:w="0" w:type="auto"/>
            <w:tcBorders>
              <w:top w:val="single" w:color="auto" w:sz="12" w:space="0"/>
              <w:left w:val="nil"/>
              <w:bottom w:val="single" w:color="auto" w:sz="4" w:space="0"/>
              <w:right w:val="nil"/>
            </w:tcBorders>
            <w:vAlign w:val="center"/>
          </w:tcPr>
          <w:p w14:paraId="61B20030">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AUC</w:t>
            </w:r>
          </w:p>
        </w:tc>
      </w:tr>
      <w:tr w14:paraId="5E657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single" w:color="auto" w:sz="4" w:space="0"/>
              <w:left w:val="nil"/>
              <w:bottom w:val="nil"/>
              <w:right w:val="nil"/>
            </w:tcBorders>
            <w:vAlign w:val="center"/>
          </w:tcPr>
          <w:p w14:paraId="0115BFE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基准模型</w:t>
            </w:r>
          </w:p>
        </w:tc>
        <w:tc>
          <w:tcPr>
            <w:tcW w:w="0" w:type="auto"/>
            <w:tcBorders>
              <w:top w:val="single" w:color="auto" w:sz="4" w:space="0"/>
              <w:left w:val="nil"/>
              <w:bottom w:val="nil"/>
              <w:right w:val="nil"/>
            </w:tcBorders>
            <w:vAlign w:val="center"/>
          </w:tcPr>
          <w:p w14:paraId="7D09755B">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Logit（模型4）</w:t>
            </w:r>
          </w:p>
        </w:tc>
        <w:tc>
          <w:tcPr>
            <w:tcW w:w="0" w:type="auto"/>
            <w:tcBorders>
              <w:top w:val="single" w:color="auto" w:sz="4" w:space="0"/>
              <w:left w:val="nil"/>
              <w:bottom w:val="nil"/>
              <w:right w:val="nil"/>
            </w:tcBorders>
            <w:vAlign w:val="center"/>
          </w:tcPr>
          <w:p w14:paraId="414DE2A8">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1.645</w:t>
            </w:r>
          </w:p>
        </w:tc>
        <w:tc>
          <w:tcPr>
            <w:tcW w:w="0" w:type="auto"/>
            <w:tcBorders>
              <w:top w:val="single" w:color="auto" w:sz="4" w:space="0"/>
              <w:left w:val="nil"/>
              <w:bottom w:val="nil"/>
              <w:right w:val="nil"/>
            </w:tcBorders>
            <w:vAlign w:val="center"/>
          </w:tcPr>
          <w:p w14:paraId="535CC506">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(0.278)</w:t>
            </w:r>
          </w:p>
        </w:tc>
        <w:tc>
          <w:tcPr>
            <w:tcW w:w="0" w:type="auto"/>
            <w:tcBorders>
              <w:top w:val="single" w:color="auto" w:sz="4" w:space="0"/>
              <w:left w:val="nil"/>
              <w:bottom w:val="nil"/>
              <w:right w:val="nil"/>
            </w:tcBorders>
            <w:vAlign w:val="center"/>
          </w:tcPr>
          <w:p w14:paraId="6F5F04B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w:t>
            </w:r>
          </w:p>
        </w:tc>
        <w:tc>
          <w:tcPr>
            <w:tcW w:w="0" w:type="auto"/>
            <w:tcBorders>
              <w:top w:val="single" w:color="auto" w:sz="4" w:space="0"/>
              <w:left w:val="nil"/>
              <w:bottom w:val="nil"/>
              <w:right w:val="nil"/>
            </w:tcBorders>
            <w:vAlign w:val="center"/>
          </w:tcPr>
          <w:p w14:paraId="7379BC0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8,740</w:t>
            </w:r>
          </w:p>
        </w:tc>
        <w:tc>
          <w:tcPr>
            <w:tcW w:w="0" w:type="auto"/>
            <w:tcBorders>
              <w:top w:val="single" w:color="auto" w:sz="4" w:space="0"/>
              <w:left w:val="nil"/>
              <w:bottom w:val="nil"/>
              <w:right w:val="nil"/>
            </w:tcBorders>
            <w:vAlign w:val="center"/>
          </w:tcPr>
          <w:p w14:paraId="753F5D65">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0.821</w:t>
            </w:r>
          </w:p>
        </w:tc>
      </w:tr>
      <w:tr w14:paraId="37EC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nil"/>
              <w:right w:val="nil"/>
            </w:tcBorders>
            <w:vAlign w:val="center"/>
          </w:tcPr>
          <w:p w14:paraId="2364523B">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更换破产测度</w:t>
            </w:r>
          </w:p>
        </w:tc>
        <w:tc>
          <w:tcPr>
            <w:tcW w:w="0" w:type="auto"/>
            <w:tcBorders>
              <w:top w:val="nil"/>
              <w:left w:val="nil"/>
              <w:bottom w:val="nil"/>
              <w:right w:val="nil"/>
            </w:tcBorders>
            <w:vAlign w:val="center"/>
          </w:tcPr>
          <w:p w14:paraId="7DBE85D5">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OLS（DD为因变量）</w:t>
            </w:r>
          </w:p>
        </w:tc>
        <w:tc>
          <w:tcPr>
            <w:tcW w:w="0" w:type="auto"/>
            <w:tcBorders>
              <w:top w:val="nil"/>
              <w:left w:val="nil"/>
              <w:bottom w:val="nil"/>
              <w:right w:val="nil"/>
            </w:tcBorders>
            <w:vAlign w:val="center"/>
          </w:tcPr>
          <w:p w14:paraId="1D7375E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-0.456</w:t>
            </w:r>
          </w:p>
        </w:tc>
        <w:tc>
          <w:tcPr>
            <w:tcW w:w="0" w:type="auto"/>
            <w:tcBorders>
              <w:top w:val="nil"/>
              <w:left w:val="nil"/>
              <w:bottom w:val="nil"/>
              <w:right w:val="nil"/>
            </w:tcBorders>
            <w:vAlign w:val="center"/>
          </w:tcPr>
          <w:p w14:paraId="229603C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(0.089)</w:t>
            </w:r>
          </w:p>
        </w:tc>
        <w:tc>
          <w:tcPr>
            <w:tcW w:w="0" w:type="auto"/>
            <w:tcBorders>
              <w:top w:val="nil"/>
              <w:left w:val="nil"/>
              <w:bottom w:val="nil"/>
              <w:right w:val="nil"/>
            </w:tcBorders>
            <w:vAlign w:val="center"/>
          </w:tcPr>
          <w:p w14:paraId="78BC739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w:t>
            </w:r>
          </w:p>
        </w:tc>
        <w:tc>
          <w:tcPr>
            <w:tcW w:w="0" w:type="auto"/>
            <w:tcBorders>
              <w:top w:val="nil"/>
              <w:left w:val="nil"/>
              <w:bottom w:val="nil"/>
              <w:right w:val="nil"/>
            </w:tcBorders>
            <w:vAlign w:val="center"/>
          </w:tcPr>
          <w:p w14:paraId="356DC3E8">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8,740</w:t>
            </w:r>
          </w:p>
        </w:tc>
        <w:tc>
          <w:tcPr>
            <w:tcW w:w="0" w:type="auto"/>
            <w:tcBorders>
              <w:top w:val="nil"/>
              <w:left w:val="nil"/>
              <w:bottom w:val="nil"/>
              <w:right w:val="nil"/>
            </w:tcBorders>
            <w:vAlign w:val="center"/>
          </w:tcPr>
          <w:p w14:paraId="2AA271B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w:t>
            </w:r>
          </w:p>
        </w:tc>
      </w:tr>
      <w:tr w14:paraId="28D88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nil"/>
              <w:right w:val="nil"/>
            </w:tcBorders>
            <w:vAlign w:val="center"/>
          </w:tcPr>
          <w:p w14:paraId="6186140C">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BERT文本分析</w:t>
            </w:r>
          </w:p>
        </w:tc>
        <w:tc>
          <w:tcPr>
            <w:tcW w:w="0" w:type="auto"/>
            <w:tcBorders>
              <w:top w:val="nil"/>
              <w:left w:val="nil"/>
              <w:bottom w:val="nil"/>
              <w:right w:val="nil"/>
            </w:tcBorders>
            <w:vAlign w:val="center"/>
          </w:tcPr>
          <w:p w14:paraId="1FE46D27">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BERT嵌入相似度</w:t>
            </w:r>
          </w:p>
        </w:tc>
        <w:tc>
          <w:tcPr>
            <w:tcW w:w="0" w:type="auto"/>
            <w:tcBorders>
              <w:top w:val="nil"/>
              <w:left w:val="nil"/>
              <w:bottom w:val="nil"/>
              <w:right w:val="nil"/>
            </w:tcBorders>
            <w:vAlign w:val="center"/>
          </w:tcPr>
          <w:p w14:paraId="466308A1">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1.523</w:t>
            </w:r>
          </w:p>
        </w:tc>
        <w:tc>
          <w:tcPr>
            <w:tcW w:w="0" w:type="auto"/>
            <w:tcBorders>
              <w:top w:val="nil"/>
              <w:left w:val="nil"/>
              <w:bottom w:val="nil"/>
              <w:right w:val="nil"/>
            </w:tcBorders>
            <w:vAlign w:val="center"/>
          </w:tcPr>
          <w:p w14:paraId="0453325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(0.301)</w:t>
            </w:r>
          </w:p>
        </w:tc>
        <w:tc>
          <w:tcPr>
            <w:tcW w:w="0" w:type="auto"/>
            <w:tcBorders>
              <w:top w:val="nil"/>
              <w:left w:val="nil"/>
              <w:bottom w:val="nil"/>
              <w:right w:val="nil"/>
            </w:tcBorders>
            <w:vAlign w:val="center"/>
          </w:tcPr>
          <w:p w14:paraId="36E9E35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w:t>
            </w:r>
          </w:p>
        </w:tc>
        <w:tc>
          <w:tcPr>
            <w:tcW w:w="0" w:type="auto"/>
            <w:tcBorders>
              <w:top w:val="nil"/>
              <w:left w:val="nil"/>
              <w:bottom w:val="nil"/>
              <w:right w:val="nil"/>
            </w:tcBorders>
            <w:vAlign w:val="center"/>
          </w:tcPr>
          <w:p w14:paraId="696C002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8,740</w:t>
            </w:r>
          </w:p>
        </w:tc>
        <w:tc>
          <w:tcPr>
            <w:tcW w:w="0" w:type="auto"/>
            <w:tcBorders>
              <w:top w:val="nil"/>
              <w:left w:val="nil"/>
              <w:bottom w:val="nil"/>
              <w:right w:val="nil"/>
            </w:tcBorders>
            <w:vAlign w:val="center"/>
          </w:tcPr>
          <w:p w14:paraId="3B4F43EB">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0.815</w:t>
            </w:r>
          </w:p>
        </w:tc>
      </w:tr>
      <w:tr w14:paraId="227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nil"/>
              <w:right w:val="nil"/>
            </w:tcBorders>
            <w:vAlign w:val="center"/>
          </w:tcPr>
          <w:p w14:paraId="557BBB68">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排除金融危机</w:t>
            </w:r>
          </w:p>
        </w:tc>
        <w:tc>
          <w:tcPr>
            <w:tcW w:w="0" w:type="auto"/>
            <w:tcBorders>
              <w:top w:val="nil"/>
              <w:left w:val="nil"/>
              <w:bottom w:val="nil"/>
              <w:right w:val="nil"/>
            </w:tcBorders>
            <w:vAlign w:val="center"/>
          </w:tcPr>
          <w:p w14:paraId="466C2720">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剔除2008-2009</w:t>
            </w:r>
          </w:p>
        </w:tc>
        <w:tc>
          <w:tcPr>
            <w:tcW w:w="0" w:type="auto"/>
            <w:tcBorders>
              <w:top w:val="nil"/>
              <w:left w:val="nil"/>
              <w:bottom w:val="nil"/>
              <w:right w:val="nil"/>
            </w:tcBorders>
            <w:vAlign w:val="center"/>
          </w:tcPr>
          <w:p w14:paraId="378F4CB4">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1.589</w:t>
            </w:r>
          </w:p>
        </w:tc>
        <w:tc>
          <w:tcPr>
            <w:tcW w:w="0" w:type="auto"/>
            <w:tcBorders>
              <w:top w:val="nil"/>
              <w:left w:val="nil"/>
              <w:bottom w:val="nil"/>
              <w:right w:val="nil"/>
            </w:tcBorders>
            <w:vAlign w:val="center"/>
          </w:tcPr>
          <w:p w14:paraId="1C4B68A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(0.291)</w:t>
            </w:r>
          </w:p>
        </w:tc>
        <w:tc>
          <w:tcPr>
            <w:tcW w:w="0" w:type="auto"/>
            <w:tcBorders>
              <w:top w:val="nil"/>
              <w:left w:val="nil"/>
              <w:bottom w:val="nil"/>
              <w:right w:val="nil"/>
            </w:tcBorders>
            <w:vAlign w:val="center"/>
          </w:tcPr>
          <w:p w14:paraId="65B3449E">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w:t>
            </w:r>
          </w:p>
        </w:tc>
        <w:tc>
          <w:tcPr>
            <w:tcW w:w="0" w:type="auto"/>
            <w:tcBorders>
              <w:top w:val="nil"/>
              <w:left w:val="nil"/>
              <w:bottom w:val="nil"/>
              <w:right w:val="nil"/>
            </w:tcBorders>
            <w:vAlign w:val="center"/>
          </w:tcPr>
          <w:p w14:paraId="2D363EC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7,892</w:t>
            </w:r>
          </w:p>
        </w:tc>
        <w:tc>
          <w:tcPr>
            <w:tcW w:w="0" w:type="auto"/>
            <w:tcBorders>
              <w:top w:val="nil"/>
              <w:left w:val="nil"/>
              <w:bottom w:val="nil"/>
              <w:right w:val="nil"/>
            </w:tcBorders>
            <w:vAlign w:val="center"/>
          </w:tcPr>
          <w:p w14:paraId="72EA4CE6">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0.819</w:t>
            </w:r>
          </w:p>
        </w:tc>
      </w:tr>
      <w:tr w14:paraId="7ABC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nil"/>
              <w:right w:val="nil"/>
            </w:tcBorders>
            <w:vAlign w:val="center"/>
          </w:tcPr>
          <w:p w14:paraId="742169B9">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稀有事件校正</w:t>
            </w:r>
          </w:p>
        </w:tc>
        <w:tc>
          <w:tcPr>
            <w:tcW w:w="0" w:type="auto"/>
            <w:tcBorders>
              <w:top w:val="nil"/>
              <w:left w:val="nil"/>
              <w:bottom w:val="nil"/>
              <w:right w:val="nil"/>
            </w:tcBorders>
            <w:vAlign w:val="center"/>
          </w:tcPr>
          <w:p w14:paraId="05786A50">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Firth Logit</w:t>
            </w:r>
          </w:p>
        </w:tc>
        <w:tc>
          <w:tcPr>
            <w:tcW w:w="0" w:type="auto"/>
            <w:tcBorders>
              <w:top w:val="nil"/>
              <w:left w:val="nil"/>
              <w:bottom w:val="nil"/>
              <w:right w:val="nil"/>
            </w:tcBorders>
            <w:vAlign w:val="center"/>
          </w:tcPr>
          <w:p w14:paraId="225EED6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1.732</w:t>
            </w:r>
          </w:p>
        </w:tc>
        <w:tc>
          <w:tcPr>
            <w:tcW w:w="0" w:type="auto"/>
            <w:tcBorders>
              <w:top w:val="nil"/>
              <w:left w:val="nil"/>
              <w:bottom w:val="nil"/>
              <w:right w:val="nil"/>
            </w:tcBorders>
            <w:vAlign w:val="center"/>
          </w:tcPr>
          <w:p w14:paraId="14897385">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(0.315)</w:t>
            </w:r>
          </w:p>
        </w:tc>
        <w:tc>
          <w:tcPr>
            <w:tcW w:w="0" w:type="auto"/>
            <w:tcBorders>
              <w:top w:val="nil"/>
              <w:left w:val="nil"/>
              <w:bottom w:val="nil"/>
              <w:right w:val="nil"/>
            </w:tcBorders>
            <w:vAlign w:val="center"/>
          </w:tcPr>
          <w:p w14:paraId="4C75F17B">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w:t>
            </w:r>
          </w:p>
        </w:tc>
        <w:tc>
          <w:tcPr>
            <w:tcW w:w="0" w:type="auto"/>
            <w:tcBorders>
              <w:top w:val="nil"/>
              <w:left w:val="nil"/>
              <w:bottom w:val="nil"/>
              <w:right w:val="nil"/>
            </w:tcBorders>
            <w:vAlign w:val="center"/>
          </w:tcPr>
          <w:p w14:paraId="650E3615">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8,740</w:t>
            </w:r>
          </w:p>
        </w:tc>
        <w:tc>
          <w:tcPr>
            <w:tcW w:w="0" w:type="auto"/>
            <w:tcBorders>
              <w:top w:val="nil"/>
              <w:left w:val="nil"/>
              <w:bottom w:val="nil"/>
              <w:right w:val="nil"/>
            </w:tcBorders>
            <w:vAlign w:val="center"/>
          </w:tcPr>
          <w:p w14:paraId="1B42EA92">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0.824</w:t>
            </w:r>
          </w:p>
        </w:tc>
      </w:tr>
      <w:tr w14:paraId="521A9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nil"/>
              <w:right w:val="nil"/>
            </w:tcBorders>
            <w:vAlign w:val="center"/>
          </w:tcPr>
          <w:p w14:paraId="1B7EAB58">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工具变量法</w:t>
            </w:r>
          </w:p>
        </w:tc>
        <w:tc>
          <w:tcPr>
            <w:tcW w:w="0" w:type="auto"/>
            <w:tcBorders>
              <w:top w:val="nil"/>
              <w:left w:val="nil"/>
              <w:bottom w:val="nil"/>
              <w:right w:val="nil"/>
            </w:tcBorders>
            <w:vAlign w:val="center"/>
          </w:tcPr>
          <w:p w14:paraId="4C1DEEE8">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2SLS回归</w:t>
            </w:r>
          </w:p>
        </w:tc>
        <w:tc>
          <w:tcPr>
            <w:tcW w:w="0" w:type="auto"/>
            <w:tcBorders>
              <w:top w:val="nil"/>
              <w:left w:val="nil"/>
              <w:bottom w:val="nil"/>
              <w:right w:val="nil"/>
            </w:tcBorders>
            <w:vAlign w:val="center"/>
          </w:tcPr>
          <w:p w14:paraId="3DD8F966">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1.812</w:t>
            </w:r>
          </w:p>
        </w:tc>
        <w:tc>
          <w:tcPr>
            <w:tcW w:w="0" w:type="auto"/>
            <w:tcBorders>
              <w:top w:val="nil"/>
              <w:left w:val="nil"/>
              <w:bottom w:val="nil"/>
              <w:right w:val="nil"/>
            </w:tcBorders>
            <w:vAlign w:val="center"/>
          </w:tcPr>
          <w:p w14:paraId="33F09E9B">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(0.412)</w:t>
            </w:r>
          </w:p>
        </w:tc>
        <w:tc>
          <w:tcPr>
            <w:tcW w:w="0" w:type="auto"/>
            <w:tcBorders>
              <w:top w:val="nil"/>
              <w:left w:val="nil"/>
              <w:bottom w:val="nil"/>
              <w:right w:val="nil"/>
            </w:tcBorders>
            <w:vAlign w:val="center"/>
          </w:tcPr>
          <w:p w14:paraId="4F3308E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w:t>
            </w:r>
          </w:p>
        </w:tc>
        <w:tc>
          <w:tcPr>
            <w:tcW w:w="0" w:type="auto"/>
            <w:tcBorders>
              <w:top w:val="nil"/>
              <w:left w:val="nil"/>
              <w:bottom w:val="nil"/>
              <w:right w:val="nil"/>
            </w:tcBorders>
            <w:vAlign w:val="center"/>
          </w:tcPr>
          <w:p w14:paraId="3C778E44">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8,740</w:t>
            </w:r>
          </w:p>
        </w:tc>
        <w:tc>
          <w:tcPr>
            <w:tcW w:w="0" w:type="auto"/>
            <w:tcBorders>
              <w:top w:val="nil"/>
              <w:left w:val="nil"/>
              <w:bottom w:val="nil"/>
              <w:right w:val="nil"/>
            </w:tcBorders>
            <w:vAlign w:val="center"/>
          </w:tcPr>
          <w:p w14:paraId="2EA6466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w:t>
            </w:r>
          </w:p>
        </w:tc>
      </w:tr>
      <w:tr w14:paraId="07E5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single" w:color="auto" w:sz="12" w:space="0"/>
              <w:right w:val="nil"/>
            </w:tcBorders>
            <w:vAlign w:val="center"/>
          </w:tcPr>
          <w:p w14:paraId="5AB6CDFB">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更换固定效应</w:t>
            </w:r>
          </w:p>
        </w:tc>
        <w:tc>
          <w:tcPr>
            <w:tcW w:w="0" w:type="auto"/>
            <w:tcBorders>
              <w:top w:val="nil"/>
              <w:left w:val="nil"/>
              <w:bottom w:val="single" w:color="auto" w:sz="12" w:space="0"/>
              <w:right w:val="nil"/>
            </w:tcBorders>
            <w:vAlign w:val="center"/>
          </w:tcPr>
          <w:p w14:paraId="2495D312">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公司固定效应</w:t>
            </w:r>
          </w:p>
        </w:tc>
        <w:tc>
          <w:tcPr>
            <w:tcW w:w="0" w:type="auto"/>
            <w:tcBorders>
              <w:top w:val="nil"/>
              <w:left w:val="nil"/>
              <w:bottom w:val="single" w:color="auto" w:sz="12" w:space="0"/>
              <w:right w:val="nil"/>
            </w:tcBorders>
            <w:vAlign w:val="center"/>
          </w:tcPr>
          <w:p w14:paraId="648AF5C5">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1.478</w:t>
            </w:r>
          </w:p>
        </w:tc>
        <w:tc>
          <w:tcPr>
            <w:tcW w:w="0" w:type="auto"/>
            <w:tcBorders>
              <w:top w:val="nil"/>
              <w:left w:val="nil"/>
              <w:bottom w:val="single" w:color="auto" w:sz="12" w:space="0"/>
              <w:right w:val="nil"/>
            </w:tcBorders>
            <w:vAlign w:val="center"/>
          </w:tcPr>
          <w:p w14:paraId="4281BF0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(0.334)</w:t>
            </w:r>
          </w:p>
        </w:tc>
        <w:tc>
          <w:tcPr>
            <w:tcW w:w="0" w:type="auto"/>
            <w:tcBorders>
              <w:top w:val="nil"/>
              <w:left w:val="nil"/>
              <w:bottom w:val="single" w:color="auto" w:sz="12" w:space="0"/>
              <w:right w:val="nil"/>
            </w:tcBorders>
            <w:vAlign w:val="center"/>
          </w:tcPr>
          <w:p w14:paraId="3E1EA6A7">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w:t>
            </w:r>
          </w:p>
        </w:tc>
        <w:tc>
          <w:tcPr>
            <w:tcW w:w="0" w:type="auto"/>
            <w:tcBorders>
              <w:top w:val="nil"/>
              <w:left w:val="nil"/>
              <w:bottom w:val="single" w:color="auto" w:sz="12" w:space="0"/>
              <w:right w:val="nil"/>
            </w:tcBorders>
            <w:vAlign w:val="center"/>
          </w:tcPr>
          <w:p w14:paraId="45EE41D0">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8,740</w:t>
            </w:r>
          </w:p>
        </w:tc>
        <w:tc>
          <w:tcPr>
            <w:tcW w:w="0" w:type="auto"/>
            <w:tcBorders>
              <w:top w:val="nil"/>
              <w:left w:val="nil"/>
              <w:bottom w:val="single" w:color="auto" w:sz="12" w:space="0"/>
              <w:right w:val="nil"/>
            </w:tcBorders>
            <w:vAlign w:val="center"/>
          </w:tcPr>
          <w:p w14:paraId="7100CEE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0.798</w:t>
            </w:r>
          </w:p>
        </w:tc>
      </w:tr>
    </w:tbl>
    <w:p w14:paraId="28B2B743">
      <w:pPr>
        <w:rPr>
          <w:rFonts w:hint="default" w:ascii="Times New Roman" w:hAnsi="Times New Roman" w:cs="Times New Roman"/>
          <w:color w:val="auto"/>
          <w:lang w:val="en-US" w:eastAsia="zh-CN"/>
        </w:rPr>
      </w:pPr>
    </w:p>
    <w:p w14:paraId="6F152E31">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稳健性检验结果支持基准结论的可靠性。无论采用何种破产风险测度（连续变量DD）、文本分析方法（BERT嵌入）、样本范围（排除金融危机期），还是计量方法（Firth Logit、2SLS），IA_Text的系数均保持高度显著性且符号一致。特别是工具变量法的结果（系数1.812）略高于基准模型，表明可能存在的内生性问题不会导致高估信息不对称的影响。所有替代模型的AUC值均维持在0.8左右，进一步验证了预测性能的稳健性。</w:t>
      </w:r>
    </w:p>
    <w:p w14:paraId="0B5A67CB">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lang w:val="en-US" w:eastAsia="zh-CN"/>
        </w:rPr>
      </w:pPr>
      <w:bookmarkStart w:id="28" w:name="_Toc13228"/>
      <w:r>
        <w:rPr>
          <w:rFonts w:hint="default" w:ascii="Times New Roman" w:hAnsi="Times New Roman" w:eastAsia="黑体" w:cs="Times New Roman"/>
          <w:color w:val="auto"/>
          <w:sz w:val="28"/>
          <w:szCs w:val="28"/>
          <w:lang w:val="en-US" w:eastAsia="zh-CN"/>
        </w:rPr>
        <w:t>5.3</w:t>
      </w:r>
      <w:r>
        <w:rPr>
          <w:rFonts w:hint="default" w:ascii="Times New Roman" w:hAnsi="Times New Roman" w:eastAsia="黑体" w:cs="Times New Roman"/>
          <w:color w:val="auto"/>
          <w:sz w:val="28"/>
          <w:szCs w:val="28"/>
          <w:lang w:val="en-US" w:eastAsia="zh-CN"/>
        </w:rPr>
        <w:t>机器学习预测结果</w:t>
      </w:r>
      <w:bookmarkEnd w:id="28"/>
    </w:p>
    <w:p w14:paraId="2D3B4FA2">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29" w:name="_Toc7517"/>
      <w:r>
        <w:rPr>
          <w:rFonts w:hint="default" w:ascii="Times New Roman" w:hAnsi="Times New Roman" w:eastAsia="黑体" w:cs="Times New Roman"/>
          <w:color w:val="auto"/>
          <w:lang w:val="en-US" w:eastAsia="zh-CN"/>
        </w:rPr>
        <w:t>5.3.1</w:t>
      </w:r>
      <w:r>
        <w:rPr>
          <w:rFonts w:hint="default" w:ascii="Times New Roman" w:hAnsi="Times New Roman" w:eastAsia="黑体" w:cs="Times New Roman"/>
          <w:color w:val="auto"/>
          <w:lang w:val="en-US" w:eastAsia="zh-CN"/>
        </w:rPr>
        <w:t>模型性能对比</w:t>
      </w:r>
      <w:bookmarkEnd w:id="29"/>
    </w:p>
    <w:p w14:paraId="18757576">
      <w:pPr>
        <w:ind w:firstLine="420" w:firstLineChars="200"/>
        <w:rPr>
          <w:rFonts w:hint="default" w:ascii="Times New Roman" w:hAnsi="Times New Roman" w:cs="Times New Roman"/>
          <w:color w:val="auto"/>
        </w:rPr>
      </w:pPr>
      <w:r>
        <w:rPr>
          <w:rFonts w:hint="default" w:ascii="Times New Roman" w:hAnsi="Times New Roman" w:cs="Times New Roman"/>
          <w:color w:val="auto"/>
        </w:rPr>
        <w:t>为检验研究假设H2，本研究系统比较了多种机器学习模型的预测性能</w:t>
      </w:r>
      <w:r>
        <w:rPr>
          <w:rFonts w:hint="default" w:ascii="Times New Roman" w:hAnsi="Times New Roman" w:cs="Times New Roman"/>
          <w:color w:val="auto"/>
          <w:lang w:eastAsia="zh-CN"/>
        </w:rPr>
        <w:t>。</w:t>
      </w:r>
    </w:p>
    <w:p w14:paraId="32C79244">
      <w:pPr>
        <w:jc w:val="center"/>
        <w:rPr>
          <w:rFonts w:hint="default" w:ascii="Times New Roman" w:hAnsi="Times New Roman" w:cs="Times New Roman"/>
          <w:color w:val="auto"/>
        </w:rPr>
      </w:pPr>
      <w:r>
        <w:rPr>
          <w:rFonts w:hint="default" w:ascii="Times New Roman" w:hAnsi="Times New Roman" w:cs="Times New Roman"/>
          <w:color w:val="auto"/>
        </w:rPr>
        <w:t>表</w:t>
      </w:r>
      <w:r>
        <w:rPr>
          <w:rFonts w:hint="default" w:ascii="Times New Roman" w:hAnsi="Times New Roman" w:cs="Times New Roman"/>
          <w:color w:val="auto"/>
          <w:lang w:val="en-US" w:eastAsia="zh-CN"/>
        </w:rPr>
        <w:t xml:space="preserve">8 </w:t>
      </w:r>
      <w:r>
        <w:rPr>
          <w:rFonts w:hint="default" w:ascii="Times New Roman" w:hAnsi="Times New Roman" w:cs="Times New Roman"/>
          <w:color w:val="auto"/>
        </w:rPr>
        <w:t>机器学习模型性能对比结果</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99"/>
        <w:gridCol w:w="689"/>
        <w:gridCol w:w="846"/>
        <w:gridCol w:w="846"/>
        <w:gridCol w:w="846"/>
        <w:gridCol w:w="911"/>
        <w:gridCol w:w="1120"/>
        <w:gridCol w:w="1406"/>
      </w:tblGrid>
      <w:tr w14:paraId="58414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single" w:color="auto" w:sz="12" w:space="0"/>
              <w:left w:val="nil"/>
              <w:bottom w:val="single" w:color="auto" w:sz="4" w:space="0"/>
              <w:right w:val="nil"/>
            </w:tcBorders>
            <w:vAlign w:val="center"/>
          </w:tcPr>
          <w:p w14:paraId="2E807FB2">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模型类型</w:t>
            </w:r>
          </w:p>
        </w:tc>
        <w:tc>
          <w:tcPr>
            <w:tcW w:w="0" w:type="auto"/>
            <w:tcBorders>
              <w:top w:val="single" w:color="auto" w:sz="12" w:space="0"/>
              <w:left w:val="nil"/>
              <w:bottom w:val="single" w:color="auto" w:sz="4" w:space="0"/>
              <w:right w:val="nil"/>
            </w:tcBorders>
            <w:vAlign w:val="center"/>
          </w:tcPr>
          <w:p w14:paraId="6D54524E">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AUC</w:t>
            </w:r>
          </w:p>
        </w:tc>
        <w:tc>
          <w:tcPr>
            <w:tcW w:w="0" w:type="auto"/>
            <w:tcBorders>
              <w:top w:val="single" w:color="auto" w:sz="12" w:space="0"/>
              <w:left w:val="nil"/>
              <w:bottom w:val="single" w:color="auto" w:sz="4" w:space="0"/>
              <w:right w:val="nil"/>
            </w:tcBorders>
            <w:vAlign w:val="center"/>
          </w:tcPr>
          <w:p w14:paraId="18F25B26">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准确率</w:t>
            </w:r>
          </w:p>
        </w:tc>
        <w:tc>
          <w:tcPr>
            <w:tcW w:w="0" w:type="auto"/>
            <w:tcBorders>
              <w:top w:val="single" w:color="auto" w:sz="12" w:space="0"/>
              <w:left w:val="nil"/>
              <w:bottom w:val="single" w:color="auto" w:sz="4" w:space="0"/>
              <w:right w:val="nil"/>
            </w:tcBorders>
            <w:vAlign w:val="center"/>
          </w:tcPr>
          <w:p w14:paraId="6EEB058A">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召回率</w:t>
            </w:r>
          </w:p>
        </w:tc>
        <w:tc>
          <w:tcPr>
            <w:tcW w:w="0" w:type="auto"/>
            <w:tcBorders>
              <w:top w:val="single" w:color="auto" w:sz="12" w:space="0"/>
              <w:left w:val="nil"/>
              <w:bottom w:val="single" w:color="auto" w:sz="4" w:space="0"/>
              <w:right w:val="nil"/>
            </w:tcBorders>
            <w:vAlign w:val="center"/>
          </w:tcPr>
          <w:p w14:paraId="67DC0DA9">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精确率</w:t>
            </w:r>
          </w:p>
        </w:tc>
        <w:tc>
          <w:tcPr>
            <w:tcW w:w="0" w:type="auto"/>
            <w:tcBorders>
              <w:top w:val="single" w:color="auto" w:sz="12" w:space="0"/>
              <w:left w:val="nil"/>
              <w:bottom w:val="single" w:color="auto" w:sz="4" w:space="0"/>
              <w:right w:val="nil"/>
            </w:tcBorders>
            <w:vAlign w:val="center"/>
          </w:tcPr>
          <w:p w14:paraId="24AD2D91">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F1分数</w:t>
            </w:r>
          </w:p>
        </w:tc>
        <w:tc>
          <w:tcPr>
            <w:tcW w:w="0" w:type="auto"/>
            <w:tcBorders>
              <w:top w:val="single" w:color="auto" w:sz="12" w:space="0"/>
              <w:left w:val="nil"/>
              <w:bottom w:val="single" w:color="auto" w:sz="4" w:space="0"/>
              <w:right w:val="nil"/>
            </w:tcBorders>
            <w:vAlign w:val="center"/>
          </w:tcPr>
          <w:p w14:paraId="27DF967C">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Brier分数</w:t>
            </w:r>
          </w:p>
        </w:tc>
        <w:tc>
          <w:tcPr>
            <w:tcW w:w="0" w:type="auto"/>
            <w:tcBorders>
              <w:top w:val="single" w:color="auto" w:sz="12" w:space="0"/>
              <w:left w:val="nil"/>
              <w:bottom w:val="single" w:color="auto" w:sz="4" w:space="0"/>
              <w:right w:val="nil"/>
            </w:tcBorders>
            <w:vAlign w:val="center"/>
          </w:tcPr>
          <w:p w14:paraId="59F52140">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训练时间(秒)</w:t>
            </w:r>
          </w:p>
        </w:tc>
      </w:tr>
      <w:tr w14:paraId="14874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single" w:color="auto" w:sz="4" w:space="0"/>
              <w:left w:val="nil"/>
              <w:bottom w:val="nil"/>
              <w:right w:val="nil"/>
            </w:tcBorders>
            <w:vAlign w:val="center"/>
          </w:tcPr>
          <w:p w14:paraId="061E75D0">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基准Logistic</w:t>
            </w:r>
          </w:p>
        </w:tc>
        <w:tc>
          <w:tcPr>
            <w:tcW w:w="0" w:type="auto"/>
            <w:tcBorders>
              <w:top w:val="single" w:color="auto" w:sz="4" w:space="0"/>
              <w:left w:val="nil"/>
              <w:bottom w:val="nil"/>
              <w:right w:val="nil"/>
            </w:tcBorders>
            <w:vAlign w:val="center"/>
          </w:tcPr>
          <w:p w14:paraId="3A496C2D">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0.752</w:t>
            </w:r>
          </w:p>
        </w:tc>
        <w:tc>
          <w:tcPr>
            <w:tcW w:w="0" w:type="auto"/>
            <w:tcBorders>
              <w:top w:val="single" w:color="auto" w:sz="4" w:space="0"/>
              <w:left w:val="nil"/>
              <w:bottom w:val="nil"/>
              <w:right w:val="nil"/>
            </w:tcBorders>
            <w:vAlign w:val="center"/>
          </w:tcPr>
          <w:p w14:paraId="5FB0BC16">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0.834</w:t>
            </w:r>
          </w:p>
        </w:tc>
        <w:tc>
          <w:tcPr>
            <w:tcW w:w="0" w:type="auto"/>
            <w:tcBorders>
              <w:top w:val="single" w:color="auto" w:sz="4" w:space="0"/>
              <w:left w:val="nil"/>
              <w:bottom w:val="nil"/>
              <w:right w:val="nil"/>
            </w:tcBorders>
            <w:vAlign w:val="center"/>
          </w:tcPr>
          <w:p w14:paraId="62AC181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0.584</w:t>
            </w:r>
          </w:p>
        </w:tc>
        <w:tc>
          <w:tcPr>
            <w:tcW w:w="0" w:type="auto"/>
            <w:tcBorders>
              <w:top w:val="single" w:color="auto" w:sz="4" w:space="0"/>
              <w:left w:val="nil"/>
              <w:bottom w:val="nil"/>
              <w:right w:val="nil"/>
            </w:tcBorders>
            <w:vAlign w:val="center"/>
          </w:tcPr>
          <w:p w14:paraId="0FCE1306">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0.623</w:t>
            </w:r>
          </w:p>
        </w:tc>
        <w:tc>
          <w:tcPr>
            <w:tcW w:w="0" w:type="auto"/>
            <w:tcBorders>
              <w:top w:val="single" w:color="auto" w:sz="4" w:space="0"/>
              <w:left w:val="nil"/>
              <w:bottom w:val="nil"/>
              <w:right w:val="nil"/>
            </w:tcBorders>
            <w:vAlign w:val="center"/>
          </w:tcPr>
          <w:p w14:paraId="067BB67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0.603</w:t>
            </w:r>
          </w:p>
        </w:tc>
        <w:tc>
          <w:tcPr>
            <w:tcW w:w="0" w:type="auto"/>
            <w:tcBorders>
              <w:top w:val="single" w:color="auto" w:sz="4" w:space="0"/>
              <w:left w:val="nil"/>
              <w:bottom w:val="nil"/>
              <w:right w:val="nil"/>
            </w:tcBorders>
            <w:vAlign w:val="center"/>
          </w:tcPr>
          <w:p w14:paraId="69D7C2B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0.134</w:t>
            </w:r>
          </w:p>
        </w:tc>
        <w:tc>
          <w:tcPr>
            <w:tcW w:w="0" w:type="auto"/>
            <w:tcBorders>
              <w:top w:val="single" w:color="auto" w:sz="4" w:space="0"/>
              <w:left w:val="nil"/>
              <w:bottom w:val="nil"/>
              <w:right w:val="nil"/>
            </w:tcBorders>
            <w:vAlign w:val="center"/>
          </w:tcPr>
          <w:p w14:paraId="71DD7ACB">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2.3</w:t>
            </w:r>
          </w:p>
        </w:tc>
      </w:tr>
      <w:tr w14:paraId="0E39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nil"/>
              <w:right w:val="nil"/>
            </w:tcBorders>
            <w:vAlign w:val="center"/>
          </w:tcPr>
          <w:p w14:paraId="5DA0F69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随机森林</w:t>
            </w:r>
          </w:p>
        </w:tc>
        <w:tc>
          <w:tcPr>
            <w:tcW w:w="0" w:type="auto"/>
            <w:tcBorders>
              <w:top w:val="nil"/>
              <w:left w:val="nil"/>
              <w:bottom w:val="nil"/>
              <w:right w:val="nil"/>
            </w:tcBorders>
            <w:vAlign w:val="center"/>
          </w:tcPr>
          <w:p w14:paraId="57B4E51D">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0.823</w:t>
            </w:r>
          </w:p>
        </w:tc>
        <w:tc>
          <w:tcPr>
            <w:tcW w:w="0" w:type="auto"/>
            <w:tcBorders>
              <w:top w:val="nil"/>
              <w:left w:val="nil"/>
              <w:bottom w:val="nil"/>
              <w:right w:val="nil"/>
            </w:tcBorders>
            <w:vAlign w:val="center"/>
          </w:tcPr>
          <w:p w14:paraId="032280B5">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0.856</w:t>
            </w:r>
          </w:p>
        </w:tc>
        <w:tc>
          <w:tcPr>
            <w:tcW w:w="0" w:type="auto"/>
            <w:tcBorders>
              <w:top w:val="nil"/>
              <w:left w:val="nil"/>
              <w:bottom w:val="nil"/>
              <w:right w:val="nil"/>
            </w:tcBorders>
            <w:vAlign w:val="center"/>
          </w:tcPr>
          <w:p w14:paraId="33DD5123">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0.652</w:t>
            </w:r>
          </w:p>
        </w:tc>
        <w:tc>
          <w:tcPr>
            <w:tcW w:w="0" w:type="auto"/>
            <w:tcBorders>
              <w:top w:val="nil"/>
              <w:left w:val="nil"/>
              <w:bottom w:val="nil"/>
              <w:right w:val="nil"/>
            </w:tcBorders>
            <w:vAlign w:val="center"/>
          </w:tcPr>
          <w:p w14:paraId="1470930A">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0.687</w:t>
            </w:r>
          </w:p>
        </w:tc>
        <w:tc>
          <w:tcPr>
            <w:tcW w:w="0" w:type="auto"/>
            <w:tcBorders>
              <w:top w:val="nil"/>
              <w:left w:val="nil"/>
              <w:bottom w:val="nil"/>
              <w:right w:val="nil"/>
            </w:tcBorders>
            <w:vAlign w:val="center"/>
          </w:tcPr>
          <w:p w14:paraId="362702DE">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0.669</w:t>
            </w:r>
          </w:p>
        </w:tc>
        <w:tc>
          <w:tcPr>
            <w:tcW w:w="0" w:type="auto"/>
            <w:tcBorders>
              <w:top w:val="nil"/>
              <w:left w:val="nil"/>
              <w:bottom w:val="nil"/>
              <w:right w:val="nil"/>
            </w:tcBorders>
            <w:vAlign w:val="center"/>
          </w:tcPr>
          <w:p w14:paraId="789B91EB">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0.112</w:t>
            </w:r>
          </w:p>
        </w:tc>
        <w:tc>
          <w:tcPr>
            <w:tcW w:w="0" w:type="auto"/>
            <w:tcBorders>
              <w:top w:val="nil"/>
              <w:left w:val="nil"/>
              <w:bottom w:val="nil"/>
              <w:right w:val="nil"/>
            </w:tcBorders>
            <w:vAlign w:val="center"/>
          </w:tcPr>
          <w:p w14:paraId="01FCF0BE">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45.7</w:t>
            </w:r>
          </w:p>
        </w:tc>
      </w:tr>
      <w:tr w14:paraId="58C7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nil"/>
              <w:right w:val="nil"/>
            </w:tcBorders>
            <w:vAlign w:val="center"/>
          </w:tcPr>
          <w:p w14:paraId="2B8E818F">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XGBoost</w:t>
            </w:r>
          </w:p>
        </w:tc>
        <w:tc>
          <w:tcPr>
            <w:tcW w:w="0" w:type="auto"/>
            <w:tcBorders>
              <w:top w:val="nil"/>
              <w:left w:val="nil"/>
              <w:bottom w:val="nil"/>
              <w:right w:val="nil"/>
            </w:tcBorders>
            <w:vAlign w:val="center"/>
          </w:tcPr>
          <w:p w14:paraId="51BF0637">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0.841</w:t>
            </w:r>
          </w:p>
        </w:tc>
        <w:tc>
          <w:tcPr>
            <w:tcW w:w="0" w:type="auto"/>
            <w:tcBorders>
              <w:top w:val="nil"/>
              <w:left w:val="nil"/>
              <w:bottom w:val="nil"/>
              <w:right w:val="nil"/>
            </w:tcBorders>
            <w:vAlign w:val="center"/>
          </w:tcPr>
          <w:p w14:paraId="7D245349">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0.867</w:t>
            </w:r>
          </w:p>
        </w:tc>
        <w:tc>
          <w:tcPr>
            <w:tcW w:w="0" w:type="auto"/>
            <w:tcBorders>
              <w:top w:val="nil"/>
              <w:left w:val="nil"/>
              <w:bottom w:val="nil"/>
              <w:right w:val="nil"/>
            </w:tcBorders>
            <w:vAlign w:val="center"/>
          </w:tcPr>
          <w:p w14:paraId="5276E8B6">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0.678</w:t>
            </w:r>
          </w:p>
        </w:tc>
        <w:tc>
          <w:tcPr>
            <w:tcW w:w="0" w:type="auto"/>
            <w:tcBorders>
              <w:top w:val="nil"/>
              <w:left w:val="nil"/>
              <w:bottom w:val="nil"/>
              <w:right w:val="nil"/>
            </w:tcBorders>
            <w:vAlign w:val="center"/>
          </w:tcPr>
          <w:p w14:paraId="3456EE6B">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0.712</w:t>
            </w:r>
          </w:p>
        </w:tc>
        <w:tc>
          <w:tcPr>
            <w:tcW w:w="0" w:type="auto"/>
            <w:tcBorders>
              <w:top w:val="nil"/>
              <w:left w:val="nil"/>
              <w:bottom w:val="nil"/>
              <w:right w:val="nil"/>
            </w:tcBorders>
            <w:vAlign w:val="center"/>
          </w:tcPr>
          <w:p w14:paraId="09E633D9">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0.694</w:t>
            </w:r>
          </w:p>
        </w:tc>
        <w:tc>
          <w:tcPr>
            <w:tcW w:w="0" w:type="auto"/>
            <w:tcBorders>
              <w:top w:val="nil"/>
              <w:left w:val="nil"/>
              <w:bottom w:val="nil"/>
              <w:right w:val="nil"/>
            </w:tcBorders>
            <w:vAlign w:val="center"/>
          </w:tcPr>
          <w:p w14:paraId="45BD0D4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0.105</w:t>
            </w:r>
          </w:p>
        </w:tc>
        <w:tc>
          <w:tcPr>
            <w:tcW w:w="0" w:type="auto"/>
            <w:tcBorders>
              <w:top w:val="nil"/>
              <w:left w:val="nil"/>
              <w:bottom w:val="nil"/>
              <w:right w:val="nil"/>
            </w:tcBorders>
            <w:vAlign w:val="center"/>
          </w:tcPr>
          <w:p w14:paraId="1F4F5E3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28.9</w:t>
            </w:r>
          </w:p>
        </w:tc>
      </w:tr>
      <w:tr w14:paraId="6F97B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nil"/>
              <w:right w:val="nil"/>
            </w:tcBorders>
            <w:vAlign w:val="center"/>
          </w:tcPr>
          <w:p w14:paraId="1CD11B19">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支持向量机</w:t>
            </w:r>
          </w:p>
        </w:tc>
        <w:tc>
          <w:tcPr>
            <w:tcW w:w="0" w:type="auto"/>
            <w:tcBorders>
              <w:top w:val="nil"/>
              <w:left w:val="nil"/>
              <w:bottom w:val="nil"/>
              <w:right w:val="nil"/>
            </w:tcBorders>
            <w:vAlign w:val="center"/>
          </w:tcPr>
          <w:p w14:paraId="388AC4E3">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0.798</w:t>
            </w:r>
          </w:p>
        </w:tc>
        <w:tc>
          <w:tcPr>
            <w:tcW w:w="0" w:type="auto"/>
            <w:tcBorders>
              <w:top w:val="nil"/>
              <w:left w:val="nil"/>
              <w:bottom w:val="nil"/>
              <w:right w:val="nil"/>
            </w:tcBorders>
            <w:vAlign w:val="center"/>
          </w:tcPr>
          <w:p w14:paraId="6B111E72">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0.843</w:t>
            </w:r>
          </w:p>
        </w:tc>
        <w:tc>
          <w:tcPr>
            <w:tcW w:w="0" w:type="auto"/>
            <w:tcBorders>
              <w:top w:val="nil"/>
              <w:left w:val="nil"/>
              <w:bottom w:val="nil"/>
              <w:right w:val="nil"/>
            </w:tcBorders>
            <w:vAlign w:val="center"/>
          </w:tcPr>
          <w:p w14:paraId="43F48CA0">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0.623</w:t>
            </w:r>
          </w:p>
        </w:tc>
        <w:tc>
          <w:tcPr>
            <w:tcW w:w="0" w:type="auto"/>
            <w:tcBorders>
              <w:top w:val="nil"/>
              <w:left w:val="nil"/>
              <w:bottom w:val="nil"/>
              <w:right w:val="nil"/>
            </w:tcBorders>
            <w:vAlign w:val="center"/>
          </w:tcPr>
          <w:p w14:paraId="5690683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0.645</w:t>
            </w:r>
          </w:p>
        </w:tc>
        <w:tc>
          <w:tcPr>
            <w:tcW w:w="0" w:type="auto"/>
            <w:tcBorders>
              <w:top w:val="nil"/>
              <w:left w:val="nil"/>
              <w:bottom w:val="nil"/>
              <w:right w:val="nil"/>
            </w:tcBorders>
            <w:vAlign w:val="center"/>
          </w:tcPr>
          <w:p w14:paraId="66B96BA9">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0.634</w:t>
            </w:r>
          </w:p>
        </w:tc>
        <w:tc>
          <w:tcPr>
            <w:tcW w:w="0" w:type="auto"/>
            <w:tcBorders>
              <w:top w:val="nil"/>
              <w:left w:val="nil"/>
              <w:bottom w:val="nil"/>
              <w:right w:val="nil"/>
            </w:tcBorders>
            <w:vAlign w:val="center"/>
          </w:tcPr>
          <w:p w14:paraId="1C644C2B">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0.121</w:t>
            </w:r>
          </w:p>
        </w:tc>
        <w:tc>
          <w:tcPr>
            <w:tcW w:w="0" w:type="auto"/>
            <w:tcBorders>
              <w:top w:val="nil"/>
              <w:left w:val="nil"/>
              <w:bottom w:val="nil"/>
              <w:right w:val="nil"/>
            </w:tcBorders>
            <w:vAlign w:val="center"/>
          </w:tcPr>
          <w:p w14:paraId="142ACC7F">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67.3</w:t>
            </w:r>
          </w:p>
        </w:tc>
      </w:tr>
      <w:tr w14:paraId="3B0F0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nil"/>
              <w:right w:val="nil"/>
            </w:tcBorders>
            <w:vAlign w:val="center"/>
          </w:tcPr>
          <w:p w14:paraId="53C877F1">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神经网络</w:t>
            </w:r>
          </w:p>
        </w:tc>
        <w:tc>
          <w:tcPr>
            <w:tcW w:w="0" w:type="auto"/>
            <w:tcBorders>
              <w:top w:val="nil"/>
              <w:left w:val="nil"/>
              <w:bottom w:val="nil"/>
              <w:right w:val="nil"/>
            </w:tcBorders>
            <w:vAlign w:val="center"/>
          </w:tcPr>
          <w:p w14:paraId="59B74040">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0.836</w:t>
            </w:r>
          </w:p>
        </w:tc>
        <w:tc>
          <w:tcPr>
            <w:tcW w:w="0" w:type="auto"/>
            <w:tcBorders>
              <w:top w:val="nil"/>
              <w:left w:val="nil"/>
              <w:bottom w:val="nil"/>
              <w:right w:val="nil"/>
            </w:tcBorders>
            <w:vAlign w:val="center"/>
          </w:tcPr>
          <w:p w14:paraId="4D7D5100">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0.862</w:t>
            </w:r>
          </w:p>
        </w:tc>
        <w:tc>
          <w:tcPr>
            <w:tcW w:w="0" w:type="auto"/>
            <w:tcBorders>
              <w:top w:val="nil"/>
              <w:left w:val="nil"/>
              <w:bottom w:val="nil"/>
              <w:right w:val="nil"/>
            </w:tcBorders>
            <w:vAlign w:val="center"/>
          </w:tcPr>
          <w:p w14:paraId="6088468B">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0.665</w:t>
            </w:r>
          </w:p>
        </w:tc>
        <w:tc>
          <w:tcPr>
            <w:tcW w:w="0" w:type="auto"/>
            <w:tcBorders>
              <w:top w:val="nil"/>
              <w:left w:val="nil"/>
              <w:bottom w:val="nil"/>
              <w:right w:val="nil"/>
            </w:tcBorders>
            <w:vAlign w:val="center"/>
          </w:tcPr>
          <w:p w14:paraId="652E2C4A">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0.698</w:t>
            </w:r>
          </w:p>
        </w:tc>
        <w:tc>
          <w:tcPr>
            <w:tcW w:w="0" w:type="auto"/>
            <w:tcBorders>
              <w:top w:val="nil"/>
              <w:left w:val="nil"/>
              <w:bottom w:val="nil"/>
              <w:right w:val="nil"/>
            </w:tcBorders>
            <w:vAlign w:val="center"/>
          </w:tcPr>
          <w:p w14:paraId="4BFF96FF">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0.681</w:t>
            </w:r>
          </w:p>
        </w:tc>
        <w:tc>
          <w:tcPr>
            <w:tcW w:w="0" w:type="auto"/>
            <w:tcBorders>
              <w:top w:val="nil"/>
              <w:left w:val="nil"/>
              <w:bottom w:val="nil"/>
              <w:right w:val="nil"/>
            </w:tcBorders>
            <w:vAlign w:val="center"/>
          </w:tcPr>
          <w:p w14:paraId="5FC78A0D">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0.108</w:t>
            </w:r>
          </w:p>
        </w:tc>
        <w:tc>
          <w:tcPr>
            <w:tcW w:w="0" w:type="auto"/>
            <w:tcBorders>
              <w:top w:val="nil"/>
              <w:left w:val="nil"/>
              <w:bottom w:val="nil"/>
              <w:right w:val="nil"/>
            </w:tcBorders>
            <w:vAlign w:val="center"/>
          </w:tcPr>
          <w:p w14:paraId="6AAE31D0">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89.5</w:t>
            </w:r>
          </w:p>
        </w:tc>
      </w:tr>
      <w:tr w14:paraId="462D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single" w:color="auto" w:sz="12" w:space="0"/>
              <w:right w:val="nil"/>
            </w:tcBorders>
            <w:vAlign w:val="center"/>
          </w:tcPr>
          <w:p w14:paraId="323A6019">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BERT+财务特征</w:t>
            </w:r>
          </w:p>
        </w:tc>
        <w:tc>
          <w:tcPr>
            <w:tcW w:w="0" w:type="auto"/>
            <w:tcBorders>
              <w:top w:val="nil"/>
              <w:left w:val="nil"/>
              <w:bottom w:val="single" w:color="auto" w:sz="12" w:space="0"/>
              <w:right w:val="nil"/>
            </w:tcBorders>
            <w:vAlign w:val="center"/>
          </w:tcPr>
          <w:p w14:paraId="16D8B730">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0.859</w:t>
            </w:r>
          </w:p>
        </w:tc>
        <w:tc>
          <w:tcPr>
            <w:tcW w:w="0" w:type="auto"/>
            <w:tcBorders>
              <w:top w:val="nil"/>
              <w:left w:val="nil"/>
              <w:bottom w:val="single" w:color="auto" w:sz="12" w:space="0"/>
              <w:right w:val="nil"/>
            </w:tcBorders>
            <w:vAlign w:val="center"/>
          </w:tcPr>
          <w:p w14:paraId="13054207">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0.878</w:t>
            </w:r>
          </w:p>
        </w:tc>
        <w:tc>
          <w:tcPr>
            <w:tcW w:w="0" w:type="auto"/>
            <w:tcBorders>
              <w:top w:val="nil"/>
              <w:left w:val="nil"/>
              <w:bottom w:val="single" w:color="auto" w:sz="12" w:space="0"/>
              <w:right w:val="nil"/>
            </w:tcBorders>
            <w:vAlign w:val="center"/>
          </w:tcPr>
          <w:p w14:paraId="2BBD20CD">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0.723</w:t>
            </w:r>
          </w:p>
        </w:tc>
        <w:tc>
          <w:tcPr>
            <w:tcW w:w="0" w:type="auto"/>
            <w:tcBorders>
              <w:top w:val="nil"/>
              <w:left w:val="nil"/>
              <w:bottom w:val="single" w:color="auto" w:sz="12" w:space="0"/>
              <w:right w:val="nil"/>
            </w:tcBorders>
            <w:vAlign w:val="center"/>
          </w:tcPr>
          <w:p w14:paraId="4A8559E5">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0.745</w:t>
            </w:r>
          </w:p>
        </w:tc>
        <w:tc>
          <w:tcPr>
            <w:tcW w:w="0" w:type="auto"/>
            <w:tcBorders>
              <w:top w:val="nil"/>
              <w:left w:val="nil"/>
              <w:bottom w:val="single" w:color="auto" w:sz="12" w:space="0"/>
              <w:right w:val="nil"/>
            </w:tcBorders>
            <w:vAlign w:val="center"/>
          </w:tcPr>
          <w:p w14:paraId="4DA631EB">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0.734</w:t>
            </w:r>
          </w:p>
        </w:tc>
        <w:tc>
          <w:tcPr>
            <w:tcW w:w="0" w:type="auto"/>
            <w:tcBorders>
              <w:top w:val="nil"/>
              <w:left w:val="nil"/>
              <w:bottom w:val="single" w:color="auto" w:sz="12" w:space="0"/>
              <w:right w:val="nil"/>
            </w:tcBorders>
            <w:vAlign w:val="center"/>
          </w:tcPr>
          <w:p w14:paraId="0C1ECE45">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0.098</w:t>
            </w:r>
          </w:p>
        </w:tc>
        <w:tc>
          <w:tcPr>
            <w:tcW w:w="0" w:type="auto"/>
            <w:tcBorders>
              <w:top w:val="nil"/>
              <w:left w:val="nil"/>
              <w:bottom w:val="single" w:color="auto" w:sz="12" w:space="0"/>
              <w:right w:val="nil"/>
            </w:tcBorders>
            <w:vAlign w:val="center"/>
          </w:tcPr>
          <w:p w14:paraId="4E4ADFC2">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156.2</w:t>
            </w:r>
          </w:p>
        </w:tc>
      </w:tr>
    </w:tbl>
    <w:p w14:paraId="3FE08AF6">
      <w:pPr>
        <w:rPr>
          <w:rFonts w:hint="default" w:ascii="Times New Roman" w:hAnsi="Times New Roman" w:cs="Times New Roman"/>
          <w:color w:val="auto"/>
        </w:rPr>
      </w:pPr>
    </w:p>
    <w:p w14:paraId="7DCF535D">
      <w:pPr>
        <w:ind w:firstLine="420" w:firstLineChars="200"/>
        <w:rPr>
          <w:rFonts w:hint="default" w:ascii="Times New Roman" w:hAnsi="Times New Roman" w:cs="Times New Roman"/>
          <w:color w:val="auto"/>
        </w:rPr>
      </w:pPr>
      <w:r>
        <w:rPr>
          <w:rFonts w:hint="default" w:ascii="Times New Roman" w:hAnsi="Times New Roman" w:cs="Times New Roman"/>
          <w:color w:val="auto"/>
          <w:lang w:val="en-US" w:eastAsia="zh-CN"/>
        </w:rPr>
        <w:t>如</w:t>
      </w:r>
      <w:r>
        <w:rPr>
          <w:rFonts w:hint="default" w:ascii="Times New Roman" w:hAnsi="Times New Roman" w:cs="Times New Roman"/>
          <w:color w:val="auto"/>
        </w:rPr>
        <w:t>表</w:t>
      </w:r>
      <w:r>
        <w:rPr>
          <w:rFonts w:hint="default" w:ascii="Times New Roman" w:hAnsi="Times New Roman" w:cs="Times New Roman"/>
          <w:color w:val="auto"/>
          <w:lang w:val="en-US" w:eastAsia="zh-CN"/>
        </w:rPr>
        <w:t>8所示，</w:t>
      </w:r>
      <w:r>
        <w:rPr>
          <w:rFonts w:hint="default" w:ascii="Times New Roman" w:hAnsi="Times New Roman" w:cs="Times New Roman"/>
          <w:color w:val="auto"/>
        </w:rPr>
        <w:t>机器学习模型性能对比结果强有力支持了研究假设H2。所有加入文本特征的机器学习模型在AUC、召回率和F1分数上均显著优于仅使用传统财务变量的基准Logistic模型。特别是XGBoost模型在AUC（0.841）和F1分数（0.694）上表现优异，而BERT+财务特征模型在召回率（0.723）方面表现最佳，体现了深度学习在捕捉复杂文本模式方面的优势。值得注意的是，虽然复杂模型训练时间较长，但其在破产风险预测这一高代价错误场景中的性能提升具有重要实践价值。</w:t>
      </w:r>
    </w:p>
    <w:p w14:paraId="7403B4AB">
      <w:pPr>
        <w:jc w:val="center"/>
        <w:rPr>
          <w:rFonts w:hint="default" w:ascii="Times New Roman" w:hAnsi="Times New Roman" w:cs="Times New Roman" w:eastAsiaTheme="minorEastAsia"/>
          <w:color w:val="auto"/>
          <w:lang w:eastAsia="zh-CN"/>
        </w:rPr>
      </w:pPr>
      <w:r>
        <w:rPr>
          <w:rFonts w:hint="default" w:ascii="Times New Roman" w:hAnsi="Times New Roman" w:cs="Times New Roman" w:eastAsiaTheme="minorEastAsia"/>
          <w:color w:val="auto"/>
          <w:lang w:eastAsia="zh-CN"/>
        </w:rPr>
        <w:drawing>
          <wp:inline distT="0" distB="0" distL="114300" distR="114300">
            <wp:extent cx="5269230" cy="2195830"/>
            <wp:effectExtent l="0" t="0" r="7620" b="13970"/>
            <wp:docPr id="17" name="图片 1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
                    <pic:cNvPicPr>
                      <a:picLocks noChangeAspect="1"/>
                    </pic:cNvPicPr>
                  </pic:nvPicPr>
                  <pic:blipFill>
                    <a:blip r:embed="rId8"/>
                    <a:stretch>
                      <a:fillRect/>
                    </a:stretch>
                  </pic:blipFill>
                  <pic:spPr>
                    <a:xfrm>
                      <a:off x="0" y="0"/>
                      <a:ext cx="5269230" cy="2195830"/>
                    </a:xfrm>
                    <a:prstGeom prst="rect">
                      <a:avLst/>
                    </a:prstGeom>
                  </pic:spPr>
                </pic:pic>
              </a:graphicData>
            </a:graphic>
          </wp:inline>
        </w:drawing>
      </w:r>
    </w:p>
    <w:p w14:paraId="464D30FD">
      <w:pPr>
        <w:jc w:val="center"/>
        <w:rPr>
          <w:rFonts w:hint="default" w:ascii="Times New Roman" w:hAnsi="Times New Roman" w:cs="Times New Roman"/>
          <w:color w:val="auto"/>
        </w:rPr>
      </w:pPr>
      <w:r>
        <w:rPr>
          <w:rFonts w:hint="default" w:ascii="Times New Roman" w:hAnsi="Times New Roman" w:cs="Times New Roman"/>
          <w:color w:val="auto"/>
          <w:lang w:val="en-US" w:eastAsia="zh-CN"/>
        </w:rPr>
        <w:t>图5 机器学习模型性能对比</w:t>
      </w:r>
    </w:p>
    <w:p w14:paraId="5DC47F8A">
      <w:pPr>
        <w:ind w:firstLine="420" w:firstLineChars="200"/>
        <w:rPr>
          <w:rFonts w:hint="default" w:ascii="Times New Roman" w:hAnsi="Times New Roman" w:cs="Times New Roman"/>
          <w:color w:val="auto"/>
        </w:rPr>
      </w:pPr>
      <w:r>
        <w:rPr>
          <w:rFonts w:hint="default" w:ascii="Times New Roman" w:hAnsi="Times New Roman" w:cs="Times New Roman"/>
          <w:color w:val="auto"/>
          <w:lang w:val="en-US" w:eastAsia="zh-CN"/>
        </w:rPr>
        <w:t>如图5所示，</w:t>
      </w:r>
      <w:r>
        <w:rPr>
          <w:rFonts w:hint="default" w:ascii="Times New Roman" w:hAnsi="Times New Roman" w:cs="Times New Roman"/>
          <w:color w:val="auto"/>
        </w:rPr>
        <w:t>BERT模型在召回率（0.723）和AUC（0.859）上的显著提升，这对于破产风险预测这一稀有事件识别任务具有重要价值。XGBoost和神经网络在保持较高AUC的同时具有更好的计算效率，为实际应用提供了平衡选择。</w:t>
      </w:r>
    </w:p>
    <w:p w14:paraId="34A1A403">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30" w:name="_Toc4205"/>
      <w:r>
        <w:rPr>
          <w:rFonts w:hint="default" w:ascii="Times New Roman" w:hAnsi="Times New Roman" w:eastAsia="黑体" w:cs="Times New Roman"/>
          <w:color w:val="auto"/>
          <w:lang w:val="en-US" w:eastAsia="zh-CN"/>
        </w:rPr>
        <w:t>5.3.2</w:t>
      </w:r>
      <w:r>
        <w:rPr>
          <w:rFonts w:hint="default" w:ascii="Times New Roman" w:hAnsi="Times New Roman" w:eastAsia="黑体" w:cs="Times New Roman"/>
          <w:color w:val="auto"/>
          <w:lang w:val="en-US" w:eastAsia="zh-CN"/>
        </w:rPr>
        <w:t>特征重要性分析</w:t>
      </w:r>
      <w:bookmarkEnd w:id="30"/>
    </w:p>
    <w:p w14:paraId="4AF001B2">
      <w:pPr>
        <w:ind w:firstLine="420" w:firstLineChars="200"/>
        <w:rPr>
          <w:rFonts w:hint="default" w:ascii="Times New Roman" w:hAnsi="Times New Roman" w:cs="Times New Roman" w:eastAsiaTheme="minorEastAsia"/>
          <w:color w:val="auto"/>
          <w:lang w:eastAsia="zh-CN"/>
        </w:rPr>
      </w:pPr>
      <w:r>
        <w:rPr>
          <w:rFonts w:hint="default" w:ascii="Times New Roman" w:hAnsi="Times New Roman" w:cs="Times New Roman"/>
          <w:color w:val="auto"/>
        </w:rPr>
        <w:t>采用SHAP（SHapley Additive exPlanations）方法分析各特征在预测模型中的贡献度</w:t>
      </w:r>
      <w:r>
        <w:rPr>
          <w:rFonts w:hint="default" w:ascii="Times New Roman" w:hAnsi="Times New Roman" w:cs="Times New Roman"/>
          <w:color w:val="auto"/>
          <w:lang w:eastAsia="zh-CN"/>
        </w:rPr>
        <w:t>。</w:t>
      </w:r>
    </w:p>
    <w:p w14:paraId="27975305">
      <w:pPr>
        <w:jc w:val="center"/>
        <w:rPr>
          <w:rFonts w:hint="default" w:ascii="Times New Roman" w:hAnsi="Times New Roman" w:cs="Times New Roman"/>
          <w:color w:val="auto"/>
        </w:rPr>
      </w:pPr>
      <w:r>
        <w:rPr>
          <w:rFonts w:hint="default" w:ascii="Times New Roman" w:hAnsi="Times New Roman" w:cs="Times New Roman"/>
          <w:color w:val="auto"/>
        </w:rPr>
        <w:t>表</w:t>
      </w:r>
      <w:r>
        <w:rPr>
          <w:rFonts w:hint="default" w:ascii="Times New Roman" w:hAnsi="Times New Roman" w:cs="Times New Roman"/>
          <w:color w:val="auto"/>
          <w:lang w:val="en-US" w:eastAsia="zh-CN"/>
        </w:rPr>
        <w:t xml:space="preserve">9 </w:t>
      </w:r>
      <w:r>
        <w:rPr>
          <w:rFonts w:hint="default" w:ascii="Times New Roman" w:hAnsi="Times New Roman" w:cs="Times New Roman"/>
          <w:color w:val="auto"/>
        </w:rPr>
        <w:t>XGBoost模型特征重要性排名（SHAP值）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2C69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auto" w:sz="12" w:space="0"/>
              <w:left w:val="nil"/>
              <w:bottom w:val="single" w:color="auto" w:sz="4" w:space="0"/>
              <w:right w:val="nil"/>
            </w:tcBorders>
            <w:vAlign w:val="center"/>
          </w:tcPr>
          <w:p w14:paraId="6D21166E">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特征名称</w:t>
            </w:r>
          </w:p>
        </w:tc>
        <w:tc>
          <w:tcPr>
            <w:tcW w:w="2130" w:type="dxa"/>
            <w:tcBorders>
              <w:top w:val="single" w:color="auto" w:sz="12" w:space="0"/>
              <w:left w:val="nil"/>
              <w:bottom w:val="single" w:color="auto" w:sz="4" w:space="0"/>
              <w:right w:val="nil"/>
            </w:tcBorders>
            <w:vAlign w:val="center"/>
          </w:tcPr>
          <w:p w14:paraId="1D0E6F25">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SHAP值</w:t>
            </w:r>
          </w:p>
        </w:tc>
        <w:tc>
          <w:tcPr>
            <w:tcW w:w="2131" w:type="dxa"/>
            <w:tcBorders>
              <w:top w:val="single" w:color="auto" w:sz="12" w:space="0"/>
              <w:left w:val="nil"/>
              <w:bottom w:val="single" w:color="auto" w:sz="4" w:space="0"/>
              <w:right w:val="nil"/>
            </w:tcBorders>
            <w:vAlign w:val="center"/>
          </w:tcPr>
          <w:p w14:paraId="5342549C">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重要性排名</w:t>
            </w:r>
          </w:p>
        </w:tc>
        <w:tc>
          <w:tcPr>
            <w:tcW w:w="2131" w:type="dxa"/>
            <w:tcBorders>
              <w:top w:val="single" w:color="auto" w:sz="12" w:space="0"/>
              <w:left w:val="nil"/>
              <w:bottom w:val="single" w:color="auto" w:sz="4" w:space="0"/>
              <w:right w:val="nil"/>
            </w:tcBorders>
            <w:vAlign w:val="center"/>
          </w:tcPr>
          <w:p w14:paraId="07E7FA57">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特征类型</w:t>
            </w:r>
          </w:p>
        </w:tc>
      </w:tr>
      <w:tr w14:paraId="190FF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auto" w:sz="4" w:space="0"/>
              <w:left w:val="nil"/>
              <w:bottom w:val="nil"/>
              <w:right w:val="nil"/>
            </w:tcBorders>
            <w:vAlign w:val="center"/>
          </w:tcPr>
          <w:p w14:paraId="273DB9DA">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IA_Text</w:t>
            </w:r>
          </w:p>
        </w:tc>
        <w:tc>
          <w:tcPr>
            <w:tcW w:w="2130" w:type="dxa"/>
            <w:tcBorders>
              <w:top w:val="single" w:color="auto" w:sz="4" w:space="0"/>
              <w:left w:val="nil"/>
              <w:bottom w:val="nil"/>
              <w:right w:val="nil"/>
            </w:tcBorders>
            <w:vAlign w:val="center"/>
          </w:tcPr>
          <w:p w14:paraId="53098051">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0.124</w:t>
            </w:r>
          </w:p>
        </w:tc>
        <w:tc>
          <w:tcPr>
            <w:tcW w:w="2131" w:type="dxa"/>
            <w:tcBorders>
              <w:top w:val="single" w:color="auto" w:sz="4" w:space="0"/>
              <w:left w:val="nil"/>
              <w:bottom w:val="nil"/>
              <w:right w:val="nil"/>
            </w:tcBorders>
            <w:vAlign w:val="center"/>
          </w:tcPr>
          <w:p w14:paraId="17EF5156">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1</w:t>
            </w:r>
          </w:p>
        </w:tc>
        <w:tc>
          <w:tcPr>
            <w:tcW w:w="2131" w:type="dxa"/>
            <w:tcBorders>
              <w:top w:val="single" w:color="auto" w:sz="4" w:space="0"/>
              <w:left w:val="nil"/>
              <w:bottom w:val="nil"/>
              <w:right w:val="nil"/>
            </w:tcBorders>
            <w:vAlign w:val="center"/>
          </w:tcPr>
          <w:p w14:paraId="4E49E1E1">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文本特征</w:t>
            </w:r>
          </w:p>
        </w:tc>
      </w:tr>
      <w:tr w14:paraId="2A81E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nil"/>
              <w:left w:val="nil"/>
              <w:bottom w:val="nil"/>
              <w:right w:val="nil"/>
            </w:tcBorders>
            <w:vAlign w:val="center"/>
          </w:tcPr>
          <w:p w14:paraId="4997D6BD">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Leverage</w:t>
            </w:r>
          </w:p>
        </w:tc>
        <w:tc>
          <w:tcPr>
            <w:tcW w:w="2130" w:type="dxa"/>
            <w:tcBorders>
              <w:top w:val="nil"/>
              <w:left w:val="nil"/>
              <w:bottom w:val="nil"/>
              <w:right w:val="nil"/>
            </w:tcBorders>
            <w:vAlign w:val="center"/>
          </w:tcPr>
          <w:p w14:paraId="0ADCD1EB">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0.098</w:t>
            </w:r>
          </w:p>
        </w:tc>
        <w:tc>
          <w:tcPr>
            <w:tcW w:w="2131" w:type="dxa"/>
            <w:tcBorders>
              <w:top w:val="nil"/>
              <w:left w:val="nil"/>
              <w:bottom w:val="nil"/>
              <w:right w:val="nil"/>
            </w:tcBorders>
            <w:vAlign w:val="center"/>
          </w:tcPr>
          <w:p w14:paraId="20679B3A">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2</w:t>
            </w:r>
          </w:p>
        </w:tc>
        <w:tc>
          <w:tcPr>
            <w:tcW w:w="2131" w:type="dxa"/>
            <w:tcBorders>
              <w:top w:val="nil"/>
              <w:left w:val="nil"/>
              <w:bottom w:val="nil"/>
              <w:right w:val="nil"/>
            </w:tcBorders>
            <w:vAlign w:val="center"/>
          </w:tcPr>
          <w:p w14:paraId="38291925">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财务特征</w:t>
            </w:r>
          </w:p>
        </w:tc>
      </w:tr>
      <w:tr w14:paraId="6AB23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nil"/>
              <w:left w:val="nil"/>
              <w:bottom w:val="nil"/>
              <w:right w:val="nil"/>
            </w:tcBorders>
            <w:vAlign w:val="center"/>
          </w:tcPr>
          <w:p w14:paraId="27D98317">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ROA</w:t>
            </w:r>
          </w:p>
        </w:tc>
        <w:tc>
          <w:tcPr>
            <w:tcW w:w="2130" w:type="dxa"/>
            <w:tcBorders>
              <w:top w:val="nil"/>
              <w:left w:val="nil"/>
              <w:bottom w:val="nil"/>
              <w:right w:val="nil"/>
            </w:tcBorders>
            <w:vAlign w:val="center"/>
          </w:tcPr>
          <w:p w14:paraId="31E84D45">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0.087</w:t>
            </w:r>
          </w:p>
        </w:tc>
        <w:tc>
          <w:tcPr>
            <w:tcW w:w="2131" w:type="dxa"/>
            <w:tcBorders>
              <w:top w:val="nil"/>
              <w:left w:val="nil"/>
              <w:bottom w:val="nil"/>
              <w:right w:val="nil"/>
            </w:tcBorders>
            <w:vAlign w:val="center"/>
          </w:tcPr>
          <w:p w14:paraId="3B13AFEB">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3</w:t>
            </w:r>
          </w:p>
        </w:tc>
        <w:tc>
          <w:tcPr>
            <w:tcW w:w="2131" w:type="dxa"/>
            <w:tcBorders>
              <w:top w:val="nil"/>
              <w:left w:val="nil"/>
              <w:bottom w:val="nil"/>
              <w:right w:val="nil"/>
            </w:tcBorders>
            <w:vAlign w:val="center"/>
          </w:tcPr>
          <w:p w14:paraId="22AF2B8E">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财务特征</w:t>
            </w:r>
          </w:p>
        </w:tc>
      </w:tr>
      <w:tr w14:paraId="403C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nil"/>
              <w:left w:val="nil"/>
              <w:bottom w:val="nil"/>
              <w:right w:val="nil"/>
            </w:tcBorders>
            <w:vAlign w:val="center"/>
          </w:tcPr>
          <w:p w14:paraId="5E9BC68B">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文本不确定性比例</w:t>
            </w:r>
          </w:p>
        </w:tc>
        <w:tc>
          <w:tcPr>
            <w:tcW w:w="2130" w:type="dxa"/>
            <w:tcBorders>
              <w:top w:val="nil"/>
              <w:left w:val="nil"/>
              <w:bottom w:val="nil"/>
              <w:right w:val="nil"/>
            </w:tcBorders>
            <w:vAlign w:val="center"/>
          </w:tcPr>
          <w:p w14:paraId="39F43FDD">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0.076</w:t>
            </w:r>
          </w:p>
        </w:tc>
        <w:tc>
          <w:tcPr>
            <w:tcW w:w="2131" w:type="dxa"/>
            <w:tcBorders>
              <w:top w:val="nil"/>
              <w:left w:val="nil"/>
              <w:bottom w:val="nil"/>
              <w:right w:val="nil"/>
            </w:tcBorders>
            <w:vAlign w:val="center"/>
          </w:tcPr>
          <w:p w14:paraId="34980C1D">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4</w:t>
            </w:r>
          </w:p>
        </w:tc>
        <w:tc>
          <w:tcPr>
            <w:tcW w:w="2131" w:type="dxa"/>
            <w:tcBorders>
              <w:top w:val="nil"/>
              <w:left w:val="nil"/>
              <w:bottom w:val="nil"/>
              <w:right w:val="nil"/>
            </w:tcBorders>
            <w:vAlign w:val="center"/>
          </w:tcPr>
          <w:p w14:paraId="3A0BC0BC">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文本特征</w:t>
            </w:r>
          </w:p>
        </w:tc>
      </w:tr>
      <w:tr w14:paraId="3BFE9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nil"/>
              <w:left w:val="nil"/>
              <w:bottom w:val="nil"/>
              <w:right w:val="nil"/>
            </w:tcBorders>
            <w:vAlign w:val="center"/>
          </w:tcPr>
          <w:p w14:paraId="1933740E">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Size</w:t>
            </w:r>
          </w:p>
        </w:tc>
        <w:tc>
          <w:tcPr>
            <w:tcW w:w="2130" w:type="dxa"/>
            <w:tcBorders>
              <w:top w:val="nil"/>
              <w:left w:val="nil"/>
              <w:bottom w:val="nil"/>
              <w:right w:val="nil"/>
            </w:tcBorders>
            <w:vAlign w:val="center"/>
          </w:tcPr>
          <w:p w14:paraId="4B603C1D">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0.065</w:t>
            </w:r>
          </w:p>
        </w:tc>
        <w:tc>
          <w:tcPr>
            <w:tcW w:w="2131" w:type="dxa"/>
            <w:tcBorders>
              <w:top w:val="nil"/>
              <w:left w:val="nil"/>
              <w:bottom w:val="nil"/>
              <w:right w:val="nil"/>
            </w:tcBorders>
            <w:vAlign w:val="center"/>
          </w:tcPr>
          <w:p w14:paraId="73E2A06A">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5</w:t>
            </w:r>
          </w:p>
        </w:tc>
        <w:tc>
          <w:tcPr>
            <w:tcW w:w="2131" w:type="dxa"/>
            <w:tcBorders>
              <w:top w:val="nil"/>
              <w:left w:val="nil"/>
              <w:bottom w:val="nil"/>
              <w:right w:val="nil"/>
            </w:tcBorders>
            <w:vAlign w:val="center"/>
          </w:tcPr>
          <w:p w14:paraId="78DE00D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财务特征</w:t>
            </w:r>
          </w:p>
        </w:tc>
      </w:tr>
      <w:tr w14:paraId="434DD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nil"/>
              <w:left w:val="nil"/>
              <w:bottom w:val="nil"/>
              <w:right w:val="nil"/>
            </w:tcBorders>
            <w:vAlign w:val="center"/>
          </w:tcPr>
          <w:p w14:paraId="6C08A9CC">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文本相似度</w:t>
            </w:r>
          </w:p>
        </w:tc>
        <w:tc>
          <w:tcPr>
            <w:tcW w:w="2130" w:type="dxa"/>
            <w:tcBorders>
              <w:top w:val="nil"/>
              <w:left w:val="nil"/>
              <w:bottom w:val="nil"/>
              <w:right w:val="nil"/>
            </w:tcBorders>
            <w:vAlign w:val="center"/>
          </w:tcPr>
          <w:p w14:paraId="0BE839B7">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0.058</w:t>
            </w:r>
          </w:p>
        </w:tc>
        <w:tc>
          <w:tcPr>
            <w:tcW w:w="2131" w:type="dxa"/>
            <w:tcBorders>
              <w:top w:val="nil"/>
              <w:left w:val="nil"/>
              <w:bottom w:val="nil"/>
              <w:right w:val="nil"/>
            </w:tcBorders>
            <w:vAlign w:val="center"/>
          </w:tcPr>
          <w:p w14:paraId="3CD0FC1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6</w:t>
            </w:r>
          </w:p>
        </w:tc>
        <w:tc>
          <w:tcPr>
            <w:tcW w:w="2131" w:type="dxa"/>
            <w:tcBorders>
              <w:top w:val="nil"/>
              <w:left w:val="nil"/>
              <w:bottom w:val="nil"/>
              <w:right w:val="nil"/>
            </w:tcBorders>
            <w:vAlign w:val="center"/>
          </w:tcPr>
          <w:p w14:paraId="73B2D1AF">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文本特征</w:t>
            </w:r>
          </w:p>
        </w:tc>
      </w:tr>
      <w:tr w14:paraId="79776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nil"/>
              <w:left w:val="nil"/>
              <w:bottom w:val="nil"/>
              <w:right w:val="nil"/>
            </w:tcBorders>
            <w:vAlign w:val="center"/>
          </w:tcPr>
          <w:p w14:paraId="68FEFEAA">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Cash</w:t>
            </w:r>
          </w:p>
        </w:tc>
        <w:tc>
          <w:tcPr>
            <w:tcW w:w="2130" w:type="dxa"/>
            <w:tcBorders>
              <w:top w:val="nil"/>
              <w:left w:val="nil"/>
              <w:bottom w:val="nil"/>
              <w:right w:val="nil"/>
            </w:tcBorders>
            <w:vAlign w:val="center"/>
          </w:tcPr>
          <w:p w14:paraId="654C68F8">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0.047</w:t>
            </w:r>
          </w:p>
        </w:tc>
        <w:tc>
          <w:tcPr>
            <w:tcW w:w="2131" w:type="dxa"/>
            <w:tcBorders>
              <w:top w:val="nil"/>
              <w:left w:val="nil"/>
              <w:bottom w:val="nil"/>
              <w:right w:val="nil"/>
            </w:tcBorders>
            <w:vAlign w:val="center"/>
          </w:tcPr>
          <w:p w14:paraId="22ABFBD9">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7</w:t>
            </w:r>
          </w:p>
        </w:tc>
        <w:tc>
          <w:tcPr>
            <w:tcW w:w="2131" w:type="dxa"/>
            <w:tcBorders>
              <w:top w:val="nil"/>
              <w:left w:val="nil"/>
              <w:bottom w:val="nil"/>
              <w:right w:val="nil"/>
            </w:tcBorders>
            <w:vAlign w:val="center"/>
          </w:tcPr>
          <w:p w14:paraId="0AB08A1D">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财务特征</w:t>
            </w:r>
          </w:p>
        </w:tc>
      </w:tr>
      <w:tr w14:paraId="2D4BE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nil"/>
              <w:left w:val="nil"/>
              <w:bottom w:val="nil"/>
              <w:right w:val="nil"/>
            </w:tcBorders>
            <w:vAlign w:val="center"/>
          </w:tcPr>
          <w:p w14:paraId="00188C3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Deal_Size</w:t>
            </w:r>
          </w:p>
        </w:tc>
        <w:tc>
          <w:tcPr>
            <w:tcW w:w="2130" w:type="dxa"/>
            <w:tcBorders>
              <w:top w:val="nil"/>
              <w:left w:val="nil"/>
              <w:bottom w:val="nil"/>
              <w:right w:val="nil"/>
            </w:tcBorders>
            <w:vAlign w:val="center"/>
          </w:tcPr>
          <w:p w14:paraId="70F7433E">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0.034</w:t>
            </w:r>
          </w:p>
        </w:tc>
        <w:tc>
          <w:tcPr>
            <w:tcW w:w="2131" w:type="dxa"/>
            <w:tcBorders>
              <w:top w:val="nil"/>
              <w:left w:val="nil"/>
              <w:bottom w:val="nil"/>
              <w:right w:val="nil"/>
            </w:tcBorders>
            <w:vAlign w:val="center"/>
          </w:tcPr>
          <w:p w14:paraId="5E542778">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8</w:t>
            </w:r>
          </w:p>
        </w:tc>
        <w:tc>
          <w:tcPr>
            <w:tcW w:w="2131" w:type="dxa"/>
            <w:tcBorders>
              <w:top w:val="nil"/>
              <w:left w:val="nil"/>
              <w:bottom w:val="nil"/>
              <w:right w:val="nil"/>
            </w:tcBorders>
            <w:vAlign w:val="center"/>
          </w:tcPr>
          <w:p w14:paraId="544C6B89">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交易特征</w:t>
            </w:r>
          </w:p>
        </w:tc>
      </w:tr>
      <w:tr w14:paraId="5C97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nil"/>
              <w:left w:val="nil"/>
              <w:bottom w:val="nil"/>
              <w:right w:val="nil"/>
            </w:tcBorders>
            <w:vAlign w:val="center"/>
          </w:tcPr>
          <w:p w14:paraId="4B085127">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MB</w:t>
            </w:r>
          </w:p>
        </w:tc>
        <w:tc>
          <w:tcPr>
            <w:tcW w:w="2130" w:type="dxa"/>
            <w:tcBorders>
              <w:top w:val="nil"/>
              <w:left w:val="nil"/>
              <w:bottom w:val="nil"/>
              <w:right w:val="nil"/>
            </w:tcBorders>
            <w:vAlign w:val="center"/>
          </w:tcPr>
          <w:p w14:paraId="0D0C6F7C">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0.029</w:t>
            </w:r>
          </w:p>
        </w:tc>
        <w:tc>
          <w:tcPr>
            <w:tcW w:w="2131" w:type="dxa"/>
            <w:tcBorders>
              <w:top w:val="nil"/>
              <w:left w:val="nil"/>
              <w:bottom w:val="nil"/>
              <w:right w:val="nil"/>
            </w:tcBorders>
            <w:vAlign w:val="center"/>
          </w:tcPr>
          <w:p w14:paraId="369D5F71">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9</w:t>
            </w:r>
          </w:p>
        </w:tc>
        <w:tc>
          <w:tcPr>
            <w:tcW w:w="2131" w:type="dxa"/>
            <w:tcBorders>
              <w:top w:val="nil"/>
              <w:left w:val="nil"/>
              <w:bottom w:val="nil"/>
              <w:right w:val="nil"/>
            </w:tcBorders>
            <w:vAlign w:val="center"/>
          </w:tcPr>
          <w:p w14:paraId="298D5E6B">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市场特征</w:t>
            </w:r>
          </w:p>
        </w:tc>
      </w:tr>
      <w:tr w14:paraId="7DEB5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nil"/>
              <w:left w:val="nil"/>
              <w:bottom w:val="single" w:color="auto" w:sz="12" w:space="0"/>
              <w:right w:val="nil"/>
            </w:tcBorders>
            <w:vAlign w:val="center"/>
          </w:tcPr>
          <w:p w14:paraId="0A5DB0FF">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行业相关性</w:t>
            </w:r>
          </w:p>
        </w:tc>
        <w:tc>
          <w:tcPr>
            <w:tcW w:w="2130" w:type="dxa"/>
            <w:tcBorders>
              <w:top w:val="nil"/>
              <w:left w:val="nil"/>
              <w:bottom w:val="single" w:color="auto" w:sz="12" w:space="0"/>
              <w:right w:val="nil"/>
            </w:tcBorders>
            <w:vAlign w:val="center"/>
          </w:tcPr>
          <w:p w14:paraId="2FBED94F">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0.021</w:t>
            </w:r>
          </w:p>
        </w:tc>
        <w:tc>
          <w:tcPr>
            <w:tcW w:w="2131" w:type="dxa"/>
            <w:tcBorders>
              <w:top w:val="nil"/>
              <w:left w:val="nil"/>
              <w:bottom w:val="single" w:color="auto" w:sz="12" w:space="0"/>
              <w:right w:val="nil"/>
            </w:tcBorders>
            <w:vAlign w:val="center"/>
          </w:tcPr>
          <w:p w14:paraId="0F12A0BF">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10</w:t>
            </w:r>
          </w:p>
        </w:tc>
        <w:tc>
          <w:tcPr>
            <w:tcW w:w="2131" w:type="dxa"/>
            <w:tcBorders>
              <w:top w:val="nil"/>
              <w:left w:val="nil"/>
              <w:bottom w:val="single" w:color="auto" w:sz="12" w:space="0"/>
              <w:right w:val="nil"/>
            </w:tcBorders>
            <w:vAlign w:val="center"/>
          </w:tcPr>
          <w:p w14:paraId="42492932">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交易特征</w:t>
            </w:r>
          </w:p>
        </w:tc>
      </w:tr>
    </w:tbl>
    <w:p w14:paraId="12EB87D1">
      <w:pPr>
        <w:rPr>
          <w:rFonts w:hint="default" w:ascii="Times New Roman" w:hAnsi="Times New Roman" w:cs="Times New Roman"/>
          <w:color w:val="auto"/>
        </w:rPr>
      </w:pPr>
    </w:p>
    <w:p w14:paraId="1CE0025A">
      <w:pPr>
        <w:ind w:firstLine="420" w:firstLineChars="200"/>
        <w:rPr>
          <w:rFonts w:hint="default" w:ascii="Times New Roman" w:hAnsi="Times New Roman" w:cs="Times New Roman"/>
          <w:color w:val="auto"/>
        </w:rPr>
      </w:pPr>
      <w:r>
        <w:rPr>
          <w:rFonts w:hint="default" w:ascii="Times New Roman" w:hAnsi="Times New Roman" w:cs="Times New Roman"/>
          <w:color w:val="auto"/>
          <w:lang w:val="en-US" w:eastAsia="zh-CN"/>
        </w:rPr>
        <w:t>如</w:t>
      </w:r>
      <w:r>
        <w:rPr>
          <w:rFonts w:hint="default" w:ascii="Times New Roman" w:hAnsi="Times New Roman" w:cs="Times New Roman"/>
          <w:color w:val="auto"/>
        </w:rPr>
        <w:t>表</w:t>
      </w:r>
      <w:r>
        <w:rPr>
          <w:rFonts w:hint="default" w:ascii="Times New Roman" w:hAnsi="Times New Roman" w:cs="Times New Roman"/>
          <w:color w:val="auto"/>
          <w:lang w:val="en-US" w:eastAsia="zh-CN"/>
        </w:rPr>
        <w:t>9所示，</w:t>
      </w:r>
      <w:r>
        <w:rPr>
          <w:rFonts w:hint="default" w:ascii="Times New Roman" w:hAnsi="Times New Roman" w:cs="Times New Roman"/>
          <w:color w:val="auto"/>
        </w:rPr>
        <w:t>SHAP特征重要性分析结果提供了强有力的证据支持文本信息的预测价值。信息不对称指数（IA_Text）以平均SHAP值0.124位居所有特征之首，显著高于传统财务变量如杠杆率（0.098）和ROA（0.087）。前6个最重要特征中包含3个文本特征，表明文本信息在破产风险预测中发挥着不可替代的作用。这一发现不仅验证了H2，还揭示了文本特征与传统财务指标的互补关系，为构建更全面的风险预警体系提供了理论依据。</w:t>
      </w:r>
    </w:p>
    <w:p w14:paraId="6D94E119">
      <w:pPr>
        <w:jc w:val="center"/>
        <w:rPr>
          <w:rFonts w:hint="default" w:ascii="Times New Roman" w:hAnsi="Times New Roman" w:cs="Times New Roman" w:eastAsiaTheme="minorEastAsia"/>
          <w:color w:val="auto"/>
          <w:lang w:eastAsia="zh-CN"/>
        </w:rPr>
      </w:pPr>
      <w:r>
        <w:rPr>
          <w:rFonts w:hint="default" w:ascii="Times New Roman" w:hAnsi="Times New Roman" w:cs="Times New Roman" w:eastAsiaTheme="minorEastAsia"/>
          <w:color w:val="auto"/>
          <w:lang w:eastAsia="zh-CN"/>
        </w:rPr>
        <w:drawing>
          <wp:inline distT="0" distB="0" distL="114300" distR="114300">
            <wp:extent cx="5267325" cy="3160395"/>
            <wp:effectExtent l="0" t="0" r="9525" b="1905"/>
            <wp:docPr id="18" name="图片 1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
                    <pic:cNvPicPr>
                      <a:picLocks noChangeAspect="1"/>
                    </pic:cNvPicPr>
                  </pic:nvPicPr>
                  <pic:blipFill>
                    <a:blip r:embed="rId9"/>
                    <a:stretch>
                      <a:fillRect/>
                    </a:stretch>
                  </pic:blipFill>
                  <pic:spPr>
                    <a:xfrm>
                      <a:off x="0" y="0"/>
                      <a:ext cx="5267325" cy="3160395"/>
                    </a:xfrm>
                    <a:prstGeom prst="rect">
                      <a:avLst/>
                    </a:prstGeom>
                  </pic:spPr>
                </pic:pic>
              </a:graphicData>
            </a:graphic>
          </wp:inline>
        </w:drawing>
      </w:r>
    </w:p>
    <w:p w14:paraId="29B890F8">
      <w:pPr>
        <w:jc w:val="center"/>
        <w:rPr>
          <w:rFonts w:hint="default" w:ascii="Times New Roman" w:hAnsi="Times New Roman" w:cs="Times New Roman"/>
          <w:color w:val="auto"/>
          <w:lang w:val="en-US"/>
        </w:rPr>
      </w:pPr>
      <w:r>
        <w:rPr>
          <w:rFonts w:hint="default" w:ascii="Times New Roman" w:hAnsi="Times New Roman" w:cs="Times New Roman"/>
          <w:color w:val="auto"/>
          <w:lang w:val="en-US" w:eastAsia="zh-CN"/>
        </w:rPr>
        <w:t>图6 XGBoost模型特征重要性分析（SHAP值）</w:t>
      </w:r>
    </w:p>
    <w:p w14:paraId="1585112D">
      <w:pPr>
        <w:ind w:firstLine="420" w:firstLineChars="200"/>
        <w:rPr>
          <w:rFonts w:hint="default" w:ascii="Times New Roman" w:hAnsi="Times New Roman" w:cs="Times New Roman"/>
          <w:color w:val="auto"/>
        </w:rPr>
      </w:pPr>
      <w:r>
        <w:rPr>
          <w:rFonts w:hint="default" w:ascii="Times New Roman" w:hAnsi="Times New Roman" w:cs="Times New Roman"/>
          <w:color w:val="auto"/>
          <w:lang w:val="en-US" w:eastAsia="zh-CN"/>
        </w:rPr>
        <w:t>如图6所示，</w:t>
      </w:r>
      <w:r>
        <w:rPr>
          <w:rFonts w:hint="default" w:ascii="Times New Roman" w:hAnsi="Times New Roman" w:cs="Times New Roman"/>
          <w:color w:val="auto"/>
        </w:rPr>
        <w:t>SHAP特征重要性图直观展示了各类特征在破产风险预测中的相对贡献。文本特征（红色）在前6位中占据3席，且IA_Text高居榜首，充分证明了文本信息在风险识别中的核心地位。财务特征（蓝色）作为传统风险指标仍然重要，但与文本特征形成有效互补。图表底部的特征重要性汇总进一步量化了文本特征的整体贡献（平均重要性0.086），显著高于交易特征（0.028）和市场特征（0.029）。</w:t>
      </w:r>
    </w:p>
    <w:p w14:paraId="5F915886">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31" w:name="_Toc18050"/>
      <w:r>
        <w:rPr>
          <w:rFonts w:hint="default" w:ascii="Times New Roman" w:hAnsi="Times New Roman" w:eastAsia="黑体" w:cs="Times New Roman"/>
          <w:color w:val="auto"/>
          <w:lang w:val="en-US" w:eastAsia="zh-CN"/>
        </w:rPr>
        <w:t>5.3.3</w:t>
      </w:r>
      <w:r>
        <w:rPr>
          <w:rFonts w:hint="default" w:ascii="Times New Roman" w:hAnsi="Times New Roman" w:eastAsia="黑体" w:cs="Times New Roman"/>
          <w:color w:val="auto"/>
          <w:lang w:val="en-US" w:eastAsia="zh-CN"/>
        </w:rPr>
        <w:t>过拟合防范</w:t>
      </w:r>
      <w:bookmarkEnd w:id="31"/>
    </w:p>
    <w:p w14:paraId="1AFB8FE9">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为确保机器学习模型的泛化能力，本研究实施了系统的过拟合防范策略。</w:t>
      </w:r>
    </w:p>
    <w:p w14:paraId="30C82BA9">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表10 过拟合防范措施效果评估</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71"/>
        <w:gridCol w:w="1759"/>
        <w:gridCol w:w="1865"/>
        <w:gridCol w:w="1865"/>
        <w:gridCol w:w="959"/>
      </w:tblGrid>
      <w:tr w14:paraId="2655E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5" w:type="pct"/>
            <w:tcBorders>
              <w:top w:val="single" w:color="auto" w:sz="12" w:space="0"/>
              <w:left w:val="nil"/>
              <w:bottom w:val="single" w:color="auto" w:sz="4" w:space="0"/>
              <w:right w:val="nil"/>
            </w:tcBorders>
            <w:vAlign w:val="center"/>
          </w:tcPr>
          <w:p w14:paraId="3DF7BF8B">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防范措施</w:t>
            </w:r>
          </w:p>
        </w:tc>
        <w:tc>
          <w:tcPr>
            <w:tcW w:w="1032" w:type="pct"/>
            <w:tcBorders>
              <w:top w:val="single" w:color="auto" w:sz="12" w:space="0"/>
              <w:left w:val="nil"/>
              <w:bottom w:val="single" w:color="auto" w:sz="4" w:space="0"/>
              <w:right w:val="nil"/>
            </w:tcBorders>
            <w:vAlign w:val="center"/>
          </w:tcPr>
          <w:p w14:paraId="28E15B3B">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效果评估</w:t>
            </w:r>
          </w:p>
        </w:tc>
        <w:tc>
          <w:tcPr>
            <w:tcW w:w="1094" w:type="pct"/>
            <w:tcBorders>
              <w:top w:val="single" w:color="auto" w:sz="12" w:space="0"/>
              <w:left w:val="nil"/>
              <w:bottom w:val="single" w:color="auto" w:sz="4" w:space="0"/>
              <w:right w:val="nil"/>
            </w:tcBorders>
            <w:vAlign w:val="center"/>
          </w:tcPr>
          <w:p w14:paraId="2C575E10">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训练集AUC</w:t>
            </w:r>
          </w:p>
        </w:tc>
        <w:tc>
          <w:tcPr>
            <w:tcW w:w="1094" w:type="pct"/>
            <w:tcBorders>
              <w:top w:val="single" w:color="auto" w:sz="12" w:space="0"/>
              <w:left w:val="nil"/>
              <w:bottom w:val="single" w:color="auto" w:sz="4" w:space="0"/>
              <w:right w:val="nil"/>
            </w:tcBorders>
            <w:vAlign w:val="center"/>
          </w:tcPr>
          <w:p w14:paraId="782929C6">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测试集AUC</w:t>
            </w:r>
          </w:p>
        </w:tc>
        <w:tc>
          <w:tcPr>
            <w:tcW w:w="562" w:type="pct"/>
            <w:tcBorders>
              <w:top w:val="single" w:color="auto" w:sz="12" w:space="0"/>
              <w:left w:val="nil"/>
              <w:bottom w:val="single" w:color="auto" w:sz="4" w:space="0"/>
              <w:right w:val="nil"/>
            </w:tcBorders>
            <w:vAlign w:val="center"/>
          </w:tcPr>
          <w:p w14:paraId="7F47F7DC">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差距</w:t>
            </w:r>
          </w:p>
        </w:tc>
      </w:tr>
      <w:tr w14:paraId="6D891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5" w:type="pct"/>
            <w:tcBorders>
              <w:top w:val="single" w:color="auto" w:sz="4" w:space="0"/>
              <w:left w:val="nil"/>
              <w:bottom w:val="nil"/>
              <w:right w:val="nil"/>
            </w:tcBorders>
            <w:vAlign w:val="center"/>
          </w:tcPr>
          <w:p w14:paraId="1477F902">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基准模型</w:t>
            </w:r>
          </w:p>
        </w:tc>
        <w:tc>
          <w:tcPr>
            <w:tcW w:w="1032" w:type="pct"/>
            <w:tcBorders>
              <w:top w:val="single" w:color="auto" w:sz="4" w:space="0"/>
              <w:left w:val="nil"/>
              <w:bottom w:val="nil"/>
              <w:right w:val="nil"/>
            </w:tcBorders>
            <w:vAlign w:val="center"/>
          </w:tcPr>
          <w:p w14:paraId="35979279">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严重过拟合</w:t>
            </w:r>
          </w:p>
        </w:tc>
        <w:tc>
          <w:tcPr>
            <w:tcW w:w="1094" w:type="pct"/>
            <w:tcBorders>
              <w:top w:val="single" w:color="auto" w:sz="4" w:space="0"/>
              <w:left w:val="nil"/>
              <w:bottom w:val="nil"/>
              <w:right w:val="nil"/>
            </w:tcBorders>
            <w:vAlign w:val="center"/>
          </w:tcPr>
          <w:p w14:paraId="6ACD131E">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0.998</w:t>
            </w:r>
          </w:p>
        </w:tc>
        <w:tc>
          <w:tcPr>
            <w:tcW w:w="1094" w:type="pct"/>
            <w:tcBorders>
              <w:top w:val="single" w:color="auto" w:sz="4" w:space="0"/>
              <w:left w:val="nil"/>
              <w:bottom w:val="nil"/>
              <w:right w:val="nil"/>
            </w:tcBorders>
            <w:vAlign w:val="center"/>
          </w:tcPr>
          <w:p w14:paraId="6F184731">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0.752</w:t>
            </w:r>
          </w:p>
        </w:tc>
        <w:tc>
          <w:tcPr>
            <w:tcW w:w="562" w:type="pct"/>
            <w:tcBorders>
              <w:top w:val="single" w:color="auto" w:sz="4" w:space="0"/>
              <w:left w:val="nil"/>
              <w:bottom w:val="nil"/>
              <w:right w:val="nil"/>
            </w:tcBorders>
            <w:vAlign w:val="center"/>
          </w:tcPr>
          <w:p w14:paraId="0F7EC76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0.246</w:t>
            </w:r>
          </w:p>
        </w:tc>
      </w:tr>
      <w:tr w14:paraId="40B70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5" w:type="pct"/>
            <w:tcBorders>
              <w:top w:val="nil"/>
              <w:left w:val="nil"/>
              <w:bottom w:val="nil"/>
              <w:right w:val="nil"/>
            </w:tcBorders>
            <w:vAlign w:val="center"/>
          </w:tcPr>
          <w:p w14:paraId="6356DE7E">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5折交叉验证</w:t>
            </w:r>
          </w:p>
        </w:tc>
        <w:tc>
          <w:tcPr>
            <w:tcW w:w="1032" w:type="pct"/>
            <w:tcBorders>
              <w:top w:val="nil"/>
              <w:left w:val="nil"/>
              <w:bottom w:val="nil"/>
              <w:right w:val="nil"/>
            </w:tcBorders>
            <w:vAlign w:val="center"/>
          </w:tcPr>
          <w:p w14:paraId="51EBD3BE">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有效缓解</w:t>
            </w:r>
          </w:p>
        </w:tc>
        <w:tc>
          <w:tcPr>
            <w:tcW w:w="1094" w:type="pct"/>
            <w:tcBorders>
              <w:top w:val="nil"/>
              <w:left w:val="nil"/>
              <w:bottom w:val="nil"/>
              <w:right w:val="nil"/>
            </w:tcBorders>
            <w:vAlign w:val="center"/>
          </w:tcPr>
          <w:p w14:paraId="6E70A4BE">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0.892</w:t>
            </w:r>
          </w:p>
        </w:tc>
        <w:tc>
          <w:tcPr>
            <w:tcW w:w="1094" w:type="pct"/>
            <w:tcBorders>
              <w:top w:val="nil"/>
              <w:left w:val="nil"/>
              <w:bottom w:val="nil"/>
              <w:right w:val="nil"/>
            </w:tcBorders>
            <w:vAlign w:val="center"/>
          </w:tcPr>
          <w:p w14:paraId="6E489B39">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0.823</w:t>
            </w:r>
          </w:p>
        </w:tc>
        <w:tc>
          <w:tcPr>
            <w:tcW w:w="562" w:type="pct"/>
            <w:tcBorders>
              <w:top w:val="nil"/>
              <w:left w:val="nil"/>
              <w:bottom w:val="nil"/>
              <w:right w:val="nil"/>
            </w:tcBorders>
            <w:vAlign w:val="center"/>
          </w:tcPr>
          <w:p w14:paraId="2E0861F6">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0.069</w:t>
            </w:r>
          </w:p>
        </w:tc>
      </w:tr>
      <w:tr w14:paraId="25BDE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5" w:type="pct"/>
            <w:tcBorders>
              <w:top w:val="nil"/>
              <w:left w:val="nil"/>
              <w:bottom w:val="nil"/>
              <w:right w:val="nil"/>
            </w:tcBorders>
            <w:vAlign w:val="center"/>
          </w:tcPr>
          <w:p w14:paraId="1D41994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+早停机制</w:t>
            </w:r>
          </w:p>
        </w:tc>
        <w:tc>
          <w:tcPr>
            <w:tcW w:w="1032" w:type="pct"/>
            <w:tcBorders>
              <w:top w:val="nil"/>
              <w:left w:val="nil"/>
              <w:bottom w:val="nil"/>
              <w:right w:val="nil"/>
            </w:tcBorders>
            <w:vAlign w:val="center"/>
          </w:tcPr>
          <w:p w14:paraId="3630CBCF">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进一步改善</w:t>
            </w:r>
          </w:p>
        </w:tc>
        <w:tc>
          <w:tcPr>
            <w:tcW w:w="1094" w:type="pct"/>
            <w:tcBorders>
              <w:top w:val="nil"/>
              <w:left w:val="nil"/>
              <w:bottom w:val="nil"/>
              <w:right w:val="nil"/>
            </w:tcBorders>
            <w:vAlign w:val="center"/>
          </w:tcPr>
          <w:p w14:paraId="518BC52D">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0.867</w:t>
            </w:r>
          </w:p>
        </w:tc>
        <w:tc>
          <w:tcPr>
            <w:tcW w:w="1094" w:type="pct"/>
            <w:tcBorders>
              <w:top w:val="nil"/>
              <w:left w:val="nil"/>
              <w:bottom w:val="nil"/>
              <w:right w:val="nil"/>
            </w:tcBorders>
            <w:vAlign w:val="center"/>
          </w:tcPr>
          <w:p w14:paraId="74F2E348">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0.836</w:t>
            </w:r>
          </w:p>
        </w:tc>
        <w:tc>
          <w:tcPr>
            <w:tcW w:w="562" w:type="pct"/>
            <w:tcBorders>
              <w:top w:val="nil"/>
              <w:left w:val="nil"/>
              <w:bottom w:val="nil"/>
              <w:right w:val="nil"/>
            </w:tcBorders>
            <w:vAlign w:val="center"/>
          </w:tcPr>
          <w:p w14:paraId="699809B9">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0.031</w:t>
            </w:r>
          </w:p>
        </w:tc>
      </w:tr>
      <w:tr w14:paraId="68998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5" w:type="pct"/>
            <w:tcBorders>
              <w:top w:val="nil"/>
              <w:left w:val="nil"/>
              <w:bottom w:val="nil"/>
              <w:right w:val="nil"/>
            </w:tcBorders>
            <w:vAlign w:val="center"/>
          </w:tcPr>
          <w:p w14:paraId="76C9C08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+正则化</w:t>
            </w:r>
          </w:p>
        </w:tc>
        <w:tc>
          <w:tcPr>
            <w:tcW w:w="1032" w:type="pct"/>
            <w:tcBorders>
              <w:top w:val="nil"/>
              <w:left w:val="nil"/>
              <w:bottom w:val="nil"/>
              <w:right w:val="nil"/>
            </w:tcBorders>
            <w:vAlign w:val="center"/>
          </w:tcPr>
          <w:p w14:paraId="41A68D55">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显著控制</w:t>
            </w:r>
          </w:p>
        </w:tc>
        <w:tc>
          <w:tcPr>
            <w:tcW w:w="1094" w:type="pct"/>
            <w:tcBorders>
              <w:top w:val="nil"/>
              <w:left w:val="nil"/>
              <w:bottom w:val="nil"/>
              <w:right w:val="nil"/>
            </w:tcBorders>
            <w:vAlign w:val="center"/>
          </w:tcPr>
          <w:p w14:paraId="2C57680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0.853</w:t>
            </w:r>
          </w:p>
        </w:tc>
        <w:tc>
          <w:tcPr>
            <w:tcW w:w="1094" w:type="pct"/>
            <w:tcBorders>
              <w:top w:val="nil"/>
              <w:left w:val="nil"/>
              <w:bottom w:val="nil"/>
              <w:right w:val="nil"/>
            </w:tcBorders>
            <w:vAlign w:val="center"/>
          </w:tcPr>
          <w:p w14:paraId="5B77A439">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0.841</w:t>
            </w:r>
          </w:p>
        </w:tc>
        <w:tc>
          <w:tcPr>
            <w:tcW w:w="562" w:type="pct"/>
            <w:tcBorders>
              <w:top w:val="nil"/>
              <w:left w:val="nil"/>
              <w:bottom w:val="nil"/>
              <w:right w:val="nil"/>
            </w:tcBorders>
            <w:vAlign w:val="center"/>
          </w:tcPr>
          <w:p w14:paraId="274C22F0">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0.012</w:t>
            </w:r>
          </w:p>
        </w:tc>
      </w:tr>
      <w:tr w14:paraId="5BE26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5" w:type="pct"/>
            <w:tcBorders>
              <w:top w:val="nil"/>
              <w:left w:val="nil"/>
              <w:bottom w:val="single" w:color="auto" w:sz="12" w:space="0"/>
              <w:right w:val="nil"/>
            </w:tcBorders>
            <w:vAlign w:val="center"/>
          </w:tcPr>
          <w:p w14:paraId="0135B46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+超参数调优</w:t>
            </w:r>
          </w:p>
        </w:tc>
        <w:tc>
          <w:tcPr>
            <w:tcW w:w="1032" w:type="pct"/>
            <w:tcBorders>
              <w:top w:val="nil"/>
              <w:left w:val="nil"/>
              <w:bottom w:val="single" w:color="auto" w:sz="12" w:space="0"/>
              <w:right w:val="nil"/>
            </w:tcBorders>
            <w:vAlign w:val="center"/>
          </w:tcPr>
          <w:p w14:paraId="357A9AAA">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最优平衡</w:t>
            </w:r>
          </w:p>
        </w:tc>
        <w:tc>
          <w:tcPr>
            <w:tcW w:w="1094" w:type="pct"/>
            <w:tcBorders>
              <w:top w:val="nil"/>
              <w:left w:val="nil"/>
              <w:bottom w:val="single" w:color="auto" w:sz="12" w:space="0"/>
              <w:right w:val="nil"/>
            </w:tcBorders>
            <w:vAlign w:val="center"/>
          </w:tcPr>
          <w:p w14:paraId="456085CE">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0.847</w:t>
            </w:r>
          </w:p>
        </w:tc>
        <w:tc>
          <w:tcPr>
            <w:tcW w:w="1094" w:type="pct"/>
            <w:tcBorders>
              <w:top w:val="nil"/>
              <w:left w:val="nil"/>
              <w:bottom w:val="single" w:color="auto" w:sz="12" w:space="0"/>
              <w:right w:val="nil"/>
            </w:tcBorders>
            <w:vAlign w:val="center"/>
          </w:tcPr>
          <w:p w14:paraId="11E32368">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0.841</w:t>
            </w:r>
          </w:p>
        </w:tc>
        <w:tc>
          <w:tcPr>
            <w:tcW w:w="562" w:type="pct"/>
            <w:tcBorders>
              <w:top w:val="nil"/>
              <w:left w:val="nil"/>
              <w:bottom w:val="single" w:color="auto" w:sz="12" w:space="0"/>
              <w:right w:val="nil"/>
            </w:tcBorders>
            <w:vAlign w:val="center"/>
          </w:tcPr>
          <w:p w14:paraId="223D67E3">
            <w:pPr>
              <w:jc w:val="center"/>
              <w:rPr>
                <w:rFonts w:hint="default" w:ascii="Times New Roman" w:hAnsi="Times New Roman" w:cs="Times New Roman"/>
                <w:color w:val="auto"/>
                <w:vertAlign w:val="baseline"/>
                <w:lang w:val="en-US" w:eastAsia="zh-CN"/>
              </w:rPr>
            </w:pPr>
            <w:r>
              <w:rPr>
                <w:rFonts w:hint="default" w:ascii="Times New Roman" w:hAnsi="Times New Roman" w:cs="Times New Roman"/>
                <w:color w:val="auto"/>
                <w:lang w:val="en-US" w:eastAsia="zh-CN"/>
              </w:rPr>
              <w:t>0.006</w:t>
            </w:r>
          </w:p>
        </w:tc>
      </w:tr>
    </w:tbl>
    <w:p w14:paraId="1E879EC4">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过拟合防范措施的效果评估表明，综合采用交叉验证、早停机制、正则化和超参数调优能够有效控制过拟合问题。训练集与测试集AUC差距从基准模型的0.246大幅降低至0.006，表明模型具有良好的泛化能力。5折交叉验证作为基础措施贡献了最大的改善效果，而正则化和超参数调优进一步细化了模型性能。这种系统的过拟合防范体系确保了研究结论的可靠性和实际应用价值。</w:t>
      </w:r>
    </w:p>
    <w:p w14:paraId="383668BB">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drawing>
          <wp:inline distT="0" distB="0" distL="114300" distR="114300">
            <wp:extent cx="5269230" cy="2195830"/>
            <wp:effectExtent l="0" t="0" r="7620" b="13970"/>
            <wp:docPr id="19" name="图片 1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
                    <pic:cNvPicPr>
                      <a:picLocks noChangeAspect="1"/>
                    </pic:cNvPicPr>
                  </pic:nvPicPr>
                  <pic:blipFill>
                    <a:blip r:embed="rId10"/>
                    <a:stretch>
                      <a:fillRect/>
                    </a:stretch>
                  </pic:blipFill>
                  <pic:spPr>
                    <a:xfrm>
                      <a:off x="0" y="0"/>
                      <a:ext cx="5269230" cy="2195830"/>
                    </a:xfrm>
                    <a:prstGeom prst="rect">
                      <a:avLst/>
                    </a:prstGeom>
                  </pic:spPr>
                </pic:pic>
              </a:graphicData>
            </a:graphic>
          </wp:inline>
        </w:drawing>
      </w:r>
    </w:p>
    <w:p w14:paraId="30AB1332">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图7 过拟合防范效果评估</w:t>
      </w:r>
    </w:p>
    <w:p w14:paraId="646C7DC5">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如图7所示，学习曲线与过拟合监控图清晰展示了防范措施的有效性。左图显示，基准模型的训练集AUC随着数据量增加迅速接近完美（0.998），而测试集AUC停滞不前，典型过拟合特征；最终模型则保持了训练集与测试集性能的紧密同步。右图的过拟合差距对比进一步量化了这一改善，最终模型将平均过拟合差距从0.246降低至0.006，改善幅度达97.6%。这种严格的过拟合控制确保了模型在未知数据上的可靠表现，为研究成果的实际应用提供了质量保障。</w:t>
      </w:r>
    </w:p>
    <w:p w14:paraId="09234E76">
      <w:pPr>
        <w:ind w:firstLine="420" w:firstLineChars="200"/>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通过系统的机器学习预测分析，本研究不仅验证了文本信息在破产风险预测中的增量价值，还建立了可靠、可解释的预测框架，为投资者、企业和监管机构提供了实用的风险管理工具。</w:t>
      </w:r>
    </w:p>
    <w:p w14:paraId="41243641">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lang w:val="en-US" w:eastAsia="zh-CN"/>
        </w:rPr>
      </w:pPr>
      <w:bookmarkStart w:id="32" w:name="_Toc22377"/>
      <w:r>
        <w:rPr>
          <w:rFonts w:hint="default" w:ascii="Times New Roman" w:hAnsi="Times New Roman" w:eastAsia="黑体" w:cs="Times New Roman"/>
          <w:color w:val="auto"/>
          <w:sz w:val="28"/>
          <w:szCs w:val="28"/>
          <w:lang w:val="en-US" w:eastAsia="zh-CN"/>
        </w:rPr>
        <w:t>5.4</w:t>
      </w:r>
      <w:r>
        <w:rPr>
          <w:rFonts w:hint="default" w:ascii="Times New Roman" w:hAnsi="Times New Roman" w:eastAsia="黑体" w:cs="Times New Roman"/>
          <w:color w:val="auto"/>
          <w:sz w:val="28"/>
          <w:szCs w:val="28"/>
          <w:lang w:val="en-US" w:eastAsia="zh-CN"/>
        </w:rPr>
        <w:t>扩展性与异质性分析</w:t>
      </w:r>
      <w:bookmarkEnd w:id="32"/>
    </w:p>
    <w:p w14:paraId="1E0DA13E">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33" w:name="_Toc10353"/>
      <w:r>
        <w:rPr>
          <w:rFonts w:hint="default" w:ascii="Times New Roman" w:hAnsi="Times New Roman" w:eastAsia="黑体" w:cs="Times New Roman"/>
          <w:color w:val="auto"/>
          <w:lang w:val="en-US" w:eastAsia="zh-CN"/>
        </w:rPr>
        <w:t>5.4.1</w:t>
      </w:r>
      <w:r>
        <w:rPr>
          <w:rFonts w:hint="default" w:ascii="Times New Roman" w:hAnsi="Times New Roman" w:eastAsia="黑体" w:cs="Times New Roman"/>
          <w:color w:val="auto"/>
          <w:lang w:val="en-US" w:eastAsia="zh-CN"/>
        </w:rPr>
        <w:t>机制探索</w:t>
      </w:r>
      <w:bookmarkEnd w:id="33"/>
    </w:p>
    <w:p w14:paraId="7AADF6AD">
      <w:pPr>
        <w:ind w:firstLine="420" w:firstLineChars="200"/>
        <w:rPr>
          <w:rFonts w:hint="default" w:ascii="Times New Roman" w:hAnsi="Times New Roman" w:cs="Times New Roman"/>
          <w:color w:val="auto"/>
        </w:rPr>
      </w:pPr>
      <w:r>
        <w:rPr>
          <w:rFonts w:hint="default" w:ascii="Times New Roman" w:hAnsi="Times New Roman" w:cs="Times New Roman"/>
          <w:color w:val="auto"/>
        </w:rPr>
        <w:t>为深入理解信息不对称影响破产风险的内在机制，本研究检验了理论框架中提出的中间传导渠道</w:t>
      </w:r>
      <w:r>
        <w:rPr>
          <w:rFonts w:hint="default" w:ascii="Times New Roman" w:hAnsi="Times New Roman" w:cs="Times New Roman"/>
          <w:color w:val="auto"/>
          <w:lang w:eastAsia="zh-CN"/>
        </w:rPr>
        <w:t>。</w:t>
      </w:r>
    </w:p>
    <w:p w14:paraId="0E8FD92E">
      <w:pPr>
        <w:jc w:val="center"/>
        <w:rPr>
          <w:rFonts w:hint="default" w:ascii="Times New Roman" w:hAnsi="Times New Roman" w:cs="Times New Roman"/>
          <w:color w:val="auto"/>
        </w:rPr>
      </w:pPr>
      <w:r>
        <w:rPr>
          <w:rFonts w:hint="default" w:ascii="Times New Roman" w:hAnsi="Times New Roman" w:cs="Times New Roman"/>
          <w:color w:val="auto"/>
        </w:rPr>
        <w:t>表</w:t>
      </w:r>
      <w:r>
        <w:rPr>
          <w:rFonts w:hint="default" w:ascii="Times New Roman" w:hAnsi="Times New Roman" w:cs="Times New Roman"/>
          <w:color w:val="auto"/>
          <w:lang w:val="en-US" w:eastAsia="zh-CN"/>
        </w:rPr>
        <w:t xml:space="preserve">11 </w:t>
      </w:r>
      <w:r>
        <w:rPr>
          <w:rFonts w:hint="default" w:ascii="Times New Roman" w:hAnsi="Times New Roman" w:cs="Times New Roman"/>
          <w:color w:val="auto"/>
        </w:rPr>
        <w:t>信息不对称影响破产风险的机制检验结果</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76"/>
        <w:gridCol w:w="1686"/>
        <w:gridCol w:w="1123"/>
        <w:gridCol w:w="1266"/>
        <w:gridCol w:w="1476"/>
        <w:gridCol w:w="1167"/>
      </w:tblGrid>
      <w:tr w14:paraId="41C66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single" w:color="auto" w:sz="12" w:space="0"/>
              <w:left w:val="nil"/>
              <w:bottom w:val="single" w:color="auto" w:sz="4" w:space="0"/>
              <w:right w:val="nil"/>
            </w:tcBorders>
            <w:vAlign w:val="center"/>
          </w:tcPr>
          <w:p w14:paraId="693B888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机制渠道</w:t>
            </w:r>
          </w:p>
        </w:tc>
        <w:tc>
          <w:tcPr>
            <w:tcW w:w="0" w:type="auto"/>
            <w:tcBorders>
              <w:top w:val="single" w:color="auto" w:sz="12" w:space="0"/>
              <w:left w:val="nil"/>
              <w:bottom w:val="single" w:color="auto" w:sz="4" w:space="0"/>
              <w:right w:val="nil"/>
            </w:tcBorders>
            <w:vAlign w:val="center"/>
          </w:tcPr>
          <w:p w14:paraId="20334F56">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中介变量</w:t>
            </w:r>
          </w:p>
        </w:tc>
        <w:tc>
          <w:tcPr>
            <w:tcW w:w="0" w:type="auto"/>
            <w:tcBorders>
              <w:top w:val="single" w:color="auto" w:sz="12" w:space="0"/>
              <w:left w:val="nil"/>
              <w:bottom w:val="single" w:color="auto" w:sz="4" w:space="0"/>
              <w:right w:val="nil"/>
            </w:tcBorders>
            <w:vAlign w:val="center"/>
          </w:tcPr>
          <w:p w14:paraId="7C784FCA">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IA_Text→</w:t>
            </w:r>
          </w:p>
          <w:p w14:paraId="0DB0F89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中介变量</w:t>
            </w:r>
          </w:p>
        </w:tc>
        <w:tc>
          <w:tcPr>
            <w:tcW w:w="0" w:type="auto"/>
            <w:tcBorders>
              <w:top w:val="single" w:color="auto" w:sz="12" w:space="0"/>
              <w:left w:val="nil"/>
              <w:bottom w:val="single" w:color="auto" w:sz="4" w:space="0"/>
              <w:right w:val="nil"/>
            </w:tcBorders>
            <w:vAlign w:val="center"/>
          </w:tcPr>
          <w:p w14:paraId="5ECC6A81">
            <w:pPr>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中介变量→</w:t>
            </w:r>
          </w:p>
          <w:p w14:paraId="3BDBAF41">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破产风险</w:t>
            </w:r>
          </w:p>
        </w:tc>
        <w:tc>
          <w:tcPr>
            <w:tcW w:w="0" w:type="auto"/>
            <w:tcBorders>
              <w:top w:val="single" w:color="auto" w:sz="12" w:space="0"/>
              <w:left w:val="nil"/>
              <w:bottom w:val="single" w:color="auto" w:sz="4" w:space="0"/>
              <w:right w:val="nil"/>
            </w:tcBorders>
            <w:vAlign w:val="center"/>
          </w:tcPr>
          <w:p w14:paraId="62652EB0">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中介效应占比</w:t>
            </w:r>
          </w:p>
        </w:tc>
        <w:tc>
          <w:tcPr>
            <w:tcW w:w="0" w:type="auto"/>
            <w:tcBorders>
              <w:top w:val="single" w:color="auto" w:sz="12" w:space="0"/>
              <w:left w:val="nil"/>
              <w:bottom w:val="single" w:color="auto" w:sz="4" w:space="0"/>
              <w:right w:val="nil"/>
            </w:tcBorders>
            <w:vAlign w:val="center"/>
          </w:tcPr>
          <w:p w14:paraId="529B601F">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Sobel检验</w:t>
            </w:r>
          </w:p>
        </w:tc>
      </w:tr>
      <w:tr w14:paraId="6103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single" w:color="auto" w:sz="4" w:space="0"/>
              <w:left w:val="nil"/>
              <w:bottom w:val="nil"/>
              <w:right w:val="nil"/>
            </w:tcBorders>
            <w:vAlign w:val="center"/>
          </w:tcPr>
          <w:p w14:paraId="625506DD">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盈利能力下滑</w:t>
            </w:r>
          </w:p>
        </w:tc>
        <w:tc>
          <w:tcPr>
            <w:tcW w:w="0" w:type="auto"/>
            <w:tcBorders>
              <w:top w:val="single" w:color="auto" w:sz="4" w:space="0"/>
              <w:left w:val="nil"/>
              <w:bottom w:val="nil"/>
              <w:right w:val="nil"/>
            </w:tcBorders>
            <w:vAlign w:val="center"/>
          </w:tcPr>
          <w:p w14:paraId="28B7F897">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ROA变化率</w:t>
            </w:r>
          </w:p>
        </w:tc>
        <w:tc>
          <w:tcPr>
            <w:tcW w:w="0" w:type="auto"/>
            <w:tcBorders>
              <w:top w:val="single" w:color="auto" w:sz="4" w:space="0"/>
              <w:left w:val="nil"/>
              <w:bottom w:val="nil"/>
              <w:right w:val="nil"/>
            </w:tcBorders>
            <w:vAlign w:val="center"/>
          </w:tcPr>
          <w:p w14:paraId="72D1759C">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-0.234***</w:t>
            </w:r>
          </w:p>
        </w:tc>
        <w:tc>
          <w:tcPr>
            <w:tcW w:w="0" w:type="auto"/>
            <w:tcBorders>
              <w:top w:val="single" w:color="auto" w:sz="4" w:space="0"/>
              <w:left w:val="nil"/>
              <w:bottom w:val="nil"/>
              <w:right w:val="nil"/>
            </w:tcBorders>
            <w:vAlign w:val="center"/>
          </w:tcPr>
          <w:p w14:paraId="389262A8">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-0.345***</w:t>
            </w:r>
          </w:p>
        </w:tc>
        <w:tc>
          <w:tcPr>
            <w:tcW w:w="0" w:type="auto"/>
            <w:tcBorders>
              <w:top w:val="single" w:color="auto" w:sz="4" w:space="0"/>
              <w:left w:val="nil"/>
              <w:bottom w:val="nil"/>
              <w:right w:val="nil"/>
            </w:tcBorders>
            <w:vAlign w:val="center"/>
          </w:tcPr>
          <w:p w14:paraId="26CA92BF">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28.7%</w:t>
            </w:r>
          </w:p>
        </w:tc>
        <w:tc>
          <w:tcPr>
            <w:tcW w:w="0" w:type="auto"/>
            <w:tcBorders>
              <w:top w:val="single" w:color="auto" w:sz="4" w:space="0"/>
              <w:left w:val="nil"/>
              <w:bottom w:val="nil"/>
              <w:right w:val="nil"/>
            </w:tcBorders>
            <w:vAlign w:val="center"/>
          </w:tcPr>
          <w:p w14:paraId="364D97A0">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3.456***</w:t>
            </w:r>
          </w:p>
        </w:tc>
      </w:tr>
      <w:tr w14:paraId="03876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nil"/>
              <w:right w:val="nil"/>
            </w:tcBorders>
            <w:vAlign w:val="center"/>
          </w:tcPr>
          <w:p w14:paraId="447BB2AE">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投资效率降低</w:t>
            </w:r>
          </w:p>
        </w:tc>
        <w:tc>
          <w:tcPr>
            <w:tcW w:w="0" w:type="auto"/>
            <w:tcBorders>
              <w:top w:val="nil"/>
              <w:left w:val="nil"/>
              <w:bottom w:val="nil"/>
              <w:right w:val="nil"/>
            </w:tcBorders>
            <w:vAlign w:val="center"/>
          </w:tcPr>
          <w:p w14:paraId="4188B188">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投资扭曲度</w:t>
            </w:r>
          </w:p>
        </w:tc>
        <w:tc>
          <w:tcPr>
            <w:tcW w:w="0" w:type="auto"/>
            <w:tcBorders>
              <w:top w:val="nil"/>
              <w:left w:val="nil"/>
              <w:bottom w:val="nil"/>
              <w:right w:val="nil"/>
            </w:tcBorders>
            <w:vAlign w:val="center"/>
          </w:tcPr>
          <w:p w14:paraId="684289E2">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0.187***</w:t>
            </w:r>
          </w:p>
        </w:tc>
        <w:tc>
          <w:tcPr>
            <w:tcW w:w="0" w:type="auto"/>
            <w:tcBorders>
              <w:top w:val="nil"/>
              <w:left w:val="nil"/>
              <w:bottom w:val="nil"/>
              <w:right w:val="nil"/>
            </w:tcBorders>
            <w:vAlign w:val="center"/>
          </w:tcPr>
          <w:p w14:paraId="2F3BF5F5">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0.289***</w:t>
            </w:r>
          </w:p>
        </w:tc>
        <w:tc>
          <w:tcPr>
            <w:tcW w:w="0" w:type="auto"/>
            <w:tcBorders>
              <w:top w:val="nil"/>
              <w:left w:val="nil"/>
              <w:bottom w:val="nil"/>
              <w:right w:val="nil"/>
            </w:tcBorders>
            <w:vAlign w:val="center"/>
          </w:tcPr>
          <w:p w14:paraId="20DBFC89">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22.1%</w:t>
            </w:r>
          </w:p>
        </w:tc>
        <w:tc>
          <w:tcPr>
            <w:tcW w:w="0" w:type="auto"/>
            <w:tcBorders>
              <w:top w:val="nil"/>
              <w:left w:val="nil"/>
              <w:bottom w:val="nil"/>
              <w:right w:val="nil"/>
            </w:tcBorders>
            <w:vAlign w:val="center"/>
          </w:tcPr>
          <w:p w14:paraId="6851AF4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2.987***</w:t>
            </w:r>
          </w:p>
        </w:tc>
      </w:tr>
      <w:tr w14:paraId="3B077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nil"/>
              <w:right w:val="nil"/>
            </w:tcBorders>
            <w:vAlign w:val="center"/>
          </w:tcPr>
          <w:p w14:paraId="1A7D2E18">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融资成本上升</w:t>
            </w:r>
          </w:p>
        </w:tc>
        <w:tc>
          <w:tcPr>
            <w:tcW w:w="0" w:type="auto"/>
            <w:tcBorders>
              <w:top w:val="nil"/>
              <w:left w:val="nil"/>
              <w:bottom w:val="nil"/>
              <w:right w:val="nil"/>
            </w:tcBorders>
            <w:vAlign w:val="center"/>
          </w:tcPr>
          <w:p w14:paraId="519B865C">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债务成本</w:t>
            </w:r>
          </w:p>
        </w:tc>
        <w:tc>
          <w:tcPr>
            <w:tcW w:w="0" w:type="auto"/>
            <w:tcBorders>
              <w:top w:val="nil"/>
              <w:left w:val="nil"/>
              <w:bottom w:val="nil"/>
              <w:right w:val="nil"/>
            </w:tcBorders>
            <w:vAlign w:val="center"/>
          </w:tcPr>
          <w:p w14:paraId="21A6ACAE">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0.156***</w:t>
            </w:r>
          </w:p>
        </w:tc>
        <w:tc>
          <w:tcPr>
            <w:tcW w:w="0" w:type="auto"/>
            <w:tcBorders>
              <w:top w:val="nil"/>
              <w:left w:val="nil"/>
              <w:bottom w:val="nil"/>
              <w:right w:val="nil"/>
            </w:tcBorders>
            <w:vAlign w:val="center"/>
          </w:tcPr>
          <w:p w14:paraId="424369FA">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0.267***</w:t>
            </w:r>
          </w:p>
        </w:tc>
        <w:tc>
          <w:tcPr>
            <w:tcW w:w="0" w:type="auto"/>
            <w:tcBorders>
              <w:top w:val="nil"/>
              <w:left w:val="nil"/>
              <w:bottom w:val="nil"/>
              <w:right w:val="nil"/>
            </w:tcBorders>
            <w:vAlign w:val="center"/>
          </w:tcPr>
          <w:p w14:paraId="7ED479B6">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17.4%</w:t>
            </w:r>
          </w:p>
        </w:tc>
        <w:tc>
          <w:tcPr>
            <w:tcW w:w="0" w:type="auto"/>
            <w:tcBorders>
              <w:top w:val="nil"/>
              <w:left w:val="nil"/>
              <w:bottom w:val="nil"/>
              <w:right w:val="nil"/>
            </w:tcBorders>
            <w:vAlign w:val="center"/>
          </w:tcPr>
          <w:p w14:paraId="4EA7FAAE">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2.634***</w:t>
            </w:r>
          </w:p>
        </w:tc>
      </w:tr>
      <w:tr w14:paraId="6CD0E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nil"/>
              <w:right w:val="nil"/>
            </w:tcBorders>
            <w:vAlign w:val="center"/>
          </w:tcPr>
          <w:p w14:paraId="08A17512">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经营效率下降</w:t>
            </w:r>
          </w:p>
        </w:tc>
        <w:tc>
          <w:tcPr>
            <w:tcW w:w="0" w:type="auto"/>
            <w:tcBorders>
              <w:top w:val="nil"/>
              <w:left w:val="nil"/>
              <w:bottom w:val="nil"/>
              <w:right w:val="nil"/>
            </w:tcBorders>
            <w:vAlign w:val="center"/>
          </w:tcPr>
          <w:p w14:paraId="21D7DFBE">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销售管理费用率</w:t>
            </w:r>
          </w:p>
        </w:tc>
        <w:tc>
          <w:tcPr>
            <w:tcW w:w="0" w:type="auto"/>
            <w:tcBorders>
              <w:top w:val="nil"/>
              <w:left w:val="nil"/>
              <w:bottom w:val="nil"/>
              <w:right w:val="nil"/>
            </w:tcBorders>
            <w:vAlign w:val="center"/>
          </w:tcPr>
          <w:p w14:paraId="10CBF7F5">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0.123**</w:t>
            </w:r>
          </w:p>
        </w:tc>
        <w:tc>
          <w:tcPr>
            <w:tcW w:w="0" w:type="auto"/>
            <w:tcBorders>
              <w:top w:val="nil"/>
              <w:left w:val="nil"/>
              <w:bottom w:val="nil"/>
              <w:right w:val="nil"/>
            </w:tcBorders>
            <w:vAlign w:val="center"/>
          </w:tcPr>
          <w:p w14:paraId="465C649D">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0.198***</w:t>
            </w:r>
          </w:p>
        </w:tc>
        <w:tc>
          <w:tcPr>
            <w:tcW w:w="0" w:type="auto"/>
            <w:tcBorders>
              <w:top w:val="nil"/>
              <w:left w:val="nil"/>
              <w:bottom w:val="nil"/>
              <w:right w:val="nil"/>
            </w:tcBorders>
            <w:vAlign w:val="center"/>
          </w:tcPr>
          <w:p w14:paraId="1798A6E5">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10.2%</w:t>
            </w:r>
          </w:p>
        </w:tc>
        <w:tc>
          <w:tcPr>
            <w:tcW w:w="0" w:type="auto"/>
            <w:tcBorders>
              <w:top w:val="nil"/>
              <w:left w:val="nil"/>
              <w:bottom w:val="nil"/>
              <w:right w:val="nil"/>
            </w:tcBorders>
            <w:vAlign w:val="center"/>
          </w:tcPr>
          <w:p w14:paraId="3A4EE608">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2.145**</w:t>
            </w:r>
          </w:p>
        </w:tc>
      </w:tr>
      <w:tr w14:paraId="1FB7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nil"/>
              <w:right w:val="nil"/>
            </w:tcBorders>
            <w:vAlign w:val="center"/>
          </w:tcPr>
          <w:p w14:paraId="2D294F9B">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现金流波动性</w:t>
            </w:r>
          </w:p>
        </w:tc>
        <w:tc>
          <w:tcPr>
            <w:tcW w:w="0" w:type="auto"/>
            <w:tcBorders>
              <w:top w:val="nil"/>
              <w:left w:val="nil"/>
              <w:bottom w:val="nil"/>
              <w:right w:val="nil"/>
            </w:tcBorders>
            <w:vAlign w:val="center"/>
          </w:tcPr>
          <w:p w14:paraId="4811A66F">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现金流波动</w:t>
            </w:r>
          </w:p>
        </w:tc>
        <w:tc>
          <w:tcPr>
            <w:tcW w:w="0" w:type="auto"/>
            <w:tcBorders>
              <w:top w:val="nil"/>
              <w:left w:val="nil"/>
              <w:bottom w:val="nil"/>
              <w:right w:val="nil"/>
            </w:tcBorders>
            <w:vAlign w:val="center"/>
          </w:tcPr>
          <w:p w14:paraId="4B78D57F">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0.145***</w:t>
            </w:r>
          </w:p>
        </w:tc>
        <w:tc>
          <w:tcPr>
            <w:tcW w:w="0" w:type="auto"/>
            <w:tcBorders>
              <w:top w:val="nil"/>
              <w:left w:val="nil"/>
              <w:bottom w:val="nil"/>
              <w:right w:val="nil"/>
            </w:tcBorders>
            <w:vAlign w:val="center"/>
          </w:tcPr>
          <w:p w14:paraId="32984497">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0.223***</w:t>
            </w:r>
          </w:p>
        </w:tc>
        <w:tc>
          <w:tcPr>
            <w:tcW w:w="0" w:type="auto"/>
            <w:tcBorders>
              <w:top w:val="nil"/>
              <w:left w:val="nil"/>
              <w:bottom w:val="nil"/>
              <w:right w:val="nil"/>
            </w:tcBorders>
            <w:vAlign w:val="center"/>
          </w:tcPr>
          <w:p w14:paraId="45C33C85">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13.5%</w:t>
            </w:r>
          </w:p>
        </w:tc>
        <w:tc>
          <w:tcPr>
            <w:tcW w:w="0" w:type="auto"/>
            <w:tcBorders>
              <w:top w:val="nil"/>
              <w:left w:val="nil"/>
              <w:bottom w:val="nil"/>
              <w:right w:val="nil"/>
            </w:tcBorders>
            <w:vAlign w:val="center"/>
          </w:tcPr>
          <w:p w14:paraId="1EF9C7DC">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2.478***</w:t>
            </w:r>
          </w:p>
        </w:tc>
      </w:tr>
      <w:tr w14:paraId="53FDE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Borders>
              <w:top w:val="nil"/>
              <w:left w:val="nil"/>
              <w:bottom w:val="single" w:color="auto" w:sz="12" w:space="0"/>
              <w:right w:val="nil"/>
            </w:tcBorders>
            <w:vAlign w:val="center"/>
          </w:tcPr>
          <w:p w14:paraId="0A1B017F">
            <w:pPr>
              <w:jc w:val="center"/>
              <w:rPr>
                <w:rFonts w:hint="default" w:ascii="Times New Roman" w:hAnsi="Times New Roman" w:cs="Times New Roman"/>
                <w:color w:val="auto"/>
                <w:vertAlign w:val="baseline"/>
              </w:rPr>
            </w:pPr>
            <w:r>
              <w:rPr>
                <w:rFonts w:hint="default" w:ascii="Times New Roman" w:hAnsi="Times New Roman" w:cs="Times New Roman"/>
                <w:b/>
                <w:bCs/>
                <w:color w:val="auto"/>
                <w:lang w:val="en-US" w:eastAsia="zh-CN"/>
              </w:rPr>
              <w:t>总中介效应</w:t>
            </w:r>
          </w:p>
        </w:tc>
        <w:tc>
          <w:tcPr>
            <w:tcW w:w="0" w:type="auto"/>
            <w:tcBorders>
              <w:top w:val="nil"/>
              <w:left w:val="nil"/>
              <w:bottom w:val="single" w:color="auto" w:sz="12" w:space="0"/>
              <w:right w:val="nil"/>
            </w:tcBorders>
            <w:vAlign w:val="center"/>
          </w:tcPr>
          <w:p w14:paraId="5C1FC358">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w:t>
            </w:r>
          </w:p>
        </w:tc>
        <w:tc>
          <w:tcPr>
            <w:tcW w:w="0" w:type="auto"/>
            <w:tcBorders>
              <w:top w:val="nil"/>
              <w:left w:val="nil"/>
              <w:bottom w:val="single" w:color="auto" w:sz="12" w:space="0"/>
              <w:right w:val="nil"/>
            </w:tcBorders>
            <w:vAlign w:val="center"/>
          </w:tcPr>
          <w:p w14:paraId="2CFBB8BB">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w:t>
            </w:r>
          </w:p>
        </w:tc>
        <w:tc>
          <w:tcPr>
            <w:tcW w:w="0" w:type="auto"/>
            <w:tcBorders>
              <w:top w:val="nil"/>
              <w:left w:val="nil"/>
              <w:bottom w:val="single" w:color="auto" w:sz="12" w:space="0"/>
              <w:right w:val="nil"/>
            </w:tcBorders>
            <w:vAlign w:val="center"/>
          </w:tcPr>
          <w:p w14:paraId="3195D38E">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w:t>
            </w:r>
          </w:p>
        </w:tc>
        <w:tc>
          <w:tcPr>
            <w:tcW w:w="0" w:type="auto"/>
            <w:tcBorders>
              <w:top w:val="nil"/>
              <w:left w:val="nil"/>
              <w:bottom w:val="single" w:color="auto" w:sz="12" w:space="0"/>
              <w:right w:val="nil"/>
            </w:tcBorders>
            <w:vAlign w:val="center"/>
          </w:tcPr>
          <w:p w14:paraId="13721F71">
            <w:pPr>
              <w:jc w:val="center"/>
              <w:rPr>
                <w:rFonts w:hint="default" w:ascii="Times New Roman" w:hAnsi="Times New Roman" w:cs="Times New Roman"/>
                <w:color w:val="auto"/>
                <w:vertAlign w:val="baseline"/>
              </w:rPr>
            </w:pPr>
            <w:r>
              <w:rPr>
                <w:rFonts w:hint="default" w:ascii="Times New Roman" w:hAnsi="Times New Roman" w:cs="Times New Roman"/>
                <w:b/>
                <w:bCs/>
                <w:color w:val="auto"/>
                <w:lang w:val="en-US" w:eastAsia="zh-CN"/>
              </w:rPr>
              <w:t>92.9%</w:t>
            </w:r>
          </w:p>
        </w:tc>
        <w:tc>
          <w:tcPr>
            <w:tcW w:w="0" w:type="auto"/>
            <w:tcBorders>
              <w:top w:val="nil"/>
              <w:left w:val="nil"/>
              <w:bottom w:val="single" w:color="auto" w:sz="12" w:space="0"/>
              <w:right w:val="nil"/>
            </w:tcBorders>
            <w:vAlign w:val="center"/>
          </w:tcPr>
          <w:p w14:paraId="542839C9">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w:t>
            </w:r>
          </w:p>
        </w:tc>
      </w:tr>
    </w:tbl>
    <w:p w14:paraId="7E3EC255">
      <w:pPr>
        <w:rPr>
          <w:rFonts w:hint="default" w:ascii="Times New Roman" w:hAnsi="Times New Roman" w:cs="Times New Roman"/>
          <w:color w:val="auto"/>
        </w:rPr>
      </w:pPr>
      <w:r>
        <w:rPr>
          <w:rFonts w:hint="default" w:ascii="Times New Roman" w:hAnsi="Times New Roman" w:cs="Times New Roman"/>
          <w:color w:val="auto"/>
        </w:rPr>
        <w:t>注：</w:t>
      </w:r>
      <w:r>
        <w:rPr>
          <w:rFonts w:hint="default" w:ascii="Times New Roman" w:hAnsi="Times New Roman" w:cs="Times New Roman"/>
          <w:color w:val="auto"/>
          <w:lang w:val="en-US" w:eastAsia="zh-CN"/>
        </w:rPr>
        <w:t>*</w:t>
      </w:r>
      <w:r>
        <w:rPr>
          <w:rFonts w:hint="default" w:ascii="Times New Roman" w:hAnsi="Times New Roman" w:cs="Times New Roman"/>
          <w:color w:val="auto"/>
        </w:rPr>
        <w:t>、</w:t>
      </w:r>
      <w:r>
        <w:rPr>
          <w:rFonts w:hint="default" w:ascii="Times New Roman" w:hAnsi="Times New Roman" w:cs="Times New Roman"/>
          <w:color w:val="auto"/>
          <w:lang w:val="en-US" w:eastAsia="zh-CN"/>
        </w:rPr>
        <w:t>**</w:t>
      </w:r>
      <w:r>
        <w:rPr>
          <w:rFonts w:hint="default" w:ascii="Times New Roman" w:hAnsi="Times New Roman" w:cs="Times New Roman"/>
          <w:color w:val="auto"/>
        </w:rPr>
        <w:t>、</w:t>
      </w:r>
      <w:r>
        <w:rPr>
          <w:rFonts w:hint="default" w:ascii="Times New Roman" w:hAnsi="Times New Roman" w:cs="Times New Roman"/>
          <w:color w:val="auto"/>
          <w:lang w:val="en-US" w:eastAsia="zh-CN"/>
        </w:rPr>
        <w:t>***</w:t>
      </w:r>
      <w:r>
        <w:rPr>
          <w:rFonts w:hint="default" w:ascii="Times New Roman" w:hAnsi="Times New Roman" w:cs="Times New Roman"/>
          <w:color w:val="auto"/>
        </w:rPr>
        <w:t>分别表示在1%、5%、10%水平上显著；中介效应占比采用百分比形式表示。</w:t>
      </w:r>
    </w:p>
    <w:p w14:paraId="25BC009B">
      <w:pPr>
        <w:ind w:firstLine="420" w:firstLineChars="200"/>
        <w:rPr>
          <w:rFonts w:hint="default" w:ascii="Times New Roman" w:hAnsi="Times New Roman" w:cs="Times New Roman"/>
          <w:color w:val="auto"/>
        </w:rPr>
      </w:pPr>
      <w:r>
        <w:rPr>
          <w:rFonts w:hint="default" w:ascii="Times New Roman" w:hAnsi="Times New Roman" w:cs="Times New Roman"/>
          <w:color w:val="auto"/>
        </w:rPr>
        <w:t>表</w:t>
      </w:r>
      <w:r>
        <w:rPr>
          <w:rFonts w:hint="default" w:ascii="Times New Roman" w:hAnsi="Times New Roman" w:cs="Times New Roman"/>
          <w:color w:val="auto"/>
          <w:lang w:val="en-US" w:eastAsia="zh-CN"/>
        </w:rPr>
        <w:t>11</w:t>
      </w:r>
      <w:r>
        <w:rPr>
          <w:rFonts w:hint="default" w:ascii="Times New Roman" w:hAnsi="Times New Roman" w:cs="Times New Roman"/>
          <w:color w:val="auto"/>
        </w:rPr>
        <w:t>支持了理论框架中提出的传导机制。信息不对称通过多条路径影响破产风险，其中盈利能力下滑（28.7%）和投资效率降低（22.1%）是最主要的中介渠道，合计贡献了超过50%的中介效应。融资成本上升和现金流波动性分别贡献17.4%和13.5%，表明财务风险也是重要传导路径。总中介效应达到92.9%，说明这些机制基本覆盖了信息不对称影响破产风险的主要路径，为理论框架提供了实证支持。</w:t>
      </w:r>
    </w:p>
    <w:p w14:paraId="6295F326">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34" w:name="_Toc4747"/>
      <w:r>
        <w:rPr>
          <w:rFonts w:hint="default" w:ascii="Times New Roman" w:hAnsi="Times New Roman" w:eastAsia="黑体" w:cs="Times New Roman"/>
          <w:color w:val="auto"/>
          <w:lang w:val="en-US" w:eastAsia="zh-CN"/>
        </w:rPr>
        <w:t>5.4.2</w:t>
      </w:r>
      <w:r>
        <w:rPr>
          <w:rFonts w:hint="default" w:ascii="Times New Roman" w:hAnsi="Times New Roman" w:eastAsia="黑体" w:cs="Times New Roman"/>
          <w:color w:val="auto"/>
          <w:lang w:val="en-US" w:eastAsia="zh-CN"/>
        </w:rPr>
        <w:t>异质性分析</w:t>
      </w:r>
      <w:bookmarkEnd w:id="34"/>
    </w:p>
    <w:p w14:paraId="53255FA3">
      <w:pPr>
        <w:ind w:firstLine="420" w:firstLineChars="200"/>
        <w:rPr>
          <w:rFonts w:hint="default" w:ascii="Times New Roman" w:hAnsi="Times New Roman" w:cs="Times New Roman"/>
          <w:color w:val="auto"/>
        </w:rPr>
      </w:pPr>
      <w:r>
        <w:rPr>
          <w:rFonts w:hint="default" w:ascii="Times New Roman" w:hAnsi="Times New Roman" w:cs="Times New Roman"/>
          <w:color w:val="auto"/>
        </w:rPr>
        <w:t>为检验研究假设H3，本研究按交易特征和企业特征进行分样本分析</w:t>
      </w:r>
      <w:r>
        <w:rPr>
          <w:rFonts w:hint="default" w:ascii="Times New Roman" w:hAnsi="Times New Roman" w:cs="Times New Roman"/>
          <w:color w:val="auto"/>
          <w:lang w:eastAsia="zh-CN"/>
        </w:rPr>
        <w:t>。</w:t>
      </w:r>
    </w:p>
    <w:p w14:paraId="670099C2">
      <w:pPr>
        <w:jc w:val="center"/>
        <w:rPr>
          <w:rFonts w:hint="default" w:ascii="Times New Roman" w:hAnsi="Times New Roman" w:cs="Times New Roman"/>
          <w:color w:val="auto"/>
        </w:rPr>
      </w:pPr>
      <w:r>
        <w:rPr>
          <w:rFonts w:hint="default" w:ascii="Times New Roman" w:hAnsi="Times New Roman" w:cs="Times New Roman"/>
          <w:color w:val="auto"/>
        </w:rPr>
        <w:t>表</w:t>
      </w:r>
      <w:r>
        <w:rPr>
          <w:rFonts w:hint="default" w:ascii="Times New Roman" w:hAnsi="Times New Roman" w:cs="Times New Roman"/>
          <w:color w:val="auto"/>
          <w:lang w:val="en-US" w:eastAsia="zh-CN"/>
        </w:rPr>
        <w:t xml:space="preserve">12 </w:t>
      </w:r>
      <w:r>
        <w:rPr>
          <w:rFonts w:hint="default" w:ascii="Times New Roman" w:hAnsi="Times New Roman" w:cs="Times New Roman"/>
          <w:color w:val="auto"/>
        </w:rPr>
        <w:t>异质性分析结果（按交易类型和企业特征分组）</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77"/>
        <w:gridCol w:w="1505"/>
        <w:gridCol w:w="863"/>
        <w:gridCol w:w="1414"/>
        <w:gridCol w:w="863"/>
        <w:gridCol w:w="1291"/>
        <w:gridCol w:w="1506"/>
      </w:tblGrid>
      <w:tr w14:paraId="0B2E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2" w:type="pct"/>
            <w:tcBorders>
              <w:top w:val="single" w:color="auto" w:sz="12" w:space="0"/>
              <w:left w:val="nil"/>
              <w:bottom w:val="single" w:color="auto" w:sz="4" w:space="0"/>
              <w:right w:val="nil"/>
            </w:tcBorders>
            <w:vAlign w:val="center"/>
          </w:tcPr>
          <w:p w14:paraId="2EAE9321">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分组变量</w:t>
            </w:r>
          </w:p>
        </w:tc>
        <w:tc>
          <w:tcPr>
            <w:tcW w:w="883" w:type="pct"/>
            <w:tcBorders>
              <w:top w:val="single" w:color="auto" w:sz="12" w:space="0"/>
              <w:left w:val="nil"/>
              <w:bottom w:val="single" w:color="auto" w:sz="4" w:space="0"/>
              <w:right w:val="nil"/>
            </w:tcBorders>
            <w:vAlign w:val="center"/>
          </w:tcPr>
          <w:p w14:paraId="6184B0EC">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分组标准</w:t>
            </w:r>
          </w:p>
        </w:tc>
        <w:tc>
          <w:tcPr>
            <w:tcW w:w="506" w:type="pct"/>
            <w:tcBorders>
              <w:top w:val="single" w:color="auto" w:sz="12" w:space="0"/>
              <w:left w:val="nil"/>
              <w:bottom w:val="single" w:color="auto" w:sz="4" w:space="0"/>
              <w:right w:val="nil"/>
            </w:tcBorders>
            <w:vAlign w:val="center"/>
          </w:tcPr>
          <w:p w14:paraId="38824BE1">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样本量</w:t>
            </w:r>
          </w:p>
        </w:tc>
        <w:tc>
          <w:tcPr>
            <w:tcW w:w="829" w:type="pct"/>
            <w:tcBorders>
              <w:top w:val="single" w:color="auto" w:sz="12" w:space="0"/>
              <w:left w:val="nil"/>
              <w:bottom w:val="single" w:color="auto" w:sz="4" w:space="0"/>
              <w:right w:val="nil"/>
            </w:tcBorders>
            <w:vAlign w:val="center"/>
          </w:tcPr>
          <w:p w14:paraId="261F472E">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IA_Text系数</w:t>
            </w:r>
          </w:p>
        </w:tc>
        <w:tc>
          <w:tcPr>
            <w:tcW w:w="506" w:type="pct"/>
            <w:tcBorders>
              <w:top w:val="single" w:color="auto" w:sz="12" w:space="0"/>
              <w:left w:val="nil"/>
              <w:bottom w:val="single" w:color="auto" w:sz="4" w:space="0"/>
              <w:right w:val="nil"/>
            </w:tcBorders>
            <w:vAlign w:val="center"/>
          </w:tcPr>
          <w:p w14:paraId="50825BCD">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标准误</w:t>
            </w:r>
          </w:p>
        </w:tc>
        <w:tc>
          <w:tcPr>
            <w:tcW w:w="757" w:type="pct"/>
            <w:tcBorders>
              <w:top w:val="single" w:color="auto" w:sz="12" w:space="0"/>
              <w:left w:val="nil"/>
              <w:bottom w:val="single" w:color="auto" w:sz="4" w:space="0"/>
              <w:right w:val="nil"/>
            </w:tcBorders>
            <w:vAlign w:val="center"/>
          </w:tcPr>
          <w:p w14:paraId="61BD0B52">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经济显著性</w:t>
            </w:r>
          </w:p>
        </w:tc>
        <w:tc>
          <w:tcPr>
            <w:tcW w:w="883" w:type="pct"/>
            <w:tcBorders>
              <w:top w:val="single" w:color="auto" w:sz="12" w:space="0"/>
              <w:left w:val="nil"/>
              <w:bottom w:val="single" w:color="auto" w:sz="4" w:space="0"/>
              <w:right w:val="nil"/>
            </w:tcBorders>
            <w:vAlign w:val="center"/>
          </w:tcPr>
          <w:p w14:paraId="0CF15EE8">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组间差异检验</w:t>
            </w:r>
          </w:p>
        </w:tc>
      </w:tr>
      <w:tr w14:paraId="7D200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2" w:type="pct"/>
            <w:vMerge w:val="restart"/>
            <w:tcBorders>
              <w:top w:val="single" w:color="auto" w:sz="4" w:space="0"/>
              <w:left w:val="nil"/>
              <w:right w:val="nil"/>
            </w:tcBorders>
            <w:vAlign w:val="center"/>
          </w:tcPr>
          <w:p w14:paraId="7216E1F6">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交易类型</w:t>
            </w:r>
          </w:p>
        </w:tc>
        <w:tc>
          <w:tcPr>
            <w:tcW w:w="883" w:type="pct"/>
            <w:tcBorders>
              <w:top w:val="single" w:color="auto" w:sz="4" w:space="0"/>
              <w:left w:val="nil"/>
              <w:bottom w:val="nil"/>
              <w:right w:val="nil"/>
            </w:tcBorders>
            <w:vAlign w:val="center"/>
          </w:tcPr>
          <w:p w14:paraId="3650CBEE">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跨行业并购</w:t>
            </w:r>
          </w:p>
        </w:tc>
        <w:tc>
          <w:tcPr>
            <w:tcW w:w="506" w:type="pct"/>
            <w:tcBorders>
              <w:top w:val="single" w:color="auto" w:sz="4" w:space="0"/>
              <w:left w:val="nil"/>
              <w:bottom w:val="nil"/>
              <w:right w:val="nil"/>
            </w:tcBorders>
            <w:vAlign w:val="center"/>
          </w:tcPr>
          <w:p w14:paraId="13555A50">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3,245</w:t>
            </w:r>
          </w:p>
        </w:tc>
        <w:tc>
          <w:tcPr>
            <w:tcW w:w="829" w:type="pct"/>
            <w:tcBorders>
              <w:top w:val="single" w:color="auto" w:sz="4" w:space="0"/>
              <w:left w:val="nil"/>
              <w:bottom w:val="nil"/>
              <w:right w:val="nil"/>
            </w:tcBorders>
            <w:vAlign w:val="center"/>
          </w:tcPr>
          <w:p w14:paraId="7F3A29F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2.134***</w:t>
            </w:r>
          </w:p>
        </w:tc>
        <w:tc>
          <w:tcPr>
            <w:tcW w:w="506" w:type="pct"/>
            <w:tcBorders>
              <w:top w:val="single" w:color="auto" w:sz="4" w:space="0"/>
              <w:left w:val="nil"/>
              <w:bottom w:val="nil"/>
              <w:right w:val="nil"/>
            </w:tcBorders>
            <w:vAlign w:val="center"/>
          </w:tcPr>
          <w:p w14:paraId="0D3F09E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(0.345)</w:t>
            </w:r>
          </w:p>
        </w:tc>
        <w:tc>
          <w:tcPr>
            <w:tcW w:w="757" w:type="pct"/>
            <w:tcBorders>
              <w:top w:val="single" w:color="auto" w:sz="4" w:space="0"/>
              <w:left w:val="nil"/>
              <w:bottom w:val="nil"/>
              <w:right w:val="nil"/>
            </w:tcBorders>
            <w:vAlign w:val="center"/>
          </w:tcPr>
          <w:p w14:paraId="5119D9B2">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强</w:t>
            </w:r>
          </w:p>
        </w:tc>
        <w:tc>
          <w:tcPr>
            <w:tcW w:w="883" w:type="pct"/>
            <w:tcBorders>
              <w:top w:val="single" w:color="auto" w:sz="4" w:space="0"/>
              <w:left w:val="nil"/>
              <w:bottom w:val="nil"/>
              <w:right w:val="nil"/>
            </w:tcBorders>
            <w:vAlign w:val="center"/>
          </w:tcPr>
          <w:p w14:paraId="66F0F7B4">
            <w:pPr>
              <w:jc w:val="center"/>
              <w:rPr>
                <w:rFonts w:hint="default" w:ascii="Times New Roman" w:hAnsi="Times New Roman" w:cs="Times New Roman"/>
                <w:color w:val="auto"/>
                <w:vertAlign w:val="baseline"/>
              </w:rPr>
            </w:pPr>
            <w:r>
              <w:rPr>
                <w:rFonts w:hint="default" w:ascii="Times New Roman" w:hAnsi="Times New Roman" w:cs="Times New Roman"/>
                <w:color w:val="auto"/>
                <w:lang w:val="en-US" w:eastAsia="zh-CN"/>
              </w:rPr>
              <w:t>χ² = 8.76***</w:t>
            </w:r>
          </w:p>
        </w:tc>
      </w:tr>
      <w:tr w14:paraId="643D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2" w:type="pct"/>
            <w:vMerge w:val="continue"/>
            <w:tcBorders>
              <w:left w:val="nil"/>
              <w:bottom w:val="nil"/>
              <w:right w:val="nil"/>
            </w:tcBorders>
            <w:vAlign w:val="center"/>
          </w:tcPr>
          <w:p w14:paraId="08D2C227">
            <w:pPr>
              <w:jc w:val="center"/>
              <w:rPr>
                <w:rFonts w:hint="default" w:ascii="Times New Roman" w:hAnsi="Times New Roman" w:cs="Times New Roman"/>
                <w:color w:val="auto"/>
                <w:vertAlign w:val="baseline"/>
              </w:rPr>
            </w:pPr>
          </w:p>
        </w:tc>
        <w:tc>
          <w:tcPr>
            <w:tcW w:w="883" w:type="pct"/>
            <w:tcBorders>
              <w:top w:val="nil"/>
              <w:left w:val="nil"/>
              <w:bottom w:val="nil"/>
              <w:right w:val="nil"/>
            </w:tcBorders>
            <w:vAlign w:val="center"/>
          </w:tcPr>
          <w:p w14:paraId="4F8410CA">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同行业并购</w:t>
            </w:r>
          </w:p>
        </w:tc>
        <w:tc>
          <w:tcPr>
            <w:tcW w:w="506" w:type="pct"/>
            <w:tcBorders>
              <w:top w:val="nil"/>
              <w:left w:val="nil"/>
              <w:bottom w:val="nil"/>
              <w:right w:val="nil"/>
            </w:tcBorders>
            <w:vAlign w:val="center"/>
          </w:tcPr>
          <w:p w14:paraId="32664A4B">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5,495</w:t>
            </w:r>
          </w:p>
        </w:tc>
        <w:tc>
          <w:tcPr>
            <w:tcW w:w="829" w:type="pct"/>
            <w:tcBorders>
              <w:top w:val="nil"/>
              <w:left w:val="nil"/>
              <w:bottom w:val="nil"/>
              <w:right w:val="nil"/>
            </w:tcBorders>
            <w:vAlign w:val="center"/>
          </w:tcPr>
          <w:p w14:paraId="246A1650">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1.287***</w:t>
            </w:r>
          </w:p>
        </w:tc>
        <w:tc>
          <w:tcPr>
            <w:tcW w:w="506" w:type="pct"/>
            <w:tcBorders>
              <w:top w:val="nil"/>
              <w:left w:val="nil"/>
              <w:bottom w:val="nil"/>
              <w:right w:val="nil"/>
            </w:tcBorders>
            <w:vAlign w:val="center"/>
          </w:tcPr>
          <w:p w14:paraId="1423E9C6">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(0.298)</w:t>
            </w:r>
          </w:p>
        </w:tc>
        <w:tc>
          <w:tcPr>
            <w:tcW w:w="757" w:type="pct"/>
            <w:tcBorders>
              <w:top w:val="nil"/>
              <w:left w:val="nil"/>
              <w:bottom w:val="nil"/>
              <w:right w:val="nil"/>
            </w:tcBorders>
            <w:vAlign w:val="center"/>
          </w:tcPr>
          <w:p w14:paraId="6935DDAF">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中等</w:t>
            </w:r>
          </w:p>
        </w:tc>
        <w:tc>
          <w:tcPr>
            <w:tcW w:w="883" w:type="pct"/>
            <w:tcBorders>
              <w:top w:val="nil"/>
              <w:left w:val="nil"/>
              <w:bottom w:val="nil"/>
              <w:right w:val="nil"/>
            </w:tcBorders>
            <w:vAlign w:val="center"/>
          </w:tcPr>
          <w:p w14:paraId="69D8718D">
            <w:pPr>
              <w:jc w:val="center"/>
              <w:rPr>
                <w:rFonts w:hint="default" w:ascii="Times New Roman" w:hAnsi="Times New Roman" w:cs="Times New Roman"/>
                <w:color w:val="auto"/>
                <w:vertAlign w:val="baseline"/>
              </w:rPr>
            </w:pPr>
          </w:p>
        </w:tc>
      </w:tr>
      <w:tr w14:paraId="58E33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2" w:type="pct"/>
            <w:vMerge w:val="restart"/>
            <w:tcBorders>
              <w:top w:val="nil"/>
              <w:left w:val="nil"/>
              <w:right w:val="nil"/>
            </w:tcBorders>
            <w:vAlign w:val="center"/>
          </w:tcPr>
          <w:p w14:paraId="355A844D">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关联交易</w:t>
            </w:r>
          </w:p>
        </w:tc>
        <w:tc>
          <w:tcPr>
            <w:tcW w:w="883" w:type="pct"/>
            <w:tcBorders>
              <w:top w:val="nil"/>
              <w:left w:val="nil"/>
              <w:bottom w:val="nil"/>
              <w:right w:val="nil"/>
            </w:tcBorders>
            <w:vAlign w:val="center"/>
          </w:tcPr>
          <w:p w14:paraId="7C9F9CAF">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非关联交易</w:t>
            </w:r>
          </w:p>
        </w:tc>
        <w:tc>
          <w:tcPr>
            <w:tcW w:w="506" w:type="pct"/>
            <w:tcBorders>
              <w:top w:val="nil"/>
              <w:left w:val="nil"/>
              <w:bottom w:val="nil"/>
              <w:right w:val="nil"/>
            </w:tcBorders>
            <w:vAlign w:val="center"/>
          </w:tcPr>
          <w:p w14:paraId="4BFD24F0">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4,867</w:t>
            </w:r>
          </w:p>
        </w:tc>
        <w:tc>
          <w:tcPr>
            <w:tcW w:w="829" w:type="pct"/>
            <w:tcBorders>
              <w:top w:val="nil"/>
              <w:left w:val="nil"/>
              <w:bottom w:val="nil"/>
              <w:right w:val="nil"/>
            </w:tcBorders>
            <w:vAlign w:val="center"/>
          </w:tcPr>
          <w:p w14:paraId="25036B1C">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1.956***</w:t>
            </w:r>
          </w:p>
        </w:tc>
        <w:tc>
          <w:tcPr>
            <w:tcW w:w="506" w:type="pct"/>
            <w:tcBorders>
              <w:top w:val="nil"/>
              <w:left w:val="nil"/>
              <w:bottom w:val="nil"/>
              <w:right w:val="nil"/>
            </w:tcBorders>
            <w:vAlign w:val="center"/>
          </w:tcPr>
          <w:p w14:paraId="06A41E0F">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(0.312)</w:t>
            </w:r>
          </w:p>
        </w:tc>
        <w:tc>
          <w:tcPr>
            <w:tcW w:w="757" w:type="pct"/>
            <w:tcBorders>
              <w:top w:val="nil"/>
              <w:left w:val="nil"/>
              <w:bottom w:val="nil"/>
              <w:right w:val="nil"/>
            </w:tcBorders>
            <w:vAlign w:val="center"/>
          </w:tcPr>
          <w:p w14:paraId="78B97618">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强</w:t>
            </w:r>
          </w:p>
        </w:tc>
        <w:tc>
          <w:tcPr>
            <w:tcW w:w="883" w:type="pct"/>
            <w:tcBorders>
              <w:top w:val="nil"/>
              <w:left w:val="nil"/>
              <w:bottom w:val="nil"/>
              <w:right w:val="nil"/>
            </w:tcBorders>
            <w:vAlign w:val="center"/>
          </w:tcPr>
          <w:p w14:paraId="4DEF8F39">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χ² = 6.45**</w:t>
            </w:r>
          </w:p>
        </w:tc>
      </w:tr>
      <w:tr w14:paraId="4E2B4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2" w:type="pct"/>
            <w:vMerge w:val="continue"/>
            <w:tcBorders>
              <w:left w:val="nil"/>
              <w:bottom w:val="nil"/>
              <w:right w:val="nil"/>
            </w:tcBorders>
            <w:vAlign w:val="center"/>
          </w:tcPr>
          <w:p w14:paraId="059ED267">
            <w:pPr>
              <w:jc w:val="center"/>
              <w:rPr>
                <w:rFonts w:hint="default" w:ascii="Times New Roman" w:hAnsi="Times New Roman" w:cs="Times New Roman"/>
                <w:color w:val="auto"/>
                <w:vertAlign w:val="baseline"/>
              </w:rPr>
            </w:pPr>
          </w:p>
        </w:tc>
        <w:tc>
          <w:tcPr>
            <w:tcW w:w="883" w:type="pct"/>
            <w:tcBorders>
              <w:top w:val="nil"/>
              <w:left w:val="nil"/>
              <w:bottom w:val="nil"/>
              <w:right w:val="nil"/>
            </w:tcBorders>
            <w:vAlign w:val="center"/>
          </w:tcPr>
          <w:p w14:paraId="04F8591D">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关联交易</w:t>
            </w:r>
          </w:p>
        </w:tc>
        <w:tc>
          <w:tcPr>
            <w:tcW w:w="506" w:type="pct"/>
            <w:tcBorders>
              <w:top w:val="nil"/>
              <w:left w:val="nil"/>
              <w:bottom w:val="nil"/>
              <w:right w:val="nil"/>
            </w:tcBorders>
            <w:vAlign w:val="center"/>
          </w:tcPr>
          <w:p w14:paraId="1579C45B">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3,873</w:t>
            </w:r>
          </w:p>
        </w:tc>
        <w:tc>
          <w:tcPr>
            <w:tcW w:w="829" w:type="pct"/>
            <w:tcBorders>
              <w:top w:val="nil"/>
              <w:left w:val="nil"/>
              <w:bottom w:val="nil"/>
              <w:right w:val="nil"/>
            </w:tcBorders>
            <w:vAlign w:val="center"/>
          </w:tcPr>
          <w:p w14:paraId="210A99F8">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1.423***</w:t>
            </w:r>
          </w:p>
        </w:tc>
        <w:tc>
          <w:tcPr>
            <w:tcW w:w="506" w:type="pct"/>
            <w:tcBorders>
              <w:top w:val="nil"/>
              <w:left w:val="nil"/>
              <w:bottom w:val="nil"/>
              <w:right w:val="nil"/>
            </w:tcBorders>
            <w:vAlign w:val="center"/>
          </w:tcPr>
          <w:p w14:paraId="7A1DB1FC">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(0.287)</w:t>
            </w:r>
          </w:p>
        </w:tc>
        <w:tc>
          <w:tcPr>
            <w:tcW w:w="757" w:type="pct"/>
            <w:tcBorders>
              <w:top w:val="nil"/>
              <w:left w:val="nil"/>
              <w:bottom w:val="nil"/>
              <w:right w:val="nil"/>
            </w:tcBorders>
            <w:vAlign w:val="center"/>
          </w:tcPr>
          <w:p w14:paraId="387E1802">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中等</w:t>
            </w:r>
          </w:p>
        </w:tc>
        <w:tc>
          <w:tcPr>
            <w:tcW w:w="883" w:type="pct"/>
            <w:tcBorders>
              <w:top w:val="nil"/>
              <w:left w:val="nil"/>
              <w:bottom w:val="nil"/>
              <w:right w:val="nil"/>
            </w:tcBorders>
            <w:vAlign w:val="center"/>
          </w:tcPr>
          <w:p w14:paraId="2C9C19F5">
            <w:pPr>
              <w:jc w:val="center"/>
              <w:rPr>
                <w:rFonts w:hint="default" w:ascii="Times New Roman" w:hAnsi="Times New Roman" w:cs="Times New Roman"/>
                <w:color w:val="auto"/>
                <w:vertAlign w:val="baseline"/>
              </w:rPr>
            </w:pPr>
          </w:p>
        </w:tc>
      </w:tr>
      <w:tr w14:paraId="5EE5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2" w:type="pct"/>
            <w:vMerge w:val="restart"/>
            <w:tcBorders>
              <w:top w:val="nil"/>
              <w:left w:val="nil"/>
              <w:right w:val="nil"/>
            </w:tcBorders>
            <w:vAlign w:val="center"/>
          </w:tcPr>
          <w:p w14:paraId="56E2590A">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企业规模</w:t>
            </w:r>
          </w:p>
        </w:tc>
        <w:tc>
          <w:tcPr>
            <w:tcW w:w="883" w:type="pct"/>
            <w:tcBorders>
              <w:top w:val="nil"/>
              <w:left w:val="nil"/>
              <w:bottom w:val="nil"/>
              <w:right w:val="nil"/>
            </w:tcBorders>
            <w:vAlign w:val="center"/>
          </w:tcPr>
          <w:p w14:paraId="24EC7B56">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小规模企业</w:t>
            </w:r>
          </w:p>
        </w:tc>
        <w:tc>
          <w:tcPr>
            <w:tcW w:w="506" w:type="pct"/>
            <w:tcBorders>
              <w:top w:val="nil"/>
              <w:left w:val="nil"/>
              <w:bottom w:val="nil"/>
              <w:right w:val="nil"/>
            </w:tcBorders>
            <w:vAlign w:val="center"/>
          </w:tcPr>
          <w:p w14:paraId="212BBCC6">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2,934</w:t>
            </w:r>
          </w:p>
        </w:tc>
        <w:tc>
          <w:tcPr>
            <w:tcW w:w="829" w:type="pct"/>
            <w:tcBorders>
              <w:top w:val="nil"/>
              <w:left w:val="nil"/>
              <w:bottom w:val="nil"/>
              <w:right w:val="nil"/>
            </w:tcBorders>
            <w:vAlign w:val="center"/>
          </w:tcPr>
          <w:p w14:paraId="3C602D9E">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2.345***</w:t>
            </w:r>
          </w:p>
        </w:tc>
        <w:tc>
          <w:tcPr>
            <w:tcW w:w="506" w:type="pct"/>
            <w:tcBorders>
              <w:top w:val="nil"/>
              <w:left w:val="nil"/>
              <w:bottom w:val="nil"/>
              <w:right w:val="nil"/>
            </w:tcBorders>
            <w:vAlign w:val="center"/>
          </w:tcPr>
          <w:p w14:paraId="47468CE0">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(0.412)</w:t>
            </w:r>
          </w:p>
        </w:tc>
        <w:tc>
          <w:tcPr>
            <w:tcW w:w="757" w:type="pct"/>
            <w:tcBorders>
              <w:top w:val="nil"/>
              <w:left w:val="nil"/>
              <w:bottom w:val="nil"/>
              <w:right w:val="nil"/>
            </w:tcBorders>
            <w:vAlign w:val="center"/>
          </w:tcPr>
          <w:p w14:paraId="79339AD3">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强</w:t>
            </w:r>
          </w:p>
        </w:tc>
        <w:tc>
          <w:tcPr>
            <w:tcW w:w="883" w:type="pct"/>
            <w:tcBorders>
              <w:top w:val="nil"/>
              <w:left w:val="nil"/>
              <w:bottom w:val="nil"/>
              <w:right w:val="nil"/>
            </w:tcBorders>
            <w:vAlign w:val="center"/>
          </w:tcPr>
          <w:p w14:paraId="0C7F63C6">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χ² = 12.34***</w:t>
            </w:r>
          </w:p>
        </w:tc>
      </w:tr>
      <w:tr w14:paraId="3269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2" w:type="pct"/>
            <w:vMerge w:val="continue"/>
            <w:tcBorders>
              <w:left w:val="nil"/>
              <w:bottom w:val="nil"/>
              <w:right w:val="nil"/>
            </w:tcBorders>
            <w:vAlign w:val="center"/>
          </w:tcPr>
          <w:p w14:paraId="7D5EEC32">
            <w:pPr>
              <w:jc w:val="center"/>
              <w:rPr>
                <w:rFonts w:hint="default" w:ascii="Times New Roman" w:hAnsi="Times New Roman" w:cs="Times New Roman"/>
                <w:color w:val="auto"/>
                <w:vertAlign w:val="baseline"/>
              </w:rPr>
            </w:pPr>
          </w:p>
        </w:tc>
        <w:tc>
          <w:tcPr>
            <w:tcW w:w="883" w:type="pct"/>
            <w:tcBorders>
              <w:top w:val="nil"/>
              <w:left w:val="nil"/>
              <w:bottom w:val="nil"/>
              <w:right w:val="nil"/>
            </w:tcBorders>
            <w:vAlign w:val="center"/>
          </w:tcPr>
          <w:p w14:paraId="25349267">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大规模企业</w:t>
            </w:r>
          </w:p>
        </w:tc>
        <w:tc>
          <w:tcPr>
            <w:tcW w:w="506" w:type="pct"/>
            <w:tcBorders>
              <w:top w:val="nil"/>
              <w:left w:val="nil"/>
              <w:bottom w:val="nil"/>
              <w:right w:val="nil"/>
            </w:tcBorders>
            <w:vAlign w:val="center"/>
          </w:tcPr>
          <w:p w14:paraId="422F61D6">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5,806</w:t>
            </w:r>
          </w:p>
        </w:tc>
        <w:tc>
          <w:tcPr>
            <w:tcW w:w="829" w:type="pct"/>
            <w:tcBorders>
              <w:top w:val="nil"/>
              <w:left w:val="nil"/>
              <w:bottom w:val="nil"/>
              <w:right w:val="nil"/>
            </w:tcBorders>
            <w:vAlign w:val="center"/>
          </w:tcPr>
          <w:p w14:paraId="25A9EA5F">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1.156***</w:t>
            </w:r>
          </w:p>
        </w:tc>
        <w:tc>
          <w:tcPr>
            <w:tcW w:w="506" w:type="pct"/>
            <w:tcBorders>
              <w:top w:val="nil"/>
              <w:left w:val="nil"/>
              <w:bottom w:val="nil"/>
              <w:right w:val="nil"/>
            </w:tcBorders>
            <w:vAlign w:val="center"/>
          </w:tcPr>
          <w:p w14:paraId="6F6AA304">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(0.245)</w:t>
            </w:r>
          </w:p>
        </w:tc>
        <w:tc>
          <w:tcPr>
            <w:tcW w:w="757" w:type="pct"/>
            <w:tcBorders>
              <w:top w:val="nil"/>
              <w:left w:val="nil"/>
              <w:bottom w:val="nil"/>
              <w:right w:val="nil"/>
            </w:tcBorders>
            <w:vAlign w:val="center"/>
          </w:tcPr>
          <w:p w14:paraId="1698B401">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弱</w:t>
            </w:r>
          </w:p>
        </w:tc>
        <w:tc>
          <w:tcPr>
            <w:tcW w:w="883" w:type="pct"/>
            <w:tcBorders>
              <w:top w:val="nil"/>
              <w:left w:val="nil"/>
              <w:bottom w:val="nil"/>
              <w:right w:val="nil"/>
            </w:tcBorders>
            <w:vAlign w:val="center"/>
          </w:tcPr>
          <w:p w14:paraId="3D164BB1">
            <w:pPr>
              <w:jc w:val="center"/>
              <w:rPr>
                <w:rFonts w:hint="default" w:ascii="Times New Roman" w:hAnsi="Times New Roman" w:cs="Times New Roman"/>
                <w:color w:val="auto"/>
                <w:vertAlign w:val="baseline"/>
              </w:rPr>
            </w:pPr>
          </w:p>
        </w:tc>
      </w:tr>
      <w:tr w14:paraId="70A0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2" w:type="pct"/>
            <w:vMerge w:val="restart"/>
            <w:tcBorders>
              <w:top w:val="nil"/>
              <w:left w:val="nil"/>
              <w:right w:val="nil"/>
            </w:tcBorders>
            <w:vAlign w:val="center"/>
          </w:tcPr>
          <w:p w14:paraId="18A53F00">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信息环境</w:t>
            </w:r>
          </w:p>
        </w:tc>
        <w:tc>
          <w:tcPr>
            <w:tcW w:w="883" w:type="pct"/>
            <w:tcBorders>
              <w:top w:val="nil"/>
              <w:left w:val="nil"/>
              <w:bottom w:val="nil"/>
              <w:right w:val="nil"/>
            </w:tcBorders>
            <w:vAlign w:val="center"/>
          </w:tcPr>
          <w:p w14:paraId="226018AB">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分析师覆盖少</w:t>
            </w:r>
          </w:p>
        </w:tc>
        <w:tc>
          <w:tcPr>
            <w:tcW w:w="506" w:type="pct"/>
            <w:tcBorders>
              <w:top w:val="nil"/>
              <w:left w:val="nil"/>
              <w:bottom w:val="nil"/>
              <w:right w:val="nil"/>
            </w:tcBorders>
            <w:vAlign w:val="center"/>
          </w:tcPr>
          <w:p w14:paraId="36D272FD">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3,156</w:t>
            </w:r>
          </w:p>
        </w:tc>
        <w:tc>
          <w:tcPr>
            <w:tcW w:w="829" w:type="pct"/>
            <w:tcBorders>
              <w:top w:val="nil"/>
              <w:left w:val="nil"/>
              <w:bottom w:val="nil"/>
              <w:right w:val="nil"/>
            </w:tcBorders>
            <w:vAlign w:val="center"/>
          </w:tcPr>
          <w:p w14:paraId="35BFE578">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2.267***</w:t>
            </w:r>
          </w:p>
        </w:tc>
        <w:tc>
          <w:tcPr>
            <w:tcW w:w="506" w:type="pct"/>
            <w:tcBorders>
              <w:top w:val="nil"/>
              <w:left w:val="nil"/>
              <w:bottom w:val="nil"/>
              <w:right w:val="nil"/>
            </w:tcBorders>
            <w:vAlign w:val="center"/>
          </w:tcPr>
          <w:p w14:paraId="27D04B4A">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(0.398)</w:t>
            </w:r>
          </w:p>
        </w:tc>
        <w:tc>
          <w:tcPr>
            <w:tcW w:w="757" w:type="pct"/>
            <w:tcBorders>
              <w:top w:val="nil"/>
              <w:left w:val="nil"/>
              <w:bottom w:val="nil"/>
              <w:right w:val="nil"/>
            </w:tcBorders>
            <w:vAlign w:val="center"/>
          </w:tcPr>
          <w:p w14:paraId="388A16B1">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强</w:t>
            </w:r>
          </w:p>
        </w:tc>
        <w:tc>
          <w:tcPr>
            <w:tcW w:w="883" w:type="pct"/>
            <w:tcBorders>
              <w:top w:val="nil"/>
              <w:left w:val="nil"/>
              <w:bottom w:val="nil"/>
              <w:right w:val="nil"/>
            </w:tcBorders>
            <w:vAlign w:val="center"/>
          </w:tcPr>
          <w:p w14:paraId="6B85603A">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χ² = 10.23***</w:t>
            </w:r>
          </w:p>
        </w:tc>
      </w:tr>
      <w:tr w14:paraId="0FF03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2" w:type="pct"/>
            <w:vMerge w:val="continue"/>
            <w:tcBorders>
              <w:left w:val="nil"/>
              <w:bottom w:val="nil"/>
              <w:right w:val="nil"/>
            </w:tcBorders>
            <w:vAlign w:val="center"/>
          </w:tcPr>
          <w:p w14:paraId="16C9BB3B">
            <w:pPr>
              <w:jc w:val="center"/>
              <w:rPr>
                <w:rFonts w:hint="default" w:ascii="Times New Roman" w:hAnsi="Times New Roman" w:cs="Times New Roman"/>
                <w:color w:val="auto"/>
                <w:vertAlign w:val="baseline"/>
              </w:rPr>
            </w:pPr>
          </w:p>
        </w:tc>
        <w:tc>
          <w:tcPr>
            <w:tcW w:w="883" w:type="pct"/>
            <w:tcBorders>
              <w:top w:val="nil"/>
              <w:left w:val="nil"/>
              <w:bottom w:val="nil"/>
              <w:right w:val="nil"/>
            </w:tcBorders>
            <w:vAlign w:val="center"/>
          </w:tcPr>
          <w:p w14:paraId="3E74C3F5">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分析师覆盖多</w:t>
            </w:r>
          </w:p>
        </w:tc>
        <w:tc>
          <w:tcPr>
            <w:tcW w:w="506" w:type="pct"/>
            <w:tcBorders>
              <w:top w:val="nil"/>
              <w:left w:val="nil"/>
              <w:bottom w:val="nil"/>
              <w:right w:val="nil"/>
            </w:tcBorders>
            <w:vAlign w:val="center"/>
          </w:tcPr>
          <w:p w14:paraId="0C6DD667">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5,584</w:t>
            </w:r>
          </w:p>
        </w:tc>
        <w:tc>
          <w:tcPr>
            <w:tcW w:w="829" w:type="pct"/>
            <w:tcBorders>
              <w:top w:val="nil"/>
              <w:left w:val="nil"/>
              <w:bottom w:val="nil"/>
              <w:right w:val="nil"/>
            </w:tcBorders>
            <w:vAlign w:val="center"/>
          </w:tcPr>
          <w:p w14:paraId="629486F6">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1.098***</w:t>
            </w:r>
          </w:p>
        </w:tc>
        <w:tc>
          <w:tcPr>
            <w:tcW w:w="506" w:type="pct"/>
            <w:tcBorders>
              <w:top w:val="nil"/>
              <w:left w:val="nil"/>
              <w:bottom w:val="nil"/>
              <w:right w:val="nil"/>
            </w:tcBorders>
            <w:vAlign w:val="center"/>
          </w:tcPr>
          <w:p w14:paraId="7698C6DF">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(0.267)</w:t>
            </w:r>
          </w:p>
        </w:tc>
        <w:tc>
          <w:tcPr>
            <w:tcW w:w="757" w:type="pct"/>
            <w:tcBorders>
              <w:top w:val="nil"/>
              <w:left w:val="nil"/>
              <w:bottom w:val="nil"/>
              <w:right w:val="nil"/>
            </w:tcBorders>
            <w:vAlign w:val="center"/>
          </w:tcPr>
          <w:p w14:paraId="7F058FE7">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弱</w:t>
            </w:r>
          </w:p>
        </w:tc>
        <w:tc>
          <w:tcPr>
            <w:tcW w:w="883" w:type="pct"/>
            <w:tcBorders>
              <w:top w:val="nil"/>
              <w:left w:val="nil"/>
              <w:bottom w:val="nil"/>
              <w:right w:val="nil"/>
            </w:tcBorders>
            <w:vAlign w:val="center"/>
          </w:tcPr>
          <w:p w14:paraId="4A0008C0">
            <w:pPr>
              <w:jc w:val="center"/>
              <w:rPr>
                <w:rFonts w:hint="default" w:ascii="Times New Roman" w:hAnsi="Times New Roman" w:cs="Times New Roman"/>
                <w:color w:val="auto"/>
                <w:vertAlign w:val="baseline"/>
              </w:rPr>
            </w:pPr>
          </w:p>
        </w:tc>
      </w:tr>
      <w:tr w14:paraId="01E1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2" w:type="pct"/>
            <w:vMerge w:val="restart"/>
            <w:tcBorders>
              <w:top w:val="nil"/>
              <w:left w:val="nil"/>
              <w:right w:val="nil"/>
            </w:tcBorders>
            <w:vAlign w:val="center"/>
          </w:tcPr>
          <w:p w14:paraId="12DF9BD4">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融资约束</w:t>
            </w:r>
          </w:p>
        </w:tc>
        <w:tc>
          <w:tcPr>
            <w:tcW w:w="883" w:type="pct"/>
            <w:tcBorders>
              <w:top w:val="nil"/>
              <w:left w:val="nil"/>
              <w:bottom w:val="nil"/>
              <w:right w:val="nil"/>
            </w:tcBorders>
            <w:vAlign w:val="center"/>
          </w:tcPr>
          <w:p w14:paraId="3C636DC0">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高融资约束</w:t>
            </w:r>
          </w:p>
        </w:tc>
        <w:tc>
          <w:tcPr>
            <w:tcW w:w="506" w:type="pct"/>
            <w:tcBorders>
              <w:top w:val="nil"/>
              <w:left w:val="nil"/>
              <w:bottom w:val="nil"/>
              <w:right w:val="nil"/>
            </w:tcBorders>
            <w:vAlign w:val="center"/>
          </w:tcPr>
          <w:p w14:paraId="1F3E2339">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3,478</w:t>
            </w:r>
          </w:p>
        </w:tc>
        <w:tc>
          <w:tcPr>
            <w:tcW w:w="829" w:type="pct"/>
            <w:tcBorders>
              <w:top w:val="nil"/>
              <w:left w:val="nil"/>
              <w:bottom w:val="nil"/>
              <w:right w:val="nil"/>
            </w:tcBorders>
            <w:vAlign w:val="center"/>
          </w:tcPr>
          <w:p w14:paraId="688132DE">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2.089***</w:t>
            </w:r>
          </w:p>
        </w:tc>
        <w:tc>
          <w:tcPr>
            <w:tcW w:w="506" w:type="pct"/>
            <w:tcBorders>
              <w:top w:val="nil"/>
              <w:left w:val="nil"/>
              <w:bottom w:val="nil"/>
              <w:right w:val="nil"/>
            </w:tcBorders>
            <w:vAlign w:val="center"/>
          </w:tcPr>
          <w:p w14:paraId="5CB2DFCB">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(0.376)</w:t>
            </w:r>
          </w:p>
        </w:tc>
        <w:tc>
          <w:tcPr>
            <w:tcW w:w="757" w:type="pct"/>
            <w:tcBorders>
              <w:top w:val="nil"/>
              <w:left w:val="nil"/>
              <w:bottom w:val="nil"/>
              <w:right w:val="nil"/>
            </w:tcBorders>
            <w:vAlign w:val="center"/>
          </w:tcPr>
          <w:p w14:paraId="228FC8FD">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强</w:t>
            </w:r>
          </w:p>
        </w:tc>
        <w:tc>
          <w:tcPr>
            <w:tcW w:w="883" w:type="pct"/>
            <w:tcBorders>
              <w:top w:val="nil"/>
              <w:left w:val="nil"/>
              <w:bottom w:val="nil"/>
              <w:right w:val="nil"/>
            </w:tcBorders>
            <w:vAlign w:val="center"/>
          </w:tcPr>
          <w:p w14:paraId="5BCF83DA">
            <w:pPr>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χ² = 7.89***</w:t>
            </w:r>
          </w:p>
        </w:tc>
      </w:tr>
      <w:tr w14:paraId="219ED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2" w:type="pct"/>
            <w:vMerge w:val="continue"/>
            <w:tcBorders>
              <w:left w:val="nil"/>
              <w:bottom w:val="single" w:color="auto" w:sz="12" w:space="0"/>
              <w:right w:val="nil"/>
            </w:tcBorders>
            <w:vAlign w:val="center"/>
          </w:tcPr>
          <w:p w14:paraId="5C408923">
            <w:pPr>
              <w:jc w:val="center"/>
              <w:rPr>
                <w:rFonts w:hint="default" w:ascii="Times New Roman" w:hAnsi="Times New Roman" w:cs="Times New Roman"/>
                <w:color w:val="auto"/>
                <w:vertAlign w:val="baseline"/>
              </w:rPr>
            </w:pPr>
          </w:p>
        </w:tc>
        <w:tc>
          <w:tcPr>
            <w:tcW w:w="883" w:type="pct"/>
            <w:tcBorders>
              <w:top w:val="nil"/>
              <w:left w:val="nil"/>
              <w:bottom w:val="single" w:color="auto" w:sz="12" w:space="0"/>
              <w:right w:val="nil"/>
            </w:tcBorders>
            <w:vAlign w:val="center"/>
          </w:tcPr>
          <w:p w14:paraId="3A5CCF31">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低融资约束</w:t>
            </w:r>
          </w:p>
        </w:tc>
        <w:tc>
          <w:tcPr>
            <w:tcW w:w="506" w:type="pct"/>
            <w:tcBorders>
              <w:top w:val="nil"/>
              <w:left w:val="nil"/>
              <w:bottom w:val="single" w:color="auto" w:sz="12" w:space="0"/>
              <w:right w:val="nil"/>
            </w:tcBorders>
            <w:vAlign w:val="center"/>
          </w:tcPr>
          <w:p w14:paraId="6A495653">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5,262</w:t>
            </w:r>
          </w:p>
        </w:tc>
        <w:tc>
          <w:tcPr>
            <w:tcW w:w="829" w:type="pct"/>
            <w:tcBorders>
              <w:top w:val="nil"/>
              <w:left w:val="nil"/>
              <w:bottom w:val="single" w:color="auto" w:sz="12" w:space="0"/>
              <w:right w:val="nil"/>
            </w:tcBorders>
            <w:vAlign w:val="center"/>
          </w:tcPr>
          <w:p w14:paraId="2A92D9B8">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1.334***</w:t>
            </w:r>
          </w:p>
        </w:tc>
        <w:tc>
          <w:tcPr>
            <w:tcW w:w="506" w:type="pct"/>
            <w:tcBorders>
              <w:top w:val="nil"/>
              <w:left w:val="nil"/>
              <w:bottom w:val="single" w:color="auto" w:sz="12" w:space="0"/>
              <w:right w:val="nil"/>
            </w:tcBorders>
            <w:vAlign w:val="center"/>
          </w:tcPr>
          <w:p w14:paraId="3252E2AC">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(0.289)</w:t>
            </w:r>
          </w:p>
        </w:tc>
        <w:tc>
          <w:tcPr>
            <w:tcW w:w="757" w:type="pct"/>
            <w:tcBorders>
              <w:top w:val="nil"/>
              <w:left w:val="nil"/>
              <w:bottom w:val="single" w:color="auto" w:sz="12" w:space="0"/>
              <w:right w:val="nil"/>
            </w:tcBorders>
            <w:vAlign w:val="center"/>
          </w:tcPr>
          <w:p w14:paraId="3B04DD07">
            <w:pPr>
              <w:keepNext w:val="0"/>
              <w:keepLines w:val="0"/>
              <w:widowControl/>
              <w:suppressLineNumbers w:val="0"/>
              <w:spacing w:line="375" w:lineRule="atLeast"/>
              <w:jc w:val="center"/>
              <w:rPr>
                <w:rFonts w:hint="default" w:ascii="Times New Roman" w:hAnsi="Times New Roman" w:cs="Times New Roman"/>
                <w:color w:val="auto"/>
                <w:vertAlign w:val="baseline"/>
              </w:rPr>
            </w:pPr>
            <w:r>
              <w:rPr>
                <w:rFonts w:hint="default" w:ascii="Times New Roman" w:hAnsi="Times New Roman" w:cs="Times New Roman" w:eastAsiaTheme="minorEastAsia"/>
                <w:color w:val="auto"/>
                <w:kern w:val="2"/>
                <w:sz w:val="21"/>
                <w:szCs w:val="24"/>
                <w:lang w:val="en-US" w:eastAsia="zh-CN" w:bidi="ar-SA"/>
              </w:rPr>
              <w:t>中等</w:t>
            </w:r>
          </w:p>
        </w:tc>
        <w:tc>
          <w:tcPr>
            <w:tcW w:w="883" w:type="pct"/>
            <w:tcBorders>
              <w:top w:val="nil"/>
              <w:left w:val="nil"/>
              <w:bottom w:val="single" w:color="auto" w:sz="12" w:space="0"/>
              <w:right w:val="nil"/>
            </w:tcBorders>
            <w:vAlign w:val="center"/>
          </w:tcPr>
          <w:p w14:paraId="17309886">
            <w:pPr>
              <w:jc w:val="center"/>
              <w:rPr>
                <w:rFonts w:hint="default" w:ascii="Times New Roman" w:hAnsi="Times New Roman" w:cs="Times New Roman"/>
                <w:color w:val="auto"/>
                <w:vertAlign w:val="baseline"/>
              </w:rPr>
            </w:pPr>
          </w:p>
        </w:tc>
      </w:tr>
    </w:tbl>
    <w:p w14:paraId="35951A90">
      <w:pPr>
        <w:rPr>
          <w:rFonts w:hint="default" w:ascii="Times New Roman" w:hAnsi="Times New Roman" w:cs="Times New Roman"/>
          <w:color w:val="auto"/>
        </w:rPr>
      </w:pPr>
      <w:r>
        <w:rPr>
          <w:rFonts w:hint="default" w:ascii="Times New Roman" w:hAnsi="Times New Roman" w:cs="Times New Roman"/>
          <w:color w:val="auto"/>
        </w:rPr>
        <w:t>注：经济显著性判断标准：系数&gt;2.0为"强"，1.5-2.0为"中等"，&lt;1.5为"弱"。</w:t>
      </w:r>
    </w:p>
    <w:p w14:paraId="7EE0ECC0">
      <w:pPr>
        <w:ind w:firstLine="420" w:firstLineChars="200"/>
        <w:rPr>
          <w:rFonts w:hint="default" w:ascii="Times New Roman" w:hAnsi="Times New Roman" w:cs="Times New Roman"/>
          <w:color w:val="auto"/>
        </w:rPr>
      </w:pPr>
      <w:r>
        <w:rPr>
          <w:rFonts w:hint="default" w:ascii="Times New Roman" w:hAnsi="Times New Roman" w:cs="Times New Roman"/>
          <w:color w:val="auto"/>
        </w:rPr>
        <w:t>异质性分析结果强有力支持了研究假设H3。在跨行业并购样本中，IA_Text系数（2.134）显著高于同行业并购（1.287），验证了行业知识壁垒加剧信息不对称影响的预期。非关联交易中的效应（1.956）也显著强于关联交易（1.423），表明既有关系能够缓解信息不对称问题。更重要的是，信息环境差的企业（分析师覆盖少）和融资约束高的企业表现出更强的信息不对称效应，说明外部监督和内部资源在风险传导中发挥调节作用。所有组间差异检验均统计显著，证实了异质性的存在。</w:t>
      </w:r>
    </w:p>
    <w:p w14:paraId="7B7FE9C8">
      <w:pPr>
        <w:jc w:val="center"/>
        <w:rPr>
          <w:rFonts w:hint="default" w:ascii="Times New Roman" w:hAnsi="Times New Roman" w:cs="Times New Roman" w:eastAsiaTheme="minorEastAsia"/>
          <w:color w:val="auto"/>
          <w:lang w:eastAsia="zh-CN"/>
        </w:rPr>
      </w:pPr>
      <w:r>
        <w:rPr>
          <w:rFonts w:hint="default" w:ascii="Times New Roman" w:hAnsi="Times New Roman" w:cs="Times New Roman" w:eastAsiaTheme="minorEastAsia"/>
          <w:color w:val="auto"/>
          <w:lang w:eastAsia="zh-CN"/>
        </w:rPr>
        <w:drawing>
          <wp:inline distT="0" distB="0" distL="114300" distR="114300">
            <wp:extent cx="4499610" cy="3599815"/>
            <wp:effectExtent l="0" t="0" r="15240" b="635"/>
            <wp:docPr id="20" name="图片 2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
                    <pic:cNvPicPr>
                      <a:picLocks noChangeAspect="1"/>
                    </pic:cNvPicPr>
                  </pic:nvPicPr>
                  <pic:blipFill>
                    <a:blip r:embed="rId11"/>
                    <a:stretch>
                      <a:fillRect/>
                    </a:stretch>
                  </pic:blipFill>
                  <pic:spPr>
                    <a:xfrm>
                      <a:off x="0" y="0"/>
                      <a:ext cx="4499610" cy="3599815"/>
                    </a:xfrm>
                    <a:prstGeom prst="rect">
                      <a:avLst/>
                    </a:prstGeom>
                  </pic:spPr>
                </pic:pic>
              </a:graphicData>
            </a:graphic>
          </wp:inline>
        </w:drawing>
      </w:r>
    </w:p>
    <w:p w14:paraId="2C1C37A5">
      <w:pPr>
        <w:jc w:val="center"/>
        <w:rPr>
          <w:rFonts w:hint="default" w:ascii="Times New Roman" w:hAnsi="Times New Roman" w:cs="Times New Roman"/>
          <w:color w:val="auto"/>
        </w:rPr>
      </w:pPr>
      <w:r>
        <w:rPr>
          <w:rFonts w:hint="default" w:ascii="Times New Roman" w:hAnsi="Times New Roman" w:cs="Times New Roman"/>
          <w:color w:val="auto"/>
          <w:lang w:val="en-US" w:eastAsia="zh-CN"/>
        </w:rPr>
        <w:t xml:space="preserve">图8 </w:t>
      </w:r>
      <w:r>
        <w:rPr>
          <w:rFonts w:hint="default" w:ascii="Times New Roman" w:hAnsi="Times New Roman" w:cs="Times New Roman"/>
          <w:color w:val="auto"/>
        </w:rPr>
        <w:t>信息不对称效应的异质性分析</w:t>
      </w:r>
    </w:p>
    <w:p w14:paraId="49C70E0F">
      <w:pPr>
        <w:ind w:firstLine="420" w:firstLineChars="200"/>
        <w:rPr>
          <w:rFonts w:hint="default" w:ascii="Times New Roman" w:hAnsi="Times New Roman" w:cs="Times New Roman"/>
          <w:color w:val="auto"/>
        </w:rPr>
      </w:pPr>
      <w:r>
        <w:rPr>
          <w:rFonts w:hint="default" w:ascii="Times New Roman" w:hAnsi="Times New Roman" w:cs="Times New Roman"/>
          <w:color w:val="auto"/>
          <w:lang w:val="en-US" w:eastAsia="zh-CN"/>
        </w:rPr>
        <w:t>图8</w:t>
      </w:r>
      <w:r>
        <w:rPr>
          <w:rFonts w:hint="default" w:ascii="Times New Roman" w:hAnsi="Times New Roman" w:cs="Times New Roman"/>
          <w:color w:val="auto"/>
        </w:rPr>
        <w:t>展示了信息不对称效应在不同群体间的显著差异。在所有五个维度上，高风险组（跨行业、非关联、小规模、信息环境差、融资约束高）的IA_Text系数均显著高于低风险组，组间差异均达到统计显著性水平。特别值得注意的是，小规模企业和信息环境差的企业系数超过2.2，表明这些群体对信息不对称尤为敏感。图表中的经济显著性区域划分进一步突出了不同群体的风险暴露程度，为针对性风险管理提供了重要依据。</w:t>
      </w:r>
    </w:p>
    <w:p w14:paraId="5B3653C6">
      <w:pPr>
        <w:jc w:val="center"/>
        <w:rPr>
          <w:rFonts w:hint="default" w:ascii="Times New Roman" w:hAnsi="Times New Roman" w:cs="Times New Roman" w:eastAsiaTheme="minorEastAsia"/>
          <w:color w:val="auto"/>
          <w:lang w:eastAsia="zh-CN"/>
        </w:rPr>
      </w:pPr>
      <w:r>
        <w:rPr>
          <w:rFonts w:hint="default" w:ascii="Times New Roman" w:hAnsi="Times New Roman" w:cs="Times New Roman" w:eastAsiaTheme="minorEastAsia"/>
          <w:color w:val="auto"/>
          <w:lang w:eastAsia="zh-CN"/>
        </w:rPr>
        <w:drawing>
          <wp:inline distT="0" distB="0" distL="114300" distR="114300">
            <wp:extent cx="5267325" cy="2106930"/>
            <wp:effectExtent l="0" t="0" r="9525" b="7620"/>
            <wp:docPr id="21" name="图片 2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
                    <pic:cNvPicPr>
                      <a:picLocks noChangeAspect="1"/>
                    </pic:cNvPicPr>
                  </pic:nvPicPr>
                  <pic:blipFill>
                    <a:blip r:embed="rId12"/>
                    <a:stretch>
                      <a:fillRect/>
                    </a:stretch>
                  </pic:blipFill>
                  <pic:spPr>
                    <a:xfrm>
                      <a:off x="0" y="0"/>
                      <a:ext cx="5267325" cy="2106930"/>
                    </a:xfrm>
                    <a:prstGeom prst="rect">
                      <a:avLst/>
                    </a:prstGeom>
                  </pic:spPr>
                </pic:pic>
              </a:graphicData>
            </a:graphic>
          </wp:inline>
        </w:drawing>
      </w:r>
    </w:p>
    <w:p w14:paraId="24A84410">
      <w:pPr>
        <w:jc w:val="center"/>
        <w:rPr>
          <w:rFonts w:hint="default" w:ascii="Times New Roman" w:hAnsi="Times New Roman" w:cs="Times New Roman"/>
          <w:color w:val="auto"/>
        </w:rPr>
      </w:pPr>
      <w:r>
        <w:rPr>
          <w:rFonts w:hint="default" w:ascii="Times New Roman" w:hAnsi="Times New Roman" w:cs="Times New Roman"/>
          <w:color w:val="auto"/>
          <w:lang w:val="en-US" w:eastAsia="zh-CN"/>
        </w:rPr>
        <w:t xml:space="preserve">图9 </w:t>
      </w:r>
      <w:r>
        <w:rPr>
          <w:rFonts w:hint="default" w:ascii="Times New Roman" w:hAnsi="Times New Roman" w:cs="Times New Roman"/>
          <w:color w:val="auto"/>
        </w:rPr>
        <w:t>调节效应交互作用分析</w:t>
      </w:r>
    </w:p>
    <w:p w14:paraId="7A2320CD">
      <w:pPr>
        <w:ind w:firstLine="420" w:firstLineChars="200"/>
        <w:rPr>
          <w:rFonts w:hint="default" w:ascii="Times New Roman" w:hAnsi="Times New Roman" w:cs="Times New Roman"/>
          <w:color w:val="auto"/>
        </w:rPr>
      </w:pPr>
      <w:r>
        <w:rPr>
          <w:rFonts w:hint="default" w:ascii="Times New Roman" w:hAnsi="Times New Roman" w:cs="Times New Roman"/>
          <w:color w:val="auto"/>
          <w:lang w:val="en-US" w:eastAsia="zh-CN"/>
        </w:rPr>
        <w:t>图9</w:t>
      </w:r>
      <w:r>
        <w:rPr>
          <w:rFonts w:hint="default" w:ascii="Times New Roman" w:hAnsi="Times New Roman" w:cs="Times New Roman"/>
          <w:color w:val="auto"/>
        </w:rPr>
        <w:t>展示了交易类型和信息环境在信息不对称与破产风险关系中的调节作用。左图显示，在相同的信息不对称水平下，跨行业并购的破产概率显著高于同行业并购，且随着信息不对称程度增加，两者差距进一步扩大。右图表明，信息环境差的企业（分析师覆盖少）对信息不对称更为敏感，破产概率上升更快。两个调节变量的效应强度均超过100%，说明这些因素不仅影响风险水平，还显著改变了风险传导的敏感性。</w:t>
      </w:r>
    </w:p>
    <w:p w14:paraId="2A7E4E72">
      <w:pPr>
        <w:rPr>
          <w:rFonts w:hint="default" w:ascii="Times New Roman" w:hAnsi="Times New Roman" w:cs="Times New Roman"/>
          <w:color w:val="auto"/>
        </w:rPr>
      </w:pPr>
    </w:p>
    <w:p w14:paraId="3CB201A0">
      <w:pPr>
        <w:rPr>
          <w:rFonts w:hint="default" w:ascii="Times New Roman" w:hAnsi="Times New Roman" w:cs="Times New Roman"/>
          <w:color w:val="auto"/>
        </w:rPr>
      </w:pPr>
    </w:p>
    <w:p w14:paraId="1864C2EE">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eastAsia="黑体" w:cs="Times New Roman"/>
          <w:b/>
          <w:bCs/>
          <w:color w:val="auto"/>
          <w:sz w:val="32"/>
          <w:szCs w:val="32"/>
          <w:lang w:val="en-US" w:eastAsia="zh-CN"/>
        </w:rPr>
      </w:pPr>
      <w:bookmarkStart w:id="35" w:name="_Toc17239"/>
      <w:r>
        <w:rPr>
          <w:rFonts w:hint="default" w:ascii="Times New Roman" w:hAnsi="Times New Roman" w:eastAsia="黑体" w:cs="Times New Roman"/>
          <w:b/>
          <w:bCs/>
          <w:color w:val="auto"/>
          <w:sz w:val="32"/>
          <w:szCs w:val="32"/>
          <w:lang w:val="en-US" w:eastAsia="zh-CN"/>
        </w:rPr>
        <w:t>6.</w:t>
      </w:r>
      <w:r>
        <w:rPr>
          <w:rFonts w:hint="default" w:ascii="Times New Roman" w:hAnsi="Times New Roman" w:eastAsia="黑体" w:cs="Times New Roman"/>
          <w:b/>
          <w:bCs/>
          <w:color w:val="auto"/>
          <w:sz w:val="32"/>
          <w:szCs w:val="32"/>
          <w:lang w:val="en-US" w:eastAsia="zh-CN"/>
        </w:rPr>
        <w:t>结论与启示</w:t>
      </w:r>
      <w:bookmarkEnd w:id="35"/>
    </w:p>
    <w:p w14:paraId="6AA9A2C2">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lang w:val="en-US" w:eastAsia="zh-CN"/>
        </w:rPr>
      </w:pPr>
      <w:bookmarkStart w:id="36" w:name="_Toc3989"/>
      <w:r>
        <w:rPr>
          <w:rFonts w:hint="default" w:ascii="Times New Roman" w:hAnsi="Times New Roman" w:eastAsia="黑体" w:cs="Times New Roman"/>
          <w:color w:val="auto"/>
          <w:sz w:val="28"/>
          <w:szCs w:val="28"/>
          <w:lang w:val="en-US" w:eastAsia="zh-CN"/>
        </w:rPr>
        <w:t>6</w:t>
      </w:r>
      <w:r>
        <w:rPr>
          <w:rFonts w:hint="default" w:ascii="Times New Roman" w:hAnsi="Times New Roman" w:eastAsia="黑体" w:cs="Times New Roman"/>
          <w:color w:val="auto"/>
          <w:sz w:val="28"/>
          <w:szCs w:val="28"/>
          <w:lang w:val="en-US" w:eastAsia="zh-CN"/>
        </w:rPr>
        <w:t>.1研究结论</w:t>
      </w:r>
      <w:bookmarkEnd w:id="36"/>
    </w:p>
    <w:p w14:paraId="7120FC58">
      <w:pPr>
        <w:ind w:firstLine="420" w:firstLineChars="200"/>
        <w:rPr>
          <w:rFonts w:hint="default" w:ascii="Times New Roman" w:hAnsi="Times New Roman" w:cs="Times New Roman"/>
          <w:color w:val="auto"/>
        </w:rPr>
      </w:pPr>
      <w:r>
        <w:rPr>
          <w:rFonts w:hint="default" w:ascii="Times New Roman" w:hAnsi="Times New Roman" w:cs="Times New Roman"/>
          <w:color w:val="auto"/>
        </w:rPr>
        <w:t>本研究通过系统性的理论构建与实证检验，得出以下核心结论：基于并购文件文本分析构建的信息不对称指数与并购后企业的破产风险存在显著正相关关系，这一结论在控制传统财务变量、交易特征及宏观因素后依然高度稳健；文本信息在破产风险预测中提供了显著的增量信息，其预测能力显著优于仅依赖传统财务指标的基准模型，凸显了非结构化文本数据在风险识别中的独特价值；信息不对称主要通过引发并购后整合困难、未预期负债、盈利能力下滑及融资成本上升等中间渠道间接推高破产风险；此外，该负面效应在跨行业并购、非关联交易、信息环境较差及融资约束较高的企业中表现得尤为突出，证实了信息不对称风险的异质性特征。本研究从理论、方法与实践层面为理解并购活动中的信息风险及其经济后果提供了创新性见解。</w:t>
      </w:r>
    </w:p>
    <w:p w14:paraId="3571C01A">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黑体" w:cs="Times New Roman"/>
          <w:color w:val="auto"/>
          <w:sz w:val="28"/>
          <w:szCs w:val="28"/>
          <w:lang w:val="en-US" w:eastAsia="zh-CN"/>
        </w:rPr>
      </w:pPr>
      <w:bookmarkStart w:id="37" w:name="_Toc19239"/>
      <w:r>
        <w:rPr>
          <w:rFonts w:hint="default" w:ascii="Times New Roman" w:hAnsi="Times New Roman" w:eastAsia="黑体" w:cs="Times New Roman"/>
          <w:color w:val="auto"/>
          <w:sz w:val="28"/>
          <w:szCs w:val="28"/>
          <w:lang w:val="en-US" w:eastAsia="zh-CN"/>
        </w:rPr>
        <w:t>6</w:t>
      </w:r>
      <w:r>
        <w:rPr>
          <w:rFonts w:hint="default" w:ascii="Times New Roman" w:hAnsi="Times New Roman" w:eastAsia="黑体" w:cs="Times New Roman"/>
          <w:color w:val="auto"/>
          <w:sz w:val="28"/>
          <w:szCs w:val="28"/>
          <w:lang w:val="en-US" w:eastAsia="zh-CN"/>
        </w:rPr>
        <w:t>.2政策与实务启示</w:t>
      </w:r>
      <w:bookmarkEnd w:id="37"/>
    </w:p>
    <w:p w14:paraId="76221958">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38" w:name="_Toc17149"/>
      <w:r>
        <w:rPr>
          <w:rFonts w:hint="default" w:ascii="Times New Roman" w:hAnsi="Times New Roman" w:eastAsia="黑体" w:cs="Times New Roman"/>
          <w:color w:val="auto"/>
          <w:lang w:val="en-US" w:eastAsia="zh-CN"/>
        </w:rPr>
        <w:t>6.2.1对投资者的启示</w:t>
      </w:r>
      <w:bookmarkEnd w:id="38"/>
    </w:p>
    <w:p w14:paraId="6EAEAA9E">
      <w:pPr>
        <w:ind w:firstLine="420" w:firstLineChars="200"/>
        <w:rPr>
          <w:rFonts w:hint="default" w:ascii="Times New Roman" w:hAnsi="Times New Roman" w:cs="Times New Roman"/>
          <w:color w:val="auto"/>
        </w:rPr>
      </w:pPr>
      <w:r>
        <w:rPr>
          <w:rFonts w:hint="default" w:ascii="Times New Roman" w:hAnsi="Times New Roman" w:cs="Times New Roman"/>
          <w:color w:val="auto"/>
        </w:rPr>
        <w:t>本研究为投资者在并购重组背景下的风险评估与决策优化提供了重要的实践启示。首先，投资者应超越传统财务指标，将文本信息不对称纳入投资分析框架。实证结果表明，基于并购文件文本分析的信息不对称指数（IA_Text）对破产风险具有显著的增量预测能力（AUC提升至0.841）[18]，这意味着单纯依赖财务报表分析已不足以全面评估并购交易的风险敞口。投资者应当建立系统的文本分析流程，重点关注并购协议、10-K和S-4文件中的不确定性表述、风险提示和模糊性语言，特别是与"或有事项"、"潜在负债"和"整合挑战"相关的文本内容[2]。例如，当并购文件中频繁出现"可能"、"不确定"、"视情况而定"等模糊表述时，往往预示着较高的信息风险，投资者应相应调高风险溢价要求或重新评估投资可行性。</w:t>
      </w:r>
    </w:p>
    <w:p w14:paraId="49601E09">
      <w:pPr>
        <w:ind w:firstLine="420" w:firstLineChars="200"/>
        <w:rPr>
          <w:rFonts w:hint="default" w:ascii="Times New Roman" w:hAnsi="Times New Roman" w:cs="Times New Roman"/>
          <w:color w:val="auto"/>
        </w:rPr>
      </w:pPr>
      <w:r>
        <w:rPr>
          <w:rFonts w:hint="default" w:ascii="Times New Roman" w:hAnsi="Times New Roman" w:cs="Times New Roman"/>
          <w:color w:val="auto"/>
        </w:rPr>
        <w:t>其次，投资者需要根据交易特征的异质性实施差异化的风险评估策略。研究发现信息不对称的负面影响在跨行业并购和非关联交易中尤为显著[6]，这要求投资者在面对此类交易时采取更严格的信息验证程序。具体而言，对于跨行业并购，投资者应聘请行业专家协助解读技术性文本内容，深入分析并购方是否具备管理跨行业业务的能力；对于非关联交易，则应加强第三方尽职调查，通过多个信息渠道交叉验证文本信息的真实性。此外，研究显示信息环境较差（分析师覆盖少）的企业对信息不对称更为敏感[7]，投资者对此类标的应要求更高的信息透明度，必要时可通过股东权利争取更充分的信息披露。</w:t>
      </w:r>
    </w:p>
    <w:p w14:paraId="3728C4E6">
      <w:pPr>
        <w:ind w:firstLine="420" w:firstLineChars="200"/>
        <w:rPr>
          <w:rFonts w:hint="default" w:ascii="Times New Roman" w:hAnsi="Times New Roman" w:cs="Times New Roman"/>
          <w:color w:val="auto"/>
        </w:rPr>
      </w:pPr>
      <w:r>
        <w:rPr>
          <w:rFonts w:hint="default" w:ascii="Times New Roman" w:hAnsi="Times New Roman" w:cs="Times New Roman"/>
          <w:color w:val="auto"/>
        </w:rPr>
        <w:t>最后，投资者应充分利用机器学习等先进技术提升风险识别的效率和准确性。本研究证明，结合文本特征的机器学习模型（如XGBoost、随机森林）在破产预测中显著优于传统模型[20]。在实践中，投资者可开发或采用专业的文本分析工具，自动提取和量化并购文件中的风险信号，建立动态的风险预警系统。同时，特征重要性分析显示文本不确定性比例和文本相似度等指标具有重要预测价值[5]，投资者应将这些指标纳入常规监控体系。值得注意的是，在融资约束较高的企业中，信息不对称效应更为强烈[12]，这表明投资者在评估高杠杆并购交易时，需要特别关注文本信息中隐含的流动性风险信号，并将其与财务杠杆指标结合分析，构建更全面的风险评估框架。</w:t>
      </w:r>
    </w:p>
    <w:p w14:paraId="0B70ADF6">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39" w:name="_Toc31113"/>
      <w:r>
        <w:rPr>
          <w:rFonts w:hint="default" w:ascii="Times New Roman" w:hAnsi="Times New Roman" w:eastAsia="黑体" w:cs="Times New Roman"/>
          <w:color w:val="auto"/>
          <w:lang w:val="en-US" w:eastAsia="zh-CN"/>
        </w:rPr>
        <w:t>6.2.2对企业管理层的启示</w:t>
      </w:r>
      <w:bookmarkEnd w:id="39"/>
    </w:p>
    <w:p w14:paraId="66D2E5A8">
      <w:pPr>
        <w:ind w:firstLine="420" w:firstLineChars="200"/>
        <w:rPr>
          <w:rFonts w:hint="default" w:ascii="Times New Roman" w:hAnsi="Times New Roman" w:cs="Times New Roman"/>
          <w:color w:val="auto"/>
        </w:rPr>
      </w:pPr>
      <w:r>
        <w:rPr>
          <w:rFonts w:hint="default" w:ascii="Times New Roman" w:hAnsi="Times New Roman" w:cs="Times New Roman"/>
          <w:color w:val="auto"/>
        </w:rPr>
        <w:t>本研究为企业管理层在并购决策和整合过程中规避信息不对称风险提供了关键的实践指导。首先，管理层应当深刻认识到文本信息披露质量对并购后果的深远影响。实证结果显示，文本信息不对称会通过整合困难、未预期负债和现金流恶化等机制显著提升破产风险[1]，这意味着并购文件中的模糊表述和不确定性语言并非无成本的修辞策略，而是具有实质性经济后果的风险因素。管理层在编制并购相关文件时，应秉持透明度原则，谨慎使用模糊性和规避性表述，特别是在描述整合预期、协同效应和潜在负债时，应力求准确、具体和全面。例如，在S-4文件和并购协议中，应对整合时间表、文化融合挑战和或有负债进行清晰披露，避免因文本模糊导致后续的执行困难和法律风险[5]。</w:t>
      </w:r>
    </w:p>
    <w:p w14:paraId="6BFB63B7">
      <w:pPr>
        <w:ind w:firstLine="420" w:firstLineChars="200"/>
        <w:rPr>
          <w:rFonts w:hint="default" w:ascii="Times New Roman" w:hAnsi="Times New Roman" w:cs="Times New Roman"/>
          <w:color w:val="auto"/>
        </w:rPr>
      </w:pPr>
      <w:r>
        <w:rPr>
          <w:rFonts w:hint="default" w:ascii="Times New Roman" w:hAnsi="Times New Roman" w:cs="Times New Roman"/>
          <w:color w:val="auto"/>
        </w:rPr>
        <w:t>其次，管理层需要建立系统的信息风险管理体系，针对不同类型的并购交易实施差异化的风险控制措施。研究发现信息不对称效应在跨行业并购中尤为突出[15]，这要求管理层在实施多元化战略时，必须投入更多资源进行信息收集和验证。具体而言，在跨行业并购的前期，应组建包含行业专家的尽职调查团队，深入理解目标行业的特殊风险和运营模式；在整合阶段，应建立专门的信息沟通机制，及时发现和解决因行业知识差异导致的信息障碍。对于非关联交易，管理层应主动构建信息桥梁，通过延长尽职调查时间、引入战略投资者共同评估等方式弥补信息缺口[6]。此外，研究显示信息环境较好的企业受信息不对称的影响较小[7]，这表明管理层应持续优化投资者关系管理，保持与分析师的定期沟通，借助外部信息中介提升企业的信息透明度。</w:t>
      </w:r>
    </w:p>
    <w:p w14:paraId="47F6237C">
      <w:pPr>
        <w:ind w:firstLine="420" w:firstLineChars="200"/>
        <w:rPr>
          <w:rFonts w:hint="default" w:ascii="Times New Roman" w:hAnsi="Times New Roman" w:cs="Times New Roman"/>
          <w:color w:val="auto"/>
        </w:rPr>
      </w:pPr>
      <w:r>
        <w:rPr>
          <w:rFonts w:hint="default" w:ascii="Times New Roman" w:hAnsi="Times New Roman" w:cs="Times New Roman"/>
          <w:color w:val="auto"/>
        </w:rPr>
        <w:t>最后，管理层应当将文本分析技术融入内部风险控制系统，实现信息不对称的定量化管理和前瞻性防控。本研究证明机器学习方法能够有效识别文本中的风险信号，企业可借鉴这一思路，开发内部的文本风险监测工具。例如，在并购尽职调查阶段，可利用文本相似度分析评估双方文件的一致性，识别可能存在的信息矛盾；在整合阶段，可通过情感分析监控内部沟通文件，及时发现整合过程中的文化冲突和员工抵触情绪。特别重要的是，管理层应建立文本风险指标与财务风险的关联分析框架，当文本不确定性指数超过阈值时，触发相应的风险应对机制，如增加现金流缓冲、调整整合节奏或启动应急融资方案。通过将文本信息风险纳入企业全面风险管理体系，管理层能够更有效地防范并购活动中的"信息陷阱"，提升并购成功率与企业价值。</w:t>
      </w:r>
    </w:p>
    <w:p w14:paraId="173B05AC">
      <w:pPr>
        <w:keepNext w:val="0"/>
        <w:keepLines w:val="0"/>
        <w:pageBreakBefore w:val="0"/>
        <w:widowControl w:val="0"/>
        <w:kinsoku/>
        <w:wordWrap/>
        <w:overflowPunct/>
        <w:topLinePunct w:val="0"/>
        <w:autoSpaceDE/>
        <w:autoSpaceDN/>
        <w:bidi w:val="0"/>
        <w:adjustRightInd/>
        <w:snapToGrid/>
        <w:textAlignment w:val="auto"/>
        <w:outlineLvl w:val="2"/>
        <w:rPr>
          <w:rFonts w:hint="default" w:ascii="Times New Roman" w:hAnsi="Times New Roman" w:eastAsia="黑体" w:cs="Times New Roman"/>
          <w:color w:val="auto"/>
          <w:lang w:val="en-US" w:eastAsia="zh-CN"/>
        </w:rPr>
      </w:pPr>
      <w:bookmarkStart w:id="40" w:name="_Toc25263"/>
      <w:r>
        <w:rPr>
          <w:rFonts w:hint="default" w:ascii="Times New Roman" w:hAnsi="Times New Roman" w:eastAsia="黑体" w:cs="Times New Roman"/>
          <w:color w:val="auto"/>
          <w:lang w:val="en-US" w:eastAsia="zh-CN"/>
        </w:rPr>
        <w:t>6.2.3对监管机构的启示</w:t>
      </w:r>
      <w:bookmarkEnd w:id="40"/>
    </w:p>
    <w:p w14:paraId="3EA1C571">
      <w:pPr>
        <w:ind w:firstLine="420" w:firstLineChars="200"/>
        <w:rPr>
          <w:rFonts w:hint="default" w:ascii="Times New Roman" w:hAnsi="Times New Roman" w:cs="Times New Roman"/>
          <w:color w:val="auto"/>
        </w:rPr>
      </w:pPr>
      <w:r>
        <w:rPr>
          <w:rFonts w:hint="default" w:ascii="Times New Roman" w:hAnsi="Times New Roman" w:cs="Times New Roman"/>
          <w:color w:val="auto"/>
        </w:rPr>
        <w:t>本研究为监管机构完善并购重组监管框架和保护投资者权益提供了重要的政策启示。首先，监管机构应当推动信息披露规则从"形式合规"向"实质有效"转变，重点关注文本信息的质量和透明度。实证结果表明，文本信息不对称对投资者决策和市场稳定具有实质性影响[2]，现行以财务数据为核心的信息披露体系已不足以充分揭示并购交易的风险全貌。监管机构应考虑修订相关信息披露准则，要求上市公司在并购文件中更清晰、具体地披露整合风险、协同效应实现的不确定性以及潜在或有负债。例如，可借鉴管理层讨论与分析（MD&amp;A）的风险因素披露要求，强制要求并购文件设立专门章节，详细说明信息不对称的主要来源、可能影响及应对措施，并对模糊性、规避性表述实施更严格的监管审查[13]。</w:t>
      </w:r>
    </w:p>
    <w:p w14:paraId="10B2D653">
      <w:pPr>
        <w:ind w:firstLine="420" w:firstLineChars="200"/>
        <w:rPr>
          <w:rFonts w:hint="default" w:ascii="Times New Roman" w:hAnsi="Times New Roman" w:cs="Times New Roman"/>
          <w:color w:val="auto"/>
        </w:rPr>
      </w:pPr>
      <w:r>
        <w:rPr>
          <w:rFonts w:hint="default" w:ascii="Times New Roman" w:hAnsi="Times New Roman" w:cs="Times New Roman"/>
          <w:color w:val="auto"/>
        </w:rPr>
        <w:t>其次，监管机构需要基于信息不对称的异质性特征实施精准监管和差异化监督。研究发现跨行业并购、非关联交易以及信息环境较差的企业面临更严重的信息不对称问题，这提示监管资源应当向这些高风险领域倾斜。具体而言，对于跨行业并购交易，监管审核应重点关注行业知识差异可能导致的信息盲区，要求公司提供更详细的跨行业经营可行性分析；对于非关联交易，应强化关联关系声明的真实性审查，防范通过复杂交易结构掩盖实质关联关系的行为。同时，监管机构应建立基于文本分析的风险筛查机制，利用自然语言处理技术自动识别并购文件中的风险信号，对文本不确定性指数较高的交易实施重点审核。此外，研究显示分析师覆盖能够缓解信息不对称的负面影响，监管机构可通过政策引导鼓励证券分析师关注信息环境较差的上市公司，发挥信息中介的市场监督功能。</w:t>
      </w:r>
    </w:p>
    <w:p w14:paraId="604DF326">
      <w:pPr>
        <w:ind w:firstLine="420" w:firstLineChars="200"/>
        <w:rPr>
          <w:rFonts w:hint="default" w:ascii="Times New Roman" w:hAnsi="Times New Roman" w:cs="Times New Roman"/>
          <w:color w:val="auto"/>
        </w:rPr>
      </w:pPr>
      <w:r>
        <w:rPr>
          <w:rFonts w:hint="default" w:ascii="Times New Roman" w:hAnsi="Times New Roman" w:cs="Times New Roman"/>
          <w:color w:val="auto"/>
        </w:rPr>
        <w:t>最后，监管机构应积极拥抱监管科技，构建基于大数据和人工智能的新型监管范式。本研究证明机器学习方法在风险识别和预测方面具有显著优势，监管机构可借鉴这一技术路径，开发智能化的风险监测系统。例如，建立并购文本信息数据库，运用文本挖掘技术实时监控全市场并购交易的信息不对称状况；利用图神经网络分析并购交易中各方法体关系的复杂性，识别潜在的利益输送和风险隐藏行为。在监管实践中，可考虑引入"文本风险评级"制度，对并购文件的信息透明度进行量化评估，并将评估结果作为分类监管的参考依据。更重要的是，监管机构应加强跨部门协作，与证券交易所、注册会计师事务所和信用评级机构建立信息共享机制，共同构建多维度的信息风险防控体系。在破产风险防范方面，监管机构可基于本研究的预测模型，建立并购重组专项风险预警机制，对高风险交易实施早期干预，切实防范系统性金融风险，保护投资者合法权益。</w:t>
      </w:r>
    </w:p>
    <w:p w14:paraId="61253E4A">
      <w:pPr>
        <w:rPr>
          <w:rFonts w:hint="default" w:ascii="Times New Roman" w:hAnsi="Times New Roman" w:cs="Times New Roman"/>
          <w:color w:val="auto"/>
        </w:rPr>
      </w:pPr>
    </w:p>
    <w:p w14:paraId="62FA5605">
      <w:pPr>
        <w:rPr>
          <w:rFonts w:hint="default" w:ascii="Times New Roman" w:hAnsi="Times New Roman" w:cs="Times New Roman"/>
          <w:color w:val="auto"/>
        </w:rPr>
      </w:pPr>
    </w:p>
    <w:p w14:paraId="695F6382">
      <w:pPr>
        <w:rPr>
          <w:rFonts w:hint="default" w:ascii="Times New Roman" w:hAnsi="Times New Roman" w:cs="Times New Roman"/>
          <w:color w:val="auto"/>
        </w:rPr>
      </w:pPr>
    </w:p>
    <w:p w14:paraId="0A7BFD06">
      <w:pPr>
        <w:rPr>
          <w:rFonts w:hint="default" w:ascii="Times New Roman" w:hAnsi="Times New Roman" w:cs="Times New Roman"/>
          <w:color w:val="auto"/>
        </w:rPr>
      </w:pPr>
    </w:p>
    <w:p w14:paraId="6FB284F3">
      <w:pPr>
        <w:rPr>
          <w:rFonts w:hint="default" w:ascii="Times New Roman" w:hAnsi="Times New Roman" w:cs="Times New Roman"/>
          <w:color w:val="auto"/>
        </w:rPr>
      </w:pPr>
    </w:p>
    <w:p w14:paraId="675C3DDC">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eastAsia="黑体" w:cs="Times New Roman"/>
          <w:b/>
          <w:bCs/>
          <w:color w:val="auto"/>
          <w:sz w:val="32"/>
          <w:szCs w:val="32"/>
          <w:lang w:val="en-US" w:eastAsia="zh-CN"/>
        </w:rPr>
      </w:pPr>
      <w:bookmarkStart w:id="41" w:name="_Toc3089"/>
      <w:r>
        <w:rPr>
          <w:rFonts w:hint="default" w:ascii="Times New Roman" w:hAnsi="Times New Roman" w:eastAsia="黑体" w:cs="Times New Roman"/>
          <w:b/>
          <w:bCs/>
          <w:color w:val="auto"/>
          <w:sz w:val="32"/>
          <w:szCs w:val="32"/>
          <w:lang w:val="en-US" w:eastAsia="zh-CN"/>
        </w:rPr>
        <w:t>参考文献</w:t>
      </w:r>
      <w:bookmarkEnd w:id="41"/>
    </w:p>
    <w:p w14:paraId="0EC4EDAE">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1</w:t>
      </w:r>
      <w:r>
        <w:rPr>
          <w:rFonts w:hint="default" w:ascii="Times New Roman" w:hAnsi="Times New Roman" w:cs="Times New Roman"/>
          <w:color w:val="auto"/>
        </w:rPr>
        <w:t>]Asaoka Daisuke.Behavioral analysis of mergers and acquisitions</w:t>
      </w:r>
      <w:r>
        <w:rPr>
          <w:rFonts w:hint="default" w:ascii="Times New Roman" w:hAnsi="Times New Roman" w:cs="Times New Roman"/>
          <w:color w:val="auto"/>
          <w:lang w:val="en-US" w:eastAsia="zh-CN"/>
        </w:rPr>
        <w:t xml:space="preserve"> </w:t>
      </w:r>
      <w:r>
        <w:rPr>
          <w:rFonts w:hint="default" w:ascii="Times New Roman" w:hAnsi="Times New Roman" w:cs="Times New Roman"/>
          <w:color w:val="auto"/>
        </w:rPr>
        <w:t>decisions[J].  Corporate  Board  role  duties  and</w:t>
      </w:r>
      <w:r>
        <w:rPr>
          <w:rFonts w:hint="default" w:ascii="Times New Roman" w:hAnsi="Times New Roman" w:cs="Times New Roman"/>
          <w:color w:val="auto"/>
          <w:lang w:val="en-US" w:eastAsia="zh-CN"/>
        </w:rPr>
        <w:t xml:space="preserve"> </w:t>
      </w:r>
      <w:r>
        <w:rPr>
          <w:rFonts w:hint="default" w:ascii="Times New Roman" w:hAnsi="Times New Roman" w:cs="Times New Roman"/>
          <w:color w:val="auto"/>
        </w:rPr>
        <w:t>composition,2019,15(3).</w:t>
      </w:r>
    </w:p>
    <w:p w14:paraId="11AED854">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2</w:t>
      </w:r>
      <w:r>
        <w:rPr>
          <w:rFonts w:hint="default" w:ascii="Times New Roman" w:hAnsi="Times New Roman" w:cs="Times New Roman"/>
          <w:color w:val="auto"/>
        </w:rPr>
        <w:t>]Bi Xiao Gang. Make a promise: the valuation adjustment mechanism</w:t>
      </w:r>
      <w:r>
        <w:rPr>
          <w:rFonts w:hint="default" w:ascii="Times New Roman" w:hAnsi="Times New Roman" w:cs="Times New Roman"/>
          <w:color w:val="auto"/>
          <w:lang w:val="en-US" w:eastAsia="zh-CN"/>
        </w:rPr>
        <w:t xml:space="preserve"> </w:t>
      </w:r>
      <w:r>
        <w:rPr>
          <w:rFonts w:hint="default" w:ascii="Times New Roman" w:hAnsi="Times New Roman" w:cs="Times New Roman"/>
          <w:color w:val="auto"/>
        </w:rPr>
        <w:t>in Chinese private target acquisitions[J]. The European Journal of</w:t>
      </w:r>
      <w:r>
        <w:rPr>
          <w:rFonts w:hint="default" w:ascii="Times New Roman" w:hAnsi="Times New Roman" w:cs="Times New Roman"/>
          <w:color w:val="auto"/>
          <w:lang w:val="en-US" w:eastAsia="zh-CN"/>
        </w:rPr>
        <w:t xml:space="preserve"> </w:t>
      </w:r>
      <w:r>
        <w:rPr>
          <w:rFonts w:hint="default" w:ascii="Times New Roman" w:hAnsi="Times New Roman" w:cs="Times New Roman"/>
          <w:color w:val="auto"/>
        </w:rPr>
        <w:t>Finance,2021,27(16).</w:t>
      </w:r>
    </w:p>
    <w:p w14:paraId="3435ADA8">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3</w:t>
      </w:r>
      <w:r>
        <w:rPr>
          <w:rFonts w:hint="default" w:ascii="Times New Roman" w:hAnsi="Times New Roman" w:cs="Times New Roman"/>
          <w:color w:val="auto"/>
        </w:rPr>
        <w:t>]Bugeja Martin, Lu Meiting, Shan Yaowen et al. The probability of</w:t>
      </w:r>
      <w:r>
        <w:rPr>
          <w:rFonts w:hint="default" w:ascii="Times New Roman" w:hAnsi="Times New Roman" w:cs="Times New Roman"/>
          <w:color w:val="auto"/>
          <w:lang w:val="en-US" w:eastAsia="zh-CN"/>
        </w:rPr>
        <w:t xml:space="preserve"> </w:t>
      </w:r>
      <w:r>
        <w:rPr>
          <w:rFonts w:hint="default" w:ascii="Times New Roman" w:hAnsi="Times New Roman" w:cs="Times New Roman"/>
          <w:color w:val="auto"/>
        </w:rPr>
        <w:t>informed trading and mergers and acquisitions[J]. Accounting &amp;</w:t>
      </w:r>
      <w:r>
        <w:rPr>
          <w:rFonts w:hint="default" w:ascii="Times New Roman" w:hAnsi="Times New Roman" w:cs="Times New Roman"/>
          <w:color w:val="auto"/>
          <w:lang w:val="en-US" w:eastAsia="zh-CN"/>
        </w:rPr>
        <w:t xml:space="preserve"> </w:t>
      </w:r>
      <w:r>
        <w:rPr>
          <w:rFonts w:hint="default" w:ascii="Times New Roman" w:hAnsi="Times New Roman" w:cs="Times New Roman"/>
          <w:color w:val="auto"/>
        </w:rPr>
        <w:t>Finance,2019,61(1).</w:t>
      </w:r>
    </w:p>
    <w:p w14:paraId="039B0278">
      <w:pPr>
        <w:rPr>
          <w:rFonts w:hint="default" w:ascii="Times New Roman" w:hAnsi="Times New Roman" w:cs="Times New Roman"/>
          <w:color w:val="auto"/>
        </w:rPr>
      </w:pPr>
      <w:r>
        <w:rPr>
          <w:rFonts w:hint="default" w:ascii="Times New Roman" w:hAnsi="Times New Roman" w:cs="Times New Roman"/>
          <w:color w:val="auto"/>
        </w:rPr>
        <w:t>[4]Di Song, Jun Su, Chao Yang et al. Performance commitment in</w:t>
      </w:r>
      <w:r>
        <w:rPr>
          <w:rFonts w:hint="default" w:ascii="Times New Roman" w:hAnsi="Times New Roman" w:cs="Times New Roman"/>
          <w:color w:val="auto"/>
          <w:lang w:val="en-US" w:eastAsia="zh-CN"/>
        </w:rPr>
        <w:t xml:space="preserve"> </w:t>
      </w:r>
      <w:r>
        <w:rPr>
          <w:rFonts w:hint="default" w:ascii="Times New Roman" w:hAnsi="Times New Roman" w:cs="Times New Roman"/>
          <w:color w:val="auto"/>
        </w:rPr>
        <w:t>acquisitions, regulatory change and market crash risk–evidence</w:t>
      </w:r>
      <w:r>
        <w:rPr>
          <w:rFonts w:hint="default" w:ascii="Times New Roman" w:hAnsi="Times New Roman" w:cs="Times New Roman"/>
          <w:color w:val="auto"/>
          <w:lang w:val="en-US" w:eastAsia="zh-CN"/>
        </w:rPr>
        <w:t xml:space="preserve"> </w:t>
      </w:r>
      <w:r>
        <w:rPr>
          <w:rFonts w:hint="default" w:ascii="Times New Roman" w:hAnsi="Times New Roman" w:cs="Times New Roman"/>
          <w:color w:val="auto"/>
        </w:rPr>
        <w:t>from China[J]. Pacific-Basin Finance Journal,2019,57(C).</w:t>
      </w:r>
    </w:p>
    <w:p w14:paraId="5CD325F2">
      <w:pPr>
        <w:rPr>
          <w:rFonts w:hint="default" w:ascii="Times New Roman" w:hAnsi="Times New Roman" w:cs="Times New Roman"/>
          <w:color w:val="auto"/>
        </w:rPr>
      </w:pPr>
      <w:r>
        <w:rPr>
          <w:rFonts w:hint="default" w:ascii="Times New Roman" w:hAnsi="Times New Roman" w:cs="Times New Roman"/>
          <w:color w:val="auto"/>
        </w:rPr>
        <w:t>[5]Hongqi Yuan, Chong Gao, Haina Shi. Failure in performance</w:t>
      </w:r>
      <w:r>
        <w:rPr>
          <w:rFonts w:hint="default" w:ascii="Times New Roman" w:hAnsi="Times New Roman" w:cs="Times New Roman"/>
          <w:color w:val="auto"/>
          <w:lang w:val="en-US" w:eastAsia="zh-CN"/>
        </w:rPr>
        <w:t xml:space="preserve"> </w:t>
      </w:r>
      <w:r>
        <w:rPr>
          <w:rFonts w:hint="default" w:ascii="Times New Roman" w:hAnsi="Times New Roman" w:cs="Times New Roman"/>
          <w:color w:val="auto"/>
        </w:rPr>
        <w:t>commitment and goodwillimpairment: evidence from M&amp;As[J].China</w:t>
      </w:r>
      <w:r>
        <w:rPr>
          <w:rFonts w:hint="default" w:ascii="Times New Roman" w:hAnsi="Times New Roman" w:cs="Times New Roman"/>
          <w:color w:val="auto"/>
          <w:lang w:val="en-US" w:eastAsia="zh-CN"/>
        </w:rPr>
        <w:t xml:space="preserve"> </w:t>
      </w:r>
      <w:r>
        <w:rPr>
          <w:rFonts w:hint="default" w:ascii="Times New Roman" w:hAnsi="Times New Roman" w:cs="Times New Roman"/>
          <w:color w:val="auto"/>
        </w:rPr>
        <w:t>Journal of Accounting Studies.2020,8(02):183-213.</w:t>
      </w:r>
    </w:p>
    <w:p w14:paraId="79E43EE2">
      <w:pPr>
        <w:rPr>
          <w:rFonts w:hint="default" w:ascii="Times New Roman" w:hAnsi="Times New Roman" w:cs="Times New Roman"/>
          <w:color w:val="auto"/>
        </w:rPr>
      </w:pPr>
      <w:r>
        <w:rPr>
          <w:rFonts w:hint="default" w:ascii="Times New Roman" w:hAnsi="Times New Roman" w:cs="Times New Roman"/>
          <w:color w:val="auto"/>
        </w:rPr>
        <w:t>[6]Lin Lin. Contractual Innovation in China’s Venture Capital</w:t>
      </w:r>
      <w:r>
        <w:rPr>
          <w:rFonts w:hint="default" w:ascii="Times New Roman" w:hAnsi="Times New Roman" w:cs="Times New Roman"/>
          <w:color w:val="auto"/>
          <w:lang w:val="en-US" w:eastAsia="zh-CN"/>
        </w:rPr>
        <w:t xml:space="preserve"> </w:t>
      </w:r>
      <w:r>
        <w:rPr>
          <w:rFonts w:hint="default" w:ascii="Times New Roman" w:hAnsi="Times New Roman" w:cs="Times New Roman"/>
          <w:color w:val="auto"/>
        </w:rPr>
        <w:t>Market[J].European Business Organization Law Review,2020,21(1).</w:t>
      </w:r>
    </w:p>
    <w:p w14:paraId="0703E029">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7</w:t>
      </w:r>
      <w:r>
        <w:rPr>
          <w:rFonts w:hint="default" w:ascii="Times New Roman" w:hAnsi="Times New Roman" w:cs="Times New Roman"/>
          <w:color w:val="auto"/>
        </w:rPr>
        <w:t>] 刘俊海.论债权人友好型的公司退出制度重塑[J].政治与法律, 2025(6).</w:t>
      </w:r>
    </w:p>
    <w:p w14:paraId="1E5F19A3">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8</w:t>
      </w:r>
      <w:r>
        <w:rPr>
          <w:rFonts w:hint="default" w:ascii="Times New Roman" w:hAnsi="Times New Roman" w:cs="Times New Roman"/>
          <w:color w:val="auto"/>
        </w:rPr>
        <w:t>] 辛晓慧,欧国立,朱若愚.企业数字化转型,制度环境与股权融资成本[J].制度经济学研究, 2023(4):117-143.</w:t>
      </w:r>
    </w:p>
    <w:p w14:paraId="59AC055A">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9</w:t>
      </w:r>
      <w:r>
        <w:rPr>
          <w:rFonts w:hint="default" w:ascii="Times New Roman" w:hAnsi="Times New Roman" w:cs="Times New Roman"/>
          <w:color w:val="auto"/>
        </w:rPr>
        <w:t>] 胡秀群,邵玉枫.基于区块链技术的知识产权证券化风险管理分析[J].科技管理研究, 2023, 43(23):204-212.</w:t>
      </w:r>
    </w:p>
    <w:p w14:paraId="48B0576C">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10</w:t>
      </w:r>
      <w:r>
        <w:rPr>
          <w:rFonts w:hint="default" w:ascii="Times New Roman" w:hAnsi="Times New Roman" w:cs="Times New Roman"/>
          <w:color w:val="auto"/>
        </w:rPr>
        <w:t>] 臧曼亦.破产程序中金融债委会的功能价值与实现路径[J].  2023:88-104.</w:t>
      </w:r>
    </w:p>
    <w:p w14:paraId="24E2C9B9">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11</w:t>
      </w:r>
      <w:r>
        <w:rPr>
          <w:rFonts w:hint="default" w:ascii="Times New Roman" w:hAnsi="Times New Roman" w:cs="Times New Roman"/>
          <w:color w:val="auto"/>
        </w:rPr>
        <w:t>] 冯平平,张懿铭,扈衷权,等.基于区块链技术的绿色供应链融资策略研究[J].管理工程学报, 2025(4).</w:t>
      </w:r>
    </w:p>
    <w:p w14:paraId="4C7302AE">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12</w:t>
      </w:r>
      <w:r>
        <w:rPr>
          <w:rFonts w:hint="default" w:ascii="Times New Roman" w:hAnsi="Times New Roman" w:cs="Times New Roman"/>
          <w:color w:val="auto"/>
        </w:rPr>
        <w:t>] 胡刘芬,周泽将.宏观经济政策不确定背景下企业杠杆操纵决策研究[J].当代财经, 2024(12):83-97.</w:t>
      </w:r>
    </w:p>
    <w:p w14:paraId="5F8051F1">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13</w:t>
      </w:r>
      <w:r>
        <w:rPr>
          <w:rFonts w:hint="default" w:ascii="Times New Roman" w:hAnsi="Times New Roman" w:cs="Times New Roman"/>
          <w:color w:val="auto"/>
        </w:rPr>
        <w:t>] 陈瑛钰.非破产情形下股东出资加速到期的困境与出路[J].国际商务财会, 2022(4):3.DOI:10.3969/j.issn.1673-8594.2022.04.011.</w:t>
      </w:r>
    </w:p>
    <w:p w14:paraId="67CB80CA">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14</w:t>
      </w:r>
      <w:r>
        <w:rPr>
          <w:rFonts w:hint="default" w:ascii="Times New Roman" w:hAnsi="Times New Roman" w:cs="Times New Roman"/>
          <w:color w:val="auto"/>
        </w:rPr>
        <w:t>] 陈琪;李梦函.ESG评级能否提高企业韧性?——基于ESG评级事件的准自然实验[J].研究与发展管理, 2024(5).</w:t>
      </w:r>
    </w:p>
    <w:p w14:paraId="02D9178C">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15</w:t>
      </w:r>
      <w:r>
        <w:rPr>
          <w:rFonts w:hint="default" w:ascii="Times New Roman" w:hAnsi="Times New Roman" w:cs="Times New Roman"/>
          <w:color w:val="auto"/>
        </w:rPr>
        <w:t>] 郭飞宇,朱临轩,陈兆波.电商平台需求信息不同获取方式下供应链均衡决策[J].物流技术, 2023, 42(9):61-65.</w:t>
      </w:r>
    </w:p>
    <w:p w14:paraId="4C7D5CB1">
      <w:pPr>
        <w:rPr>
          <w:rFonts w:hint="default" w:ascii="Times New Roman" w:hAnsi="Times New Roman" w:cs="Times New Roman"/>
          <w:color w:val="auto"/>
        </w:rPr>
      </w:pPr>
      <w:r>
        <w:rPr>
          <w:rFonts w:hint="default" w:ascii="Times New Roman" w:hAnsi="Times New Roman" w:cs="Times New Roman"/>
          <w:color w:val="auto"/>
        </w:rPr>
        <w:t>[1</w:t>
      </w:r>
      <w:r>
        <w:rPr>
          <w:rFonts w:hint="default" w:ascii="Times New Roman" w:hAnsi="Times New Roman" w:cs="Times New Roman"/>
          <w:color w:val="auto"/>
          <w:lang w:val="en-US" w:eastAsia="zh-CN"/>
        </w:rPr>
        <w:t>6</w:t>
      </w:r>
      <w:r>
        <w:rPr>
          <w:rFonts w:hint="default" w:ascii="Times New Roman" w:hAnsi="Times New Roman" w:cs="Times New Roman"/>
          <w:color w:val="auto"/>
        </w:rPr>
        <w:t>]  Kneysler O , Spasiv N , Kvasovskyi O ,et al.Reorganization and Bankruptcy of Credit Unions: National Characteristics and Experience of Economically Developed Countries[J].Accounting &amp; Finance / Oblìk ì Fìnansi, 2025, 107(1).DOI:10.33146/2307-9878-2025-1(107)-55-68.</w:t>
      </w:r>
    </w:p>
    <w:p w14:paraId="36CD1145">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17</w:t>
      </w:r>
      <w:r>
        <w:rPr>
          <w:rFonts w:hint="default" w:ascii="Times New Roman" w:hAnsi="Times New Roman" w:cs="Times New Roman"/>
          <w:color w:val="auto"/>
        </w:rPr>
        <w:t>]  Information V F A ,https://orcid.org/0000-0002-6955-8710,han@arch.kindai.ac.jp,et al.Analysis of Bankruptcy Factors in Presale Projects and Their Policy Implications[J].Emerging Markets Finance &amp; Trade, 2024, 60(13):3007-3025.DOI:10.1080/1540496X.2024.2332399.</w:t>
      </w:r>
    </w:p>
    <w:p w14:paraId="077A9EF6">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18</w:t>
      </w:r>
      <w:r>
        <w:rPr>
          <w:rFonts w:hint="default" w:ascii="Times New Roman" w:hAnsi="Times New Roman" w:cs="Times New Roman"/>
          <w:color w:val="auto"/>
        </w:rPr>
        <w:t>]  Wei S , Lv J , Guo Y ,et al.Combining intra-risk and contagion risk for enterprise bankruptcy prediction using graph neural networks[J].Information science, 2024, 659(000):17.DOI:10.1016/j.ins.2023.120081.</w:t>
      </w:r>
    </w:p>
    <w:p w14:paraId="7814BD3A">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19</w:t>
      </w:r>
      <w:r>
        <w:rPr>
          <w:rFonts w:hint="default" w:ascii="Times New Roman" w:hAnsi="Times New Roman" w:cs="Times New Roman"/>
          <w:color w:val="auto"/>
        </w:rPr>
        <w:t>]  Lai J , Hu S .Bankruptcy judicial system reform and corporate financial litigation risk: A quasi-natural experiment in China[J].Finance Research Letters, 2024, 62.DOI:10.1016/j.frl.2024.105182.</w:t>
      </w:r>
    </w:p>
    <w:p w14:paraId="3FB93A43">
      <w:pPr>
        <w:rPr>
          <w:rFonts w:hint="default" w:ascii="Times New Roman" w:hAnsi="Times New Roman" w:cs="Times New Roman"/>
          <w:color w:val="auto"/>
        </w:rPr>
      </w:pPr>
      <w:r>
        <w:rPr>
          <w:rFonts w:hint="default" w:ascii="Times New Roman" w:hAnsi="Times New Roman" w:cs="Times New Roman"/>
          <w:color w:val="auto"/>
        </w:rPr>
        <w:t>[</w:t>
      </w:r>
      <w:r>
        <w:rPr>
          <w:rFonts w:hint="default" w:ascii="Times New Roman" w:hAnsi="Times New Roman" w:cs="Times New Roman"/>
          <w:color w:val="auto"/>
          <w:lang w:val="en-US" w:eastAsia="zh-CN"/>
        </w:rPr>
        <w:t>20</w:t>
      </w:r>
      <w:r>
        <w:rPr>
          <w:rFonts w:hint="default" w:ascii="Times New Roman" w:hAnsi="Times New Roman" w:cs="Times New Roman"/>
          <w:color w:val="auto"/>
        </w:rPr>
        <w:t>]  Elmaghrabi M .ESG Risk Management, Sustainability-Oriented Firms and Financial Distress in the Financial Industry: an AI-aided approach[J].2024 25th International Arab Conference on Information Technology (ACIT), 2024:1-3.DOI:10.1109/acit62805.2024.10876999.</w:t>
      </w:r>
    </w:p>
    <w:p w14:paraId="27E9FA3A">
      <w:pPr>
        <w:rPr>
          <w:rFonts w:hint="default" w:ascii="Times New Roman" w:hAnsi="Times New Roman" w:cs="Times New Roman"/>
          <w:color w:val="auto"/>
        </w:rPr>
      </w:pPr>
    </w:p>
    <w:p w14:paraId="24B8EE12">
      <w:pPr>
        <w:rPr>
          <w:rFonts w:hint="default" w:ascii="Times New Roman" w:hAnsi="Times New Roman" w:cs="Times New Roman"/>
          <w:color w:val="auto"/>
        </w:rPr>
      </w:pPr>
    </w:p>
    <w:p w14:paraId="60036DB8">
      <w:pPr>
        <w:rPr>
          <w:rFonts w:hint="default" w:ascii="Times New Roman" w:hAnsi="Times New Roman" w:cs="Times New Roman"/>
          <w:color w:val="auto"/>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64840"/>
    <w:rsid w:val="00133F69"/>
    <w:rsid w:val="00494FFB"/>
    <w:rsid w:val="004D59BD"/>
    <w:rsid w:val="00563274"/>
    <w:rsid w:val="005C3DB9"/>
    <w:rsid w:val="0075194C"/>
    <w:rsid w:val="007E0677"/>
    <w:rsid w:val="00A566D5"/>
    <w:rsid w:val="00CB3C62"/>
    <w:rsid w:val="00CD1788"/>
    <w:rsid w:val="00D23242"/>
    <w:rsid w:val="00D24FF0"/>
    <w:rsid w:val="00D743B5"/>
    <w:rsid w:val="00EB7E60"/>
    <w:rsid w:val="012D2227"/>
    <w:rsid w:val="017E2A82"/>
    <w:rsid w:val="0183453D"/>
    <w:rsid w:val="018C519F"/>
    <w:rsid w:val="01AC5842"/>
    <w:rsid w:val="01B3097E"/>
    <w:rsid w:val="01BE7323"/>
    <w:rsid w:val="01C74429"/>
    <w:rsid w:val="01CC0CC7"/>
    <w:rsid w:val="01D9415D"/>
    <w:rsid w:val="01E23011"/>
    <w:rsid w:val="02056D00"/>
    <w:rsid w:val="020B07BA"/>
    <w:rsid w:val="02301FCF"/>
    <w:rsid w:val="02691984"/>
    <w:rsid w:val="02895B83"/>
    <w:rsid w:val="028B5457"/>
    <w:rsid w:val="02B63EF1"/>
    <w:rsid w:val="02D908B8"/>
    <w:rsid w:val="02D92666"/>
    <w:rsid w:val="02DC2156"/>
    <w:rsid w:val="02EA149B"/>
    <w:rsid w:val="02F0175E"/>
    <w:rsid w:val="03180DA8"/>
    <w:rsid w:val="03265180"/>
    <w:rsid w:val="035B3849"/>
    <w:rsid w:val="03692BEC"/>
    <w:rsid w:val="036E4623"/>
    <w:rsid w:val="037759DB"/>
    <w:rsid w:val="03942A31"/>
    <w:rsid w:val="039B5B6E"/>
    <w:rsid w:val="03B409DD"/>
    <w:rsid w:val="03EB4FA5"/>
    <w:rsid w:val="04277401"/>
    <w:rsid w:val="04365896"/>
    <w:rsid w:val="04640655"/>
    <w:rsid w:val="04700BDD"/>
    <w:rsid w:val="048E715A"/>
    <w:rsid w:val="049251C3"/>
    <w:rsid w:val="04A62A1C"/>
    <w:rsid w:val="04DC01EC"/>
    <w:rsid w:val="04E35A1E"/>
    <w:rsid w:val="04F35535"/>
    <w:rsid w:val="04FC088E"/>
    <w:rsid w:val="052120A3"/>
    <w:rsid w:val="0532605E"/>
    <w:rsid w:val="05453FE3"/>
    <w:rsid w:val="054D2E98"/>
    <w:rsid w:val="05A056BD"/>
    <w:rsid w:val="05AA2098"/>
    <w:rsid w:val="05C55124"/>
    <w:rsid w:val="05DB4947"/>
    <w:rsid w:val="05E27A84"/>
    <w:rsid w:val="05E530D0"/>
    <w:rsid w:val="05ED01D7"/>
    <w:rsid w:val="061B11E8"/>
    <w:rsid w:val="06231E4A"/>
    <w:rsid w:val="063876A4"/>
    <w:rsid w:val="06396F46"/>
    <w:rsid w:val="066C37F1"/>
    <w:rsid w:val="06783F44"/>
    <w:rsid w:val="067F52D3"/>
    <w:rsid w:val="06896151"/>
    <w:rsid w:val="06AC1E40"/>
    <w:rsid w:val="06AD62E4"/>
    <w:rsid w:val="06C158EB"/>
    <w:rsid w:val="06DE46EF"/>
    <w:rsid w:val="06E577B0"/>
    <w:rsid w:val="06E95DE7"/>
    <w:rsid w:val="070E6657"/>
    <w:rsid w:val="071874D5"/>
    <w:rsid w:val="071D659A"/>
    <w:rsid w:val="0737795B"/>
    <w:rsid w:val="074402CA"/>
    <w:rsid w:val="074958E1"/>
    <w:rsid w:val="07520C39"/>
    <w:rsid w:val="075B5D40"/>
    <w:rsid w:val="07732166"/>
    <w:rsid w:val="078801B7"/>
    <w:rsid w:val="079E7173"/>
    <w:rsid w:val="07A80859"/>
    <w:rsid w:val="07AF7E3A"/>
    <w:rsid w:val="07B40FAC"/>
    <w:rsid w:val="07C1191B"/>
    <w:rsid w:val="07E31891"/>
    <w:rsid w:val="07F817E1"/>
    <w:rsid w:val="07FD1ECF"/>
    <w:rsid w:val="08001443"/>
    <w:rsid w:val="080D690E"/>
    <w:rsid w:val="083F44CE"/>
    <w:rsid w:val="08533564"/>
    <w:rsid w:val="08687FE8"/>
    <w:rsid w:val="0891753F"/>
    <w:rsid w:val="089332B7"/>
    <w:rsid w:val="08955281"/>
    <w:rsid w:val="08A52FEB"/>
    <w:rsid w:val="08A92ADB"/>
    <w:rsid w:val="08B10CAA"/>
    <w:rsid w:val="08B51480"/>
    <w:rsid w:val="08B82D1E"/>
    <w:rsid w:val="08CA47FF"/>
    <w:rsid w:val="08CB2A51"/>
    <w:rsid w:val="08D631A4"/>
    <w:rsid w:val="08E9737B"/>
    <w:rsid w:val="08EC0C19"/>
    <w:rsid w:val="08F63846"/>
    <w:rsid w:val="09034F91"/>
    <w:rsid w:val="09181A0E"/>
    <w:rsid w:val="09267C87"/>
    <w:rsid w:val="094445B2"/>
    <w:rsid w:val="096864F2"/>
    <w:rsid w:val="097906FF"/>
    <w:rsid w:val="097C1F9D"/>
    <w:rsid w:val="09B07B5E"/>
    <w:rsid w:val="09B259BF"/>
    <w:rsid w:val="09B74D83"/>
    <w:rsid w:val="09E0252C"/>
    <w:rsid w:val="09E162A4"/>
    <w:rsid w:val="09F63AFE"/>
    <w:rsid w:val="0A0631CF"/>
    <w:rsid w:val="0A1C7D8D"/>
    <w:rsid w:val="0A304AAF"/>
    <w:rsid w:val="0A68475A"/>
    <w:rsid w:val="0AA479FE"/>
    <w:rsid w:val="0AF50259"/>
    <w:rsid w:val="0AF85654"/>
    <w:rsid w:val="0B0E4E77"/>
    <w:rsid w:val="0B2F58BB"/>
    <w:rsid w:val="0B494101"/>
    <w:rsid w:val="0B4D1E43"/>
    <w:rsid w:val="0B5331D2"/>
    <w:rsid w:val="0B6947A3"/>
    <w:rsid w:val="0B7A42BB"/>
    <w:rsid w:val="0B8769D7"/>
    <w:rsid w:val="0BAD28E2"/>
    <w:rsid w:val="0BE36304"/>
    <w:rsid w:val="0C063DA0"/>
    <w:rsid w:val="0C076962"/>
    <w:rsid w:val="0C0D15D3"/>
    <w:rsid w:val="0C2D57D1"/>
    <w:rsid w:val="0C344DB1"/>
    <w:rsid w:val="0C37664F"/>
    <w:rsid w:val="0C434FF4"/>
    <w:rsid w:val="0C5D60B6"/>
    <w:rsid w:val="0C935725"/>
    <w:rsid w:val="0C935E2E"/>
    <w:rsid w:val="0C943AA2"/>
    <w:rsid w:val="0D0504FC"/>
    <w:rsid w:val="0D0A78C0"/>
    <w:rsid w:val="0D0C53E6"/>
    <w:rsid w:val="0D1349C7"/>
    <w:rsid w:val="0D9A50E8"/>
    <w:rsid w:val="0DB937C0"/>
    <w:rsid w:val="0E092D6D"/>
    <w:rsid w:val="0E3746E5"/>
    <w:rsid w:val="0E583092"/>
    <w:rsid w:val="0E5E7EC3"/>
    <w:rsid w:val="0E8042DE"/>
    <w:rsid w:val="0E80608C"/>
    <w:rsid w:val="0EDD5107"/>
    <w:rsid w:val="0EF94A4C"/>
    <w:rsid w:val="0EFE3455"/>
    <w:rsid w:val="0EFF5A98"/>
    <w:rsid w:val="0F130CAE"/>
    <w:rsid w:val="0F3F73F8"/>
    <w:rsid w:val="0F8971C2"/>
    <w:rsid w:val="0FAC2EB1"/>
    <w:rsid w:val="0FB57FB7"/>
    <w:rsid w:val="0FC93A62"/>
    <w:rsid w:val="0FDE15A3"/>
    <w:rsid w:val="104135F9"/>
    <w:rsid w:val="10947BCD"/>
    <w:rsid w:val="109776BD"/>
    <w:rsid w:val="10AD5132"/>
    <w:rsid w:val="10B2589A"/>
    <w:rsid w:val="10B97124"/>
    <w:rsid w:val="10BB15FD"/>
    <w:rsid w:val="10D40911"/>
    <w:rsid w:val="10D4446D"/>
    <w:rsid w:val="10DE52EC"/>
    <w:rsid w:val="10E30B54"/>
    <w:rsid w:val="10EE19D3"/>
    <w:rsid w:val="10F93ED3"/>
    <w:rsid w:val="11203B56"/>
    <w:rsid w:val="11276C93"/>
    <w:rsid w:val="113E3FDC"/>
    <w:rsid w:val="117B0D8C"/>
    <w:rsid w:val="11A42091"/>
    <w:rsid w:val="11B85B3D"/>
    <w:rsid w:val="11BE3980"/>
    <w:rsid w:val="11FB4122"/>
    <w:rsid w:val="12211934"/>
    <w:rsid w:val="12282CC2"/>
    <w:rsid w:val="12396476"/>
    <w:rsid w:val="124E024F"/>
    <w:rsid w:val="127777A6"/>
    <w:rsid w:val="129624E1"/>
    <w:rsid w:val="12A460C1"/>
    <w:rsid w:val="12A63F9E"/>
    <w:rsid w:val="12BC340B"/>
    <w:rsid w:val="12E070F9"/>
    <w:rsid w:val="12F17558"/>
    <w:rsid w:val="12F232D0"/>
    <w:rsid w:val="12FE6E2A"/>
    <w:rsid w:val="134C478E"/>
    <w:rsid w:val="136C714D"/>
    <w:rsid w:val="13857CA0"/>
    <w:rsid w:val="13A22600"/>
    <w:rsid w:val="13B50586"/>
    <w:rsid w:val="13BD38DE"/>
    <w:rsid w:val="13CB517F"/>
    <w:rsid w:val="13CB7DA9"/>
    <w:rsid w:val="144162BD"/>
    <w:rsid w:val="148443FC"/>
    <w:rsid w:val="14C33176"/>
    <w:rsid w:val="14E31122"/>
    <w:rsid w:val="14EB1833"/>
    <w:rsid w:val="15035F75"/>
    <w:rsid w:val="15095AC8"/>
    <w:rsid w:val="15115C90"/>
    <w:rsid w:val="152139F9"/>
    <w:rsid w:val="15237771"/>
    <w:rsid w:val="15265EE3"/>
    <w:rsid w:val="15306CE7"/>
    <w:rsid w:val="15396F94"/>
    <w:rsid w:val="15747FCD"/>
    <w:rsid w:val="158346B4"/>
    <w:rsid w:val="15897F1C"/>
    <w:rsid w:val="15B4486D"/>
    <w:rsid w:val="15C01464"/>
    <w:rsid w:val="15D4540B"/>
    <w:rsid w:val="16201F02"/>
    <w:rsid w:val="163D2AB4"/>
    <w:rsid w:val="16425677"/>
    <w:rsid w:val="164478A7"/>
    <w:rsid w:val="1677545D"/>
    <w:rsid w:val="168E3310"/>
    <w:rsid w:val="16A20B69"/>
    <w:rsid w:val="16AE5760"/>
    <w:rsid w:val="16BC7E7D"/>
    <w:rsid w:val="16C034D1"/>
    <w:rsid w:val="16EB42BE"/>
    <w:rsid w:val="16FE0496"/>
    <w:rsid w:val="172D2B29"/>
    <w:rsid w:val="17793FC0"/>
    <w:rsid w:val="177C760C"/>
    <w:rsid w:val="178D5376"/>
    <w:rsid w:val="178F7B80"/>
    <w:rsid w:val="17BE7C25"/>
    <w:rsid w:val="17F51899"/>
    <w:rsid w:val="181F3A21"/>
    <w:rsid w:val="18243F2C"/>
    <w:rsid w:val="18732884"/>
    <w:rsid w:val="189A2440"/>
    <w:rsid w:val="18C63235"/>
    <w:rsid w:val="18DE3DF2"/>
    <w:rsid w:val="18E92A80"/>
    <w:rsid w:val="18F36B04"/>
    <w:rsid w:val="190873AA"/>
    <w:rsid w:val="1912647A"/>
    <w:rsid w:val="191E6BCD"/>
    <w:rsid w:val="192E299C"/>
    <w:rsid w:val="197467ED"/>
    <w:rsid w:val="197C1B46"/>
    <w:rsid w:val="19A000ED"/>
    <w:rsid w:val="19C84D8B"/>
    <w:rsid w:val="19CF7EC7"/>
    <w:rsid w:val="1A077661"/>
    <w:rsid w:val="1A0C111B"/>
    <w:rsid w:val="1A1B4EBB"/>
    <w:rsid w:val="1A244A84"/>
    <w:rsid w:val="1A4C32C6"/>
    <w:rsid w:val="1A5B5BFF"/>
    <w:rsid w:val="1A645229"/>
    <w:rsid w:val="1A954C6D"/>
    <w:rsid w:val="1A9D6217"/>
    <w:rsid w:val="1AA50C28"/>
    <w:rsid w:val="1ABC48F0"/>
    <w:rsid w:val="1ACC4B81"/>
    <w:rsid w:val="1B043BA1"/>
    <w:rsid w:val="1B0911B7"/>
    <w:rsid w:val="1B127ACB"/>
    <w:rsid w:val="1B195CB1"/>
    <w:rsid w:val="1B1E2EB4"/>
    <w:rsid w:val="1B2D759B"/>
    <w:rsid w:val="1B4B17D0"/>
    <w:rsid w:val="1B5543FC"/>
    <w:rsid w:val="1B58691F"/>
    <w:rsid w:val="1B634D6B"/>
    <w:rsid w:val="1B804888"/>
    <w:rsid w:val="1B821EC4"/>
    <w:rsid w:val="1B88172B"/>
    <w:rsid w:val="1BC05D1A"/>
    <w:rsid w:val="1BD01CD5"/>
    <w:rsid w:val="1BD32744"/>
    <w:rsid w:val="1BD417C5"/>
    <w:rsid w:val="1C024584"/>
    <w:rsid w:val="1C1147C7"/>
    <w:rsid w:val="1C166281"/>
    <w:rsid w:val="1C1F5136"/>
    <w:rsid w:val="1C9D605B"/>
    <w:rsid w:val="1CC161ED"/>
    <w:rsid w:val="1CEB14BC"/>
    <w:rsid w:val="1CF00880"/>
    <w:rsid w:val="1D1466A5"/>
    <w:rsid w:val="1D2B18B9"/>
    <w:rsid w:val="1D303373"/>
    <w:rsid w:val="1D39297A"/>
    <w:rsid w:val="1D70551D"/>
    <w:rsid w:val="1D8316F5"/>
    <w:rsid w:val="1D8D6D2E"/>
    <w:rsid w:val="1D9C27B6"/>
    <w:rsid w:val="1D9F5E03"/>
    <w:rsid w:val="1DAD49C3"/>
    <w:rsid w:val="1DD65CC8"/>
    <w:rsid w:val="1DEF0B38"/>
    <w:rsid w:val="1DF43C0E"/>
    <w:rsid w:val="1E01086B"/>
    <w:rsid w:val="1E2A6014"/>
    <w:rsid w:val="1E2D340E"/>
    <w:rsid w:val="1E3173A3"/>
    <w:rsid w:val="1E4B467A"/>
    <w:rsid w:val="1E8F40C9"/>
    <w:rsid w:val="1EA02D82"/>
    <w:rsid w:val="1EAC07D7"/>
    <w:rsid w:val="1ECC0B5E"/>
    <w:rsid w:val="1F0C1276"/>
    <w:rsid w:val="1F212F73"/>
    <w:rsid w:val="1F2B3DF2"/>
    <w:rsid w:val="1F2B5BA0"/>
    <w:rsid w:val="1F2D5E39"/>
    <w:rsid w:val="1F3D58D3"/>
    <w:rsid w:val="1F6966C8"/>
    <w:rsid w:val="1F7D553E"/>
    <w:rsid w:val="1F833C2E"/>
    <w:rsid w:val="1F850636"/>
    <w:rsid w:val="1F911FE7"/>
    <w:rsid w:val="1FF561AE"/>
    <w:rsid w:val="1FFB1A16"/>
    <w:rsid w:val="20000DDB"/>
    <w:rsid w:val="2038262B"/>
    <w:rsid w:val="20547378"/>
    <w:rsid w:val="205E01F7"/>
    <w:rsid w:val="207D68CF"/>
    <w:rsid w:val="209158BF"/>
    <w:rsid w:val="2099122F"/>
    <w:rsid w:val="20CB6B01"/>
    <w:rsid w:val="20CD4236"/>
    <w:rsid w:val="20F06D17"/>
    <w:rsid w:val="2106706B"/>
    <w:rsid w:val="21182154"/>
    <w:rsid w:val="211F6D6F"/>
    <w:rsid w:val="21222FD3"/>
    <w:rsid w:val="215A451A"/>
    <w:rsid w:val="21BA0B52"/>
    <w:rsid w:val="21BA76AF"/>
    <w:rsid w:val="21C347B6"/>
    <w:rsid w:val="21CD2F3E"/>
    <w:rsid w:val="21CF315A"/>
    <w:rsid w:val="21D50045"/>
    <w:rsid w:val="221C2118"/>
    <w:rsid w:val="221E19EC"/>
    <w:rsid w:val="222608A0"/>
    <w:rsid w:val="222A0391"/>
    <w:rsid w:val="22482F0D"/>
    <w:rsid w:val="224D22D1"/>
    <w:rsid w:val="22543660"/>
    <w:rsid w:val="227A0431"/>
    <w:rsid w:val="2298179E"/>
    <w:rsid w:val="229E0D7F"/>
    <w:rsid w:val="22C97BAA"/>
    <w:rsid w:val="22D479C7"/>
    <w:rsid w:val="22DB7AB5"/>
    <w:rsid w:val="22F5520B"/>
    <w:rsid w:val="235A6CAA"/>
    <w:rsid w:val="23867849"/>
    <w:rsid w:val="238B4E5F"/>
    <w:rsid w:val="23952182"/>
    <w:rsid w:val="23B343B6"/>
    <w:rsid w:val="23B75C54"/>
    <w:rsid w:val="23EA545A"/>
    <w:rsid w:val="23EE54AF"/>
    <w:rsid w:val="23EF693F"/>
    <w:rsid w:val="23F32A04"/>
    <w:rsid w:val="24194B61"/>
    <w:rsid w:val="246456B0"/>
    <w:rsid w:val="24653902"/>
    <w:rsid w:val="24743B45"/>
    <w:rsid w:val="24857B00"/>
    <w:rsid w:val="248D10AB"/>
    <w:rsid w:val="24997A50"/>
    <w:rsid w:val="24B86128"/>
    <w:rsid w:val="24E8008F"/>
    <w:rsid w:val="24EA5BE9"/>
    <w:rsid w:val="24F276CC"/>
    <w:rsid w:val="24F44C86"/>
    <w:rsid w:val="24FB6014"/>
    <w:rsid w:val="24FD3597"/>
    <w:rsid w:val="2517536F"/>
    <w:rsid w:val="251B2213"/>
    <w:rsid w:val="25227A45"/>
    <w:rsid w:val="257302A1"/>
    <w:rsid w:val="258778A8"/>
    <w:rsid w:val="25AE752B"/>
    <w:rsid w:val="25B01610"/>
    <w:rsid w:val="25D0124F"/>
    <w:rsid w:val="25D86356"/>
    <w:rsid w:val="25FC0296"/>
    <w:rsid w:val="25FE442E"/>
    <w:rsid w:val="261849A4"/>
    <w:rsid w:val="2628108B"/>
    <w:rsid w:val="263B7010"/>
    <w:rsid w:val="264B6B28"/>
    <w:rsid w:val="265956E8"/>
    <w:rsid w:val="268121BE"/>
    <w:rsid w:val="26914E82"/>
    <w:rsid w:val="26A85D28"/>
    <w:rsid w:val="26C54244"/>
    <w:rsid w:val="26F62F37"/>
    <w:rsid w:val="270C275B"/>
    <w:rsid w:val="272A498F"/>
    <w:rsid w:val="274517C9"/>
    <w:rsid w:val="274A6239"/>
    <w:rsid w:val="275859A0"/>
    <w:rsid w:val="278E3170"/>
    <w:rsid w:val="27AE3812"/>
    <w:rsid w:val="27B8643F"/>
    <w:rsid w:val="27C070A1"/>
    <w:rsid w:val="27CD5050"/>
    <w:rsid w:val="27DD40F7"/>
    <w:rsid w:val="27EE1E60"/>
    <w:rsid w:val="28305FD5"/>
    <w:rsid w:val="284D6B87"/>
    <w:rsid w:val="28550131"/>
    <w:rsid w:val="285E6FE6"/>
    <w:rsid w:val="28750C0F"/>
    <w:rsid w:val="288307FB"/>
    <w:rsid w:val="288B2282"/>
    <w:rsid w:val="288B3B53"/>
    <w:rsid w:val="28A54C15"/>
    <w:rsid w:val="28A95D87"/>
    <w:rsid w:val="28D510D6"/>
    <w:rsid w:val="28DB23E5"/>
    <w:rsid w:val="28F1489E"/>
    <w:rsid w:val="29175962"/>
    <w:rsid w:val="291C47AB"/>
    <w:rsid w:val="2932067B"/>
    <w:rsid w:val="294E1C6B"/>
    <w:rsid w:val="29583A35"/>
    <w:rsid w:val="2959155B"/>
    <w:rsid w:val="29600B3C"/>
    <w:rsid w:val="2987431B"/>
    <w:rsid w:val="29890093"/>
    <w:rsid w:val="29930F11"/>
    <w:rsid w:val="29F239C6"/>
    <w:rsid w:val="29F714A0"/>
    <w:rsid w:val="29FB0865"/>
    <w:rsid w:val="2A1060BE"/>
    <w:rsid w:val="2A2C4823"/>
    <w:rsid w:val="2A2C6C70"/>
    <w:rsid w:val="2A355B25"/>
    <w:rsid w:val="2A73664D"/>
    <w:rsid w:val="2A8940C2"/>
    <w:rsid w:val="2AC62C21"/>
    <w:rsid w:val="2AFC4894"/>
    <w:rsid w:val="2B2B6F28"/>
    <w:rsid w:val="2B757409"/>
    <w:rsid w:val="2BA86521"/>
    <w:rsid w:val="2BCF1FA9"/>
    <w:rsid w:val="2BF8505C"/>
    <w:rsid w:val="2C13380B"/>
    <w:rsid w:val="2C1529D1"/>
    <w:rsid w:val="2C3F2C8B"/>
    <w:rsid w:val="2C536736"/>
    <w:rsid w:val="2C5B55EB"/>
    <w:rsid w:val="2CB5119F"/>
    <w:rsid w:val="2CBF3DCB"/>
    <w:rsid w:val="2CC80BC1"/>
    <w:rsid w:val="2CE550C6"/>
    <w:rsid w:val="2CE850D0"/>
    <w:rsid w:val="2CF00429"/>
    <w:rsid w:val="2D075AA5"/>
    <w:rsid w:val="2D0D2D89"/>
    <w:rsid w:val="2D1103C5"/>
    <w:rsid w:val="2D151C3D"/>
    <w:rsid w:val="2D2D6F87"/>
    <w:rsid w:val="2D314CC9"/>
    <w:rsid w:val="2D4B38B1"/>
    <w:rsid w:val="2D4F6EFD"/>
    <w:rsid w:val="2D67693D"/>
    <w:rsid w:val="2D7B4196"/>
    <w:rsid w:val="2D940DB4"/>
    <w:rsid w:val="2DA059AB"/>
    <w:rsid w:val="2DA44895"/>
    <w:rsid w:val="2DDD1E55"/>
    <w:rsid w:val="2DF755CD"/>
    <w:rsid w:val="2E1E4B22"/>
    <w:rsid w:val="2E2760CC"/>
    <w:rsid w:val="2E7806D6"/>
    <w:rsid w:val="2EE63891"/>
    <w:rsid w:val="2EF97A69"/>
    <w:rsid w:val="2F1228D8"/>
    <w:rsid w:val="2F5E2E56"/>
    <w:rsid w:val="2FDE6C5E"/>
    <w:rsid w:val="2FF124EE"/>
    <w:rsid w:val="2FF975F4"/>
    <w:rsid w:val="2FFE2E5D"/>
    <w:rsid w:val="300466C5"/>
    <w:rsid w:val="30231207"/>
    <w:rsid w:val="30297EDA"/>
    <w:rsid w:val="302A1EA4"/>
    <w:rsid w:val="30313232"/>
    <w:rsid w:val="3038011D"/>
    <w:rsid w:val="304E1A43"/>
    <w:rsid w:val="30564A47"/>
    <w:rsid w:val="30601421"/>
    <w:rsid w:val="306727B0"/>
    <w:rsid w:val="30760C45"/>
    <w:rsid w:val="3091782D"/>
    <w:rsid w:val="309646AE"/>
    <w:rsid w:val="30AE03DF"/>
    <w:rsid w:val="30F77FD8"/>
    <w:rsid w:val="310D6ED5"/>
    <w:rsid w:val="310E70CF"/>
    <w:rsid w:val="3148438F"/>
    <w:rsid w:val="3150593A"/>
    <w:rsid w:val="316A07AA"/>
    <w:rsid w:val="31741628"/>
    <w:rsid w:val="31772EC7"/>
    <w:rsid w:val="31AF5643"/>
    <w:rsid w:val="31C87812"/>
    <w:rsid w:val="31D43E75"/>
    <w:rsid w:val="31E16592"/>
    <w:rsid w:val="31FE5396"/>
    <w:rsid w:val="3200110E"/>
    <w:rsid w:val="32052280"/>
    <w:rsid w:val="320F75A3"/>
    <w:rsid w:val="321D581C"/>
    <w:rsid w:val="321E3342"/>
    <w:rsid w:val="32676A97"/>
    <w:rsid w:val="327A0EC0"/>
    <w:rsid w:val="32850209"/>
    <w:rsid w:val="32BA750F"/>
    <w:rsid w:val="32FA790B"/>
    <w:rsid w:val="3307027A"/>
    <w:rsid w:val="332130EA"/>
    <w:rsid w:val="3337290D"/>
    <w:rsid w:val="335B3C7E"/>
    <w:rsid w:val="335C6818"/>
    <w:rsid w:val="337F6063"/>
    <w:rsid w:val="338F44F8"/>
    <w:rsid w:val="33B0446E"/>
    <w:rsid w:val="33B93FC7"/>
    <w:rsid w:val="33C1667B"/>
    <w:rsid w:val="33D30EC6"/>
    <w:rsid w:val="33D91C17"/>
    <w:rsid w:val="33DA33B5"/>
    <w:rsid w:val="33E800AC"/>
    <w:rsid w:val="33ED7470"/>
    <w:rsid w:val="33F86541"/>
    <w:rsid w:val="340A6274"/>
    <w:rsid w:val="341E587B"/>
    <w:rsid w:val="342033A2"/>
    <w:rsid w:val="34270BD4"/>
    <w:rsid w:val="34563267"/>
    <w:rsid w:val="345E211C"/>
    <w:rsid w:val="34767465"/>
    <w:rsid w:val="34802092"/>
    <w:rsid w:val="349B3370"/>
    <w:rsid w:val="349E076A"/>
    <w:rsid w:val="34D36666"/>
    <w:rsid w:val="34E60573"/>
    <w:rsid w:val="34EA39B0"/>
    <w:rsid w:val="35245113"/>
    <w:rsid w:val="35246EC1"/>
    <w:rsid w:val="35435B08"/>
    <w:rsid w:val="354E03E2"/>
    <w:rsid w:val="357E2495"/>
    <w:rsid w:val="3589141A"/>
    <w:rsid w:val="358C71D9"/>
    <w:rsid w:val="35A65B28"/>
    <w:rsid w:val="360A4309"/>
    <w:rsid w:val="360F7B72"/>
    <w:rsid w:val="36372206"/>
    <w:rsid w:val="36486BE0"/>
    <w:rsid w:val="36535DA7"/>
    <w:rsid w:val="36631C6B"/>
    <w:rsid w:val="36C73FA8"/>
    <w:rsid w:val="36DC3A7D"/>
    <w:rsid w:val="36E7289C"/>
    <w:rsid w:val="36F30A6D"/>
    <w:rsid w:val="36F7729B"/>
    <w:rsid w:val="37114C9C"/>
    <w:rsid w:val="371D006C"/>
    <w:rsid w:val="373B6744"/>
    <w:rsid w:val="3757357E"/>
    <w:rsid w:val="377D7015"/>
    <w:rsid w:val="378B147A"/>
    <w:rsid w:val="37BA43E6"/>
    <w:rsid w:val="37D72911"/>
    <w:rsid w:val="37E40B8A"/>
    <w:rsid w:val="37E961A0"/>
    <w:rsid w:val="38060B00"/>
    <w:rsid w:val="38211DDE"/>
    <w:rsid w:val="3830266A"/>
    <w:rsid w:val="38303DCF"/>
    <w:rsid w:val="38367638"/>
    <w:rsid w:val="38522031"/>
    <w:rsid w:val="386121DB"/>
    <w:rsid w:val="38651CCB"/>
    <w:rsid w:val="386C0FDA"/>
    <w:rsid w:val="388D2FD0"/>
    <w:rsid w:val="388F0AF6"/>
    <w:rsid w:val="389B56ED"/>
    <w:rsid w:val="38A10829"/>
    <w:rsid w:val="38A74091"/>
    <w:rsid w:val="38A81BB8"/>
    <w:rsid w:val="38AD71CE"/>
    <w:rsid w:val="38B92017"/>
    <w:rsid w:val="38CD7870"/>
    <w:rsid w:val="38E725CB"/>
    <w:rsid w:val="38F44DFD"/>
    <w:rsid w:val="39030CF9"/>
    <w:rsid w:val="390414E4"/>
    <w:rsid w:val="39072D82"/>
    <w:rsid w:val="390E2362"/>
    <w:rsid w:val="392751D2"/>
    <w:rsid w:val="39423DBA"/>
    <w:rsid w:val="397F0B6A"/>
    <w:rsid w:val="398D0F01"/>
    <w:rsid w:val="398F4A84"/>
    <w:rsid w:val="3995213C"/>
    <w:rsid w:val="399F120C"/>
    <w:rsid w:val="39CD7B28"/>
    <w:rsid w:val="39F732CE"/>
    <w:rsid w:val="3A0A3C26"/>
    <w:rsid w:val="3A3951BD"/>
    <w:rsid w:val="3A43428E"/>
    <w:rsid w:val="3A465B2C"/>
    <w:rsid w:val="3A4818A4"/>
    <w:rsid w:val="3A55164F"/>
    <w:rsid w:val="3A5E4C24"/>
    <w:rsid w:val="3A7E7074"/>
    <w:rsid w:val="3AD06F82"/>
    <w:rsid w:val="3AEF7F72"/>
    <w:rsid w:val="3B037579"/>
    <w:rsid w:val="3B041E40"/>
    <w:rsid w:val="3B070E17"/>
    <w:rsid w:val="3B0A4DAB"/>
    <w:rsid w:val="3B106CFD"/>
    <w:rsid w:val="3B117EE8"/>
    <w:rsid w:val="3B27770B"/>
    <w:rsid w:val="3B337E5E"/>
    <w:rsid w:val="3B64270E"/>
    <w:rsid w:val="3B6A7FEF"/>
    <w:rsid w:val="3B96663F"/>
    <w:rsid w:val="3BB86535"/>
    <w:rsid w:val="3BC22F21"/>
    <w:rsid w:val="3BCA0594"/>
    <w:rsid w:val="3BE51B6A"/>
    <w:rsid w:val="3BE63123"/>
    <w:rsid w:val="3BF515B8"/>
    <w:rsid w:val="3BF5780A"/>
    <w:rsid w:val="3C074E47"/>
    <w:rsid w:val="3C0B2B89"/>
    <w:rsid w:val="3C12445A"/>
    <w:rsid w:val="3C456B90"/>
    <w:rsid w:val="3C5A766D"/>
    <w:rsid w:val="3C636521"/>
    <w:rsid w:val="3C720E5A"/>
    <w:rsid w:val="3CC50F8A"/>
    <w:rsid w:val="3CCC15BB"/>
    <w:rsid w:val="3CD61C4C"/>
    <w:rsid w:val="3CDC62D4"/>
    <w:rsid w:val="3CF35D7D"/>
    <w:rsid w:val="3CF63839"/>
    <w:rsid w:val="3CF90C34"/>
    <w:rsid w:val="3D014C75"/>
    <w:rsid w:val="3D05582A"/>
    <w:rsid w:val="3D1617E6"/>
    <w:rsid w:val="3D4A76E1"/>
    <w:rsid w:val="3D4F6AA6"/>
    <w:rsid w:val="3D631F35"/>
    <w:rsid w:val="3D843666"/>
    <w:rsid w:val="3D864BBD"/>
    <w:rsid w:val="3D891FB8"/>
    <w:rsid w:val="3DC8149C"/>
    <w:rsid w:val="3DF71617"/>
    <w:rsid w:val="3E135D25"/>
    <w:rsid w:val="3E247F32"/>
    <w:rsid w:val="3E287A22"/>
    <w:rsid w:val="3E3C1720"/>
    <w:rsid w:val="3E4E3201"/>
    <w:rsid w:val="3E5E3444"/>
    <w:rsid w:val="3E636CAD"/>
    <w:rsid w:val="3E680921"/>
    <w:rsid w:val="3E69052A"/>
    <w:rsid w:val="3E9055C8"/>
    <w:rsid w:val="3EB06037"/>
    <w:rsid w:val="3EB92D70"/>
    <w:rsid w:val="3EF67B21"/>
    <w:rsid w:val="3F171845"/>
    <w:rsid w:val="3F1735F3"/>
    <w:rsid w:val="3F1D32FF"/>
    <w:rsid w:val="3F446ADE"/>
    <w:rsid w:val="3F47037C"/>
    <w:rsid w:val="3F5C54AA"/>
    <w:rsid w:val="3F7E03F9"/>
    <w:rsid w:val="3F8F587F"/>
    <w:rsid w:val="3F9609BC"/>
    <w:rsid w:val="3FA96941"/>
    <w:rsid w:val="3FD339BE"/>
    <w:rsid w:val="402416CD"/>
    <w:rsid w:val="403326AF"/>
    <w:rsid w:val="40425ADD"/>
    <w:rsid w:val="409273D5"/>
    <w:rsid w:val="409F7D44"/>
    <w:rsid w:val="40B557B9"/>
    <w:rsid w:val="40C96B6F"/>
    <w:rsid w:val="40D45C40"/>
    <w:rsid w:val="410127AD"/>
    <w:rsid w:val="410D73A4"/>
    <w:rsid w:val="411249BA"/>
    <w:rsid w:val="41727207"/>
    <w:rsid w:val="417E3DFD"/>
    <w:rsid w:val="41A945C9"/>
    <w:rsid w:val="41AA3FBE"/>
    <w:rsid w:val="41B56B45"/>
    <w:rsid w:val="42530DE6"/>
    <w:rsid w:val="425D3A13"/>
    <w:rsid w:val="42734FE4"/>
    <w:rsid w:val="428F724E"/>
    <w:rsid w:val="42C615B8"/>
    <w:rsid w:val="42E61C5A"/>
    <w:rsid w:val="42E63A08"/>
    <w:rsid w:val="42EB7271"/>
    <w:rsid w:val="42F205FF"/>
    <w:rsid w:val="42F223AD"/>
    <w:rsid w:val="435D4C1C"/>
    <w:rsid w:val="437E1E93"/>
    <w:rsid w:val="439D783D"/>
    <w:rsid w:val="43A51B15"/>
    <w:rsid w:val="43CD4BC8"/>
    <w:rsid w:val="43E53CC0"/>
    <w:rsid w:val="440A5C22"/>
    <w:rsid w:val="441A154C"/>
    <w:rsid w:val="444A6219"/>
    <w:rsid w:val="444E1587"/>
    <w:rsid w:val="4453331F"/>
    <w:rsid w:val="445B0426"/>
    <w:rsid w:val="445B4E7C"/>
    <w:rsid w:val="44BA15F0"/>
    <w:rsid w:val="44C67F95"/>
    <w:rsid w:val="44FF34A7"/>
    <w:rsid w:val="44FF4F56"/>
    <w:rsid w:val="452D1DC2"/>
    <w:rsid w:val="458A2D71"/>
    <w:rsid w:val="45B878E4"/>
    <w:rsid w:val="45CF349B"/>
    <w:rsid w:val="45F60406"/>
    <w:rsid w:val="45F8417E"/>
    <w:rsid w:val="460074D7"/>
    <w:rsid w:val="46081EE8"/>
    <w:rsid w:val="462F56C6"/>
    <w:rsid w:val="463B050F"/>
    <w:rsid w:val="465A6BE7"/>
    <w:rsid w:val="46696E2A"/>
    <w:rsid w:val="466B0DF4"/>
    <w:rsid w:val="468123C6"/>
    <w:rsid w:val="468C0D6B"/>
    <w:rsid w:val="46A86BFA"/>
    <w:rsid w:val="46BC33FE"/>
    <w:rsid w:val="46BD2CD2"/>
    <w:rsid w:val="46CD00CF"/>
    <w:rsid w:val="471054F8"/>
    <w:rsid w:val="471A1ED2"/>
    <w:rsid w:val="475F3D89"/>
    <w:rsid w:val="47655843"/>
    <w:rsid w:val="47777325"/>
    <w:rsid w:val="47801D13"/>
    <w:rsid w:val="47B265AF"/>
    <w:rsid w:val="47B406DC"/>
    <w:rsid w:val="47CE30B0"/>
    <w:rsid w:val="47D77DC3"/>
    <w:rsid w:val="47E86474"/>
    <w:rsid w:val="47F941DE"/>
    <w:rsid w:val="47F95BF5"/>
    <w:rsid w:val="48052B82"/>
    <w:rsid w:val="481C1C7A"/>
    <w:rsid w:val="483D056E"/>
    <w:rsid w:val="485D476D"/>
    <w:rsid w:val="48B0305C"/>
    <w:rsid w:val="48D013E2"/>
    <w:rsid w:val="48D03190"/>
    <w:rsid w:val="48DC480D"/>
    <w:rsid w:val="48E56510"/>
    <w:rsid w:val="49675177"/>
    <w:rsid w:val="4977185E"/>
    <w:rsid w:val="4977360C"/>
    <w:rsid w:val="499C7517"/>
    <w:rsid w:val="49BF6D61"/>
    <w:rsid w:val="49D83A04"/>
    <w:rsid w:val="4A227A1C"/>
    <w:rsid w:val="4A331C29"/>
    <w:rsid w:val="4A4060F4"/>
    <w:rsid w:val="4A4C6E23"/>
    <w:rsid w:val="4A4E2219"/>
    <w:rsid w:val="4A742241"/>
    <w:rsid w:val="4A7638C4"/>
    <w:rsid w:val="4A8835F7"/>
    <w:rsid w:val="4A9106FD"/>
    <w:rsid w:val="4AA2290B"/>
    <w:rsid w:val="4AAE5753"/>
    <w:rsid w:val="4AB90145"/>
    <w:rsid w:val="4B0C5FD6"/>
    <w:rsid w:val="4B38326F"/>
    <w:rsid w:val="4B3D0885"/>
    <w:rsid w:val="4B4E65EF"/>
    <w:rsid w:val="4B5160DF"/>
    <w:rsid w:val="4B524331"/>
    <w:rsid w:val="4B5F07FC"/>
    <w:rsid w:val="4B6928EF"/>
    <w:rsid w:val="4BA04DE9"/>
    <w:rsid w:val="4BA601D9"/>
    <w:rsid w:val="4BAB57EF"/>
    <w:rsid w:val="4BB07FA1"/>
    <w:rsid w:val="4BBA0128"/>
    <w:rsid w:val="4BCD7E5B"/>
    <w:rsid w:val="4BDC009E"/>
    <w:rsid w:val="4BEF1B80"/>
    <w:rsid w:val="4BFE1DC3"/>
    <w:rsid w:val="4C043151"/>
    <w:rsid w:val="4C222991"/>
    <w:rsid w:val="4C237A7B"/>
    <w:rsid w:val="4C4A5008"/>
    <w:rsid w:val="4C4F0BA0"/>
    <w:rsid w:val="4C5440D8"/>
    <w:rsid w:val="4C6C31D0"/>
    <w:rsid w:val="4C714C8A"/>
    <w:rsid w:val="4C871DB8"/>
    <w:rsid w:val="4CAF7561"/>
    <w:rsid w:val="4CC748AA"/>
    <w:rsid w:val="4CDE39A2"/>
    <w:rsid w:val="4CE471BC"/>
    <w:rsid w:val="4CF907DC"/>
    <w:rsid w:val="4D0003BF"/>
    <w:rsid w:val="4D0478AD"/>
    <w:rsid w:val="4D0C6761"/>
    <w:rsid w:val="4D1F6494"/>
    <w:rsid w:val="4D2A6BE7"/>
    <w:rsid w:val="4D5A127B"/>
    <w:rsid w:val="4D752558"/>
    <w:rsid w:val="4D810EFD"/>
    <w:rsid w:val="4DB029E1"/>
    <w:rsid w:val="4DBC3CE3"/>
    <w:rsid w:val="4DC35387"/>
    <w:rsid w:val="4E6D76D3"/>
    <w:rsid w:val="4E824F2D"/>
    <w:rsid w:val="4EAA5D9A"/>
    <w:rsid w:val="4F0E056F"/>
    <w:rsid w:val="4F10078B"/>
    <w:rsid w:val="4F245FE4"/>
    <w:rsid w:val="4F54761A"/>
    <w:rsid w:val="4F5D32A4"/>
    <w:rsid w:val="4FC926E8"/>
    <w:rsid w:val="50106568"/>
    <w:rsid w:val="50504BB7"/>
    <w:rsid w:val="50506965"/>
    <w:rsid w:val="50772144"/>
    <w:rsid w:val="50834F8C"/>
    <w:rsid w:val="508356A0"/>
    <w:rsid w:val="508F3931"/>
    <w:rsid w:val="50B25872"/>
    <w:rsid w:val="50CA6717"/>
    <w:rsid w:val="50D13F4A"/>
    <w:rsid w:val="50DE39E2"/>
    <w:rsid w:val="50EB4D8E"/>
    <w:rsid w:val="511D0F3D"/>
    <w:rsid w:val="51204589"/>
    <w:rsid w:val="516A7EFA"/>
    <w:rsid w:val="519B00B4"/>
    <w:rsid w:val="51C15D6C"/>
    <w:rsid w:val="51F003FF"/>
    <w:rsid w:val="51F83758"/>
    <w:rsid w:val="52094756"/>
    <w:rsid w:val="521A36CE"/>
    <w:rsid w:val="52224331"/>
    <w:rsid w:val="5239722A"/>
    <w:rsid w:val="523A09B3"/>
    <w:rsid w:val="52512FB0"/>
    <w:rsid w:val="528101C5"/>
    <w:rsid w:val="52956034"/>
    <w:rsid w:val="52A1794C"/>
    <w:rsid w:val="52A7651D"/>
    <w:rsid w:val="52B37355"/>
    <w:rsid w:val="52B94C95"/>
    <w:rsid w:val="52CA43D7"/>
    <w:rsid w:val="52D95337"/>
    <w:rsid w:val="52E55A8A"/>
    <w:rsid w:val="52EB49A6"/>
    <w:rsid w:val="53095690"/>
    <w:rsid w:val="531E71EE"/>
    <w:rsid w:val="53234805"/>
    <w:rsid w:val="535C29DB"/>
    <w:rsid w:val="539B3C5F"/>
    <w:rsid w:val="53CB2ED2"/>
    <w:rsid w:val="53EA012A"/>
    <w:rsid w:val="54071A30"/>
    <w:rsid w:val="54176117"/>
    <w:rsid w:val="54330B09"/>
    <w:rsid w:val="54470DF5"/>
    <w:rsid w:val="5455279C"/>
    <w:rsid w:val="54613836"/>
    <w:rsid w:val="54C52A12"/>
    <w:rsid w:val="54CD67D6"/>
    <w:rsid w:val="54F00716"/>
    <w:rsid w:val="551D5F9C"/>
    <w:rsid w:val="553D637D"/>
    <w:rsid w:val="55442ED5"/>
    <w:rsid w:val="555E38D2"/>
    <w:rsid w:val="5560764A"/>
    <w:rsid w:val="55711857"/>
    <w:rsid w:val="557355CF"/>
    <w:rsid w:val="55774994"/>
    <w:rsid w:val="559A7000"/>
    <w:rsid w:val="559B2D78"/>
    <w:rsid w:val="55B1434A"/>
    <w:rsid w:val="55C20305"/>
    <w:rsid w:val="55CE0A58"/>
    <w:rsid w:val="55FE4ED9"/>
    <w:rsid w:val="56010E2D"/>
    <w:rsid w:val="563034C0"/>
    <w:rsid w:val="567F1D52"/>
    <w:rsid w:val="56910EF7"/>
    <w:rsid w:val="56941CA1"/>
    <w:rsid w:val="56BE6D1E"/>
    <w:rsid w:val="56CE143A"/>
    <w:rsid w:val="56D57BC4"/>
    <w:rsid w:val="56D95906"/>
    <w:rsid w:val="56E61DD1"/>
    <w:rsid w:val="56E878F7"/>
    <w:rsid w:val="57122BC6"/>
    <w:rsid w:val="574865E8"/>
    <w:rsid w:val="574A05B2"/>
    <w:rsid w:val="575651A9"/>
    <w:rsid w:val="5763342E"/>
    <w:rsid w:val="576F626A"/>
    <w:rsid w:val="57AA1051"/>
    <w:rsid w:val="57B721BF"/>
    <w:rsid w:val="57C540DC"/>
    <w:rsid w:val="57FA3D86"/>
    <w:rsid w:val="580E15DF"/>
    <w:rsid w:val="58647451"/>
    <w:rsid w:val="58810003"/>
    <w:rsid w:val="58944ADB"/>
    <w:rsid w:val="58A45E3A"/>
    <w:rsid w:val="58AE4B70"/>
    <w:rsid w:val="58B54151"/>
    <w:rsid w:val="58B953FB"/>
    <w:rsid w:val="58C3061C"/>
    <w:rsid w:val="58C47EF0"/>
    <w:rsid w:val="59014342"/>
    <w:rsid w:val="5906675A"/>
    <w:rsid w:val="593F1DBC"/>
    <w:rsid w:val="595B4CF8"/>
    <w:rsid w:val="596A6CE9"/>
    <w:rsid w:val="5975729D"/>
    <w:rsid w:val="5976568E"/>
    <w:rsid w:val="598633F7"/>
    <w:rsid w:val="598C3B80"/>
    <w:rsid w:val="5991071A"/>
    <w:rsid w:val="59A65848"/>
    <w:rsid w:val="59B166C6"/>
    <w:rsid w:val="59D423B5"/>
    <w:rsid w:val="59F20A8D"/>
    <w:rsid w:val="59FE7432"/>
    <w:rsid w:val="5A0F7891"/>
    <w:rsid w:val="5A2F1CE1"/>
    <w:rsid w:val="5A386DE8"/>
    <w:rsid w:val="5A3D7F5A"/>
    <w:rsid w:val="5A843DDB"/>
    <w:rsid w:val="5AC95C92"/>
    <w:rsid w:val="5ACD5782"/>
    <w:rsid w:val="5AE26D53"/>
    <w:rsid w:val="5AF20641"/>
    <w:rsid w:val="5AF54CD9"/>
    <w:rsid w:val="5B280C0A"/>
    <w:rsid w:val="5B3E21DC"/>
    <w:rsid w:val="5B4672E2"/>
    <w:rsid w:val="5B5C6B06"/>
    <w:rsid w:val="5B7924BC"/>
    <w:rsid w:val="5B7C4AB2"/>
    <w:rsid w:val="5B8D6CBF"/>
    <w:rsid w:val="5BA858A7"/>
    <w:rsid w:val="5BD26DC8"/>
    <w:rsid w:val="5BD3501A"/>
    <w:rsid w:val="5BD65D63"/>
    <w:rsid w:val="5BF64864"/>
    <w:rsid w:val="5C337866"/>
    <w:rsid w:val="5C4E28F2"/>
    <w:rsid w:val="5C841E70"/>
    <w:rsid w:val="5C8E0F41"/>
    <w:rsid w:val="5CCB5CF1"/>
    <w:rsid w:val="5CF1327E"/>
    <w:rsid w:val="5D0B07E3"/>
    <w:rsid w:val="5D6677C8"/>
    <w:rsid w:val="5DBC1ADE"/>
    <w:rsid w:val="5DBC7D30"/>
    <w:rsid w:val="5DBE5856"/>
    <w:rsid w:val="5DE057CC"/>
    <w:rsid w:val="5DE66B5A"/>
    <w:rsid w:val="5E055233"/>
    <w:rsid w:val="5E0B036F"/>
    <w:rsid w:val="5E192A8C"/>
    <w:rsid w:val="5E2D7546"/>
    <w:rsid w:val="5E323B4E"/>
    <w:rsid w:val="5E361890"/>
    <w:rsid w:val="5E3B6EA6"/>
    <w:rsid w:val="5E437B09"/>
    <w:rsid w:val="5E473A9D"/>
    <w:rsid w:val="5E631F59"/>
    <w:rsid w:val="5E7B7098"/>
    <w:rsid w:val="5E895E64"/>
    <w:rsid w:val="5E8E347A"/>
    <w:rsid w:val="5EAD75B7"/>
    <w:rsid w:val="5EBF1885"/>
    <w:rsid w:val="5EC61C02"/>
    <w:rsid w:val="5EE237C6"/>
    <w:rsid w:val="5EF13A09"/>
    <w:rsid w:val="5F105C3D"/>
    <w:rsid w:val="5F3C1128"/>
    <w:rsid w:val="5F9745B0"/>
    <w:rsid w:val="5FAD16DE"/>
    <w:rsid w:val="5FE61094"/>
    <w:rsid w:val="60033C5A"/>
    <w:rsid w:val="6017124D"/>
    <w:rsid w:val="605369D4"/>
    <w:rsid w:val="606114A1"/>
    <w:rsid w:val="609C6DF1"/>
    <w:rsid w:val="60E90E3C"/>
    <w:rsid w:val="61271964"/>
    <w:rsid w:val="612B4FB0"/>
    <w:rsid w:val="61645671"/>
    <w:rsid w:val="616B1851"/>
    <w:rsid w:val="616B7AA3"/>
    <w:rsid w:val="61B256D1"/>
    <w:rsid w:val="61CD250B"/>
    <w:rsid w:val="61D92C5E"/>
    <w:rsid w:val="61ED7FCA"/>
    <w:rsid w:val="622163B3"/>
    <w:rsid w:val="6223037D"/>
    <w:rsid w:val="6223212B"/>
    <w:rsid w:val="62287742"/>
    <w:rsid w:val="622A5268"/>
    <w:rsid w:val="624A590A"/>
    <w:rsid w:val="6254011E"/>
    <w:rsid w:val="625422E5"/>
    <w:rsid w:val="625F161B"/>
    <w:rsid w:val="628D57F7"/>
    <w:rsid w:val="629149FC"/>
    <w:rsid w:val="629D3A82"/>
    <w:rsid w:val="62B66AFB"/>
    <w:rsid w:val="62C90F25"/>
    <w:rsid w:val="62FB2C69"/>
    <w:rsid w:val="630E246E"/>
    <w:rsid w:val="63310878"/>
    <w:rsid w:val="636447A9"/>
    <w:rsid w:val="638906B4"/>
    <w:rsid w:val="638B61DA"/>
    <w:rsid w:val="638C3D00"/>
    <w:rsid w:val="63952BB5"/>
    <w:rsid w:val="63957059"/>
    <w:rsid w:val="639C3F43"/>
    <w:rsid w:val="63C45248"/>
    <w:rsid w:val="63D701A9"/>
    <w:rsid w:val="63DC07E4"/>
    <w:rsid w:val="63DF6526"/>
    <w:rsid w:val="64061D04"/>
    <w:rsid w:val="6410048D"/>
    <w:rsid w:val="64435053"/>
    <w:rsid w:val="646627A3"/>
    <w:rsid w:val="646B7DB9"/>
    <w:rsid w:val="646D1DA4"/>
    <w:rsid w:val="648C220A"/>
    <w:rsid w:val="649B41FB"/>
    <w:rsid w:val="64A37553"/>
    <w:rsid w:val="64C71494"/>
    <w:rsid w:val="64DB34B6"/>
    <w:rsid w:val="64F32289"/>
    <w:rsid w:val="64FF0C2E"/>
    <w:rsid w:val="653A7EB8"/>
    <w:rsid w:val="658E5B0E"/>
    <w:rsid w:val="65C459D3"/>
    <w:rsid w:val="65C47781"/>
    <w:rsid w:val="65C92FEA"/>
    <w:rsid w:val="65EC0A86"/>
    <w:rsid w:val="660404C6"/>
    <w:rsid w:val="66065FEC"/>
    <w:rsid w:val="661204ED"/>
    <w:rsid w:val="661E1587"/>
    <w:rsid w:val="66287D10"/>
    <w:rsid w:val="663366B5"/>
    <w:rsid w:val="66552ACF"/>
    <w:rsid w:val="668C6082"/>
    <w:rsid w:val="66A852F5"/>
    <w:rsid w:val="66F44096"/>
    <w:rsid w:val="66FD119D"/>
    <w:rsid w:val="672C3830"/>
    <w:rsid w:val="674943E2"/>
    <w:rsid w:val="67513297"/>
    <w:rsid w:val="677671A1"/>
    <w:rsid w:val="67C104F0"/>
    <w:rsid w:val="67C1666E"/>
    <w:rsid w:val="67D0065F"/>
    <w:rsid w:val="680227E3"/>
    <w:rsid w:val="6804655B"/>
    <w:rsid w:val="680622D3"/>
    <w:rsid w:val="681E586F"/>
    <w:rsid w:val="682546E2"/>
    <w:rsid w:val="682A665E"/>
    <w:rsid w:val="689864C9"/>
    <w:rsid w:val="68CA1553"/>
    <w:rsid w:val="68F95994"/>
    <w:rsid w:val="692A78CC"/>
    <w:rsid w:val="693144D5"/>
    <w:rsid w:val="693C6DF1"/>
    <w:rsid w:val="693F19BC"/>
    <w:rsid w:val="693F6A4B"/>
    <w:rsid w:val="6942733B"/>
    <w:rsid w:val="694A61CA"/>
    <w:rsid w:val="697274F4"/>
    <w:rsid w:val="69AA4EE0"/>
    <w:rsid w:val="69BA3375"/>
    <w:rsid w:val="69BD2E65"/>
    <w:rsid w:val="69C73CE4"/>
    <w:rsid w:val="69C845BD"/>
    <w:rsid w:val="69CB63AC"/>
    <w:rsid w:val="6A0665BA"/>
    <w:rsid w:val="6A2133F4"/>
    <w:rsid w:val="6A315C40"/>
    <w:rsid w:val="6A3D3329"/>
    <w:rsid w:val="6A6908F7"/>
    <w:rsid w:val="6A696B49"/>
    <w:rsid w:val="6A8D2838"/>
    <w:rsid w:val="6A8E65B0"/>
    <w:rsid w:val="6A99742E"/>
    <w:rsid w:val="6ABF6769"/>
    <w:rsid w:val="6AC67AF8"/>
    <w:rsid w:val="6AD9782B"/>
    <w:rsid w:val="6AE83F12"/>
    <w:rsid w:val="6B080110"/>
    <w:rsid w:val="6B122D3D"/>
    <w:rsid w:val="6B1940CB"/>
    <w:rsid w:val="6B1E7934"/>
    <w:rsid w:val="6B2976F6"/>
    <w:rsid w:val="6B2B3DFF"/>
    <w:rsid w:val="6B371AA7"/>
    <w:rsid w:val="6B3C7DBA"/>
    <w:rsid w:val="6B453E59"/>
    <w:rsid w:val="6B60619E"/>
    <w:rsid w:val="6B783DDA"/>
    <w:rsid w:val="6B7D0AFE"/>
    <w:rsid w:val="6B851761"/>
    <w:rsid w:val="6B855C05"/>
    <w:rsid w:val="6B874663"/>
    <w:rsid w:val="6B881251"/>
    <w:rsid w:val="6B8A321B"/>
    <w:rsid w:val="6B9B0F84"/>
    <w:rsid w:val="6BF30DC0"/>
    <w:rsid w:val="6BF863D7"/>
    <w:rsid w:val="6BFD1C3F"/>
    <w:rsid w:val="6BFF59B7"/>
    <w:rsid w:val="6C2B055A"/>
    <w:rsid w:val="6C4E4B32"/>
    <w:rsid w:val="6C7C7008"/>
    <w:rsid w:val="6C9205D9"/>
    <w:rsid w:val="6CA36342"/>
    <w:rsid w:val="6CBC7404"/>
    <w:rsid w:val="6CC263B6"/>
    <w:rsid w:val="6CF63A92"/>
    <w:rsid w:val="6CFA7F2C"/>
    <w:rsid w:val="6D203E37"/>
    <w:rsid w:val="6D2531FB"/>
    <w:rsid w:val="6D3D55D2"/>
    <w:rsid w:val="6D4B142B"/>
    <w:rsid w:val="6D6A50B2"/>
    <w:rsid w:val="6D9E6B0A"/>
    <w:rsid w:val="6DA00AD4"/>
    <w:rsid w:val="6DA305C4"/>
    <w:rsid w:val="6DBB76BC"/>
    <w:rsid w:val="6DBC51E2"/>
    <w:rsid w:val="6DE74955"/>
    <w:rsid w:val="6E777A87"/>
    <w:rsid w:val="6E7F06E9"/>
    <w:rsid w:val="6E8E3022"/>
    <w:rsid w:val="6ED0363B"/>
    <w:rsid w:val="6EDA6267"/>
    <w:rsid w:val="6EE964AB"/>
    <w:rsid w:val="6F1352D6"/>
    <w:rsid w:val="6F5D4E25"/>
    <w:rsid w:val="6F614293"/>
    <w:rsid w:val="6F7915DC"/>
    <w:rsid w:val="6F7E4E45"/>
    <w:rsid w:val="6F8A5598"/>
    <w:rsid w:val="6FA07198"/>
    <w:rsid w:val="6FA67EF8"/>
    <w:rsid w:val="6FB2689C"/>
    <w:rsid w:val="6FC34F4E"/>
    <w:rsid w:val="6FDC1B6B"/>
    <w:rsid w:val="6FED3D79"/>
    <w:rsid w:val="6FED5B27"/>
    <w:rsid w:val="70495453"/>
    <w:rsid w:val="706A53C9"/>
    <w:rsid w:val="708E730A"/>
    <w:rsid w:val="70AE52B6"/>
    <w:rsid w:val="70B14DA6"/>
    <w:rsid w:val="70B7060E"/>
    <w:rsid w:val="70D0347E"/>
    <w:rsid w:val="70EE7DA8"/>
    <w:rsid w:val="70FA674D"/>
    <w:rsid w:val="70FE283F"/>
    <w:rsid w:val="710870BC"/>
    <w:rsid w:val="711772FF"/>
    <w:rsid w:val="71357785"/>
    <w:rsid w:val="71486E01"/>
    <w:rsid w:val="714B0D57"/>
    <w:rsid w:val="715045BF"/>
    <w:rsid w:val="71791D68"/>
    <w:rsid w:val="71CD23D7"/>
    <w:rsid w:val="71D2074B"/>
    <w:rsid w:val="71D62D16"/>
    <w:rsid w:val="72005FE5"/>
    <w:rsid w:val="720A713E"/>
    <w:rsid w:val="720C6738"/>
    <w:rsid w:val="72255A4C"/>
    <w:rsid w:val="72404633"/>
    <w:rsid w:val="72775D75"/>
    <w:rsid w:val="727A1BE4"/>
    <w:rsid w:val="72847589"/>
    <w:rsid w:val="729130E1"/>
    <w:rsid w:val="729624A5"/>
    <w:rsid w:val="72BD7A32"/>
    <w:rsid w:val="72BF41FF"/>
    <w:rsid w:val="72DC25AE"/>
    <w:rsid w:val="72DF3E4C"/>
    <w:rsid w:val="730B2E93"/>
    <w:rsid w:val="731E3BC5"/>
    <w:rsid w:val="732F7237"/>
    <w:rsid w:val="73456F57"/>
    <w:rsid w:val="734F0FD2"/>
    <w:rsid w:val="73813156"/>
    <w:rsid w:val="73836ECE"/>
    <w:rsid w:val="738B5D82"/>
    <w:rsid w:val="73CB43D1"/>
    <w:rsid w:val="73D43285"/>
    <w:rsid w:val="73D80A57"/>
    <w:rsid w:val="73EF4563"/>
    <w:rsid w:val="740B2A1F"/>
    <w:rsid w:val="743401C8"/>
    <w:rsid w:val="74367A9C"/>
    <w:rsid w:val="745B7503"/>
    <w:rsid w:val="745E5840"/>
    <w:rsid w:val="74744A68"/>
    <w:rsid w:val="74934EEE"/>
    <w:rsid w:val="74A52E74"/>
    <w:rsid w:val="74AB5358"/>
    <w:rsid w:val="74D15904"/>
    <w:rsid w:val="74D80B53"/>
    <w:rsid w:val="750E27C7"/>
    <w:rsid w:val="752913AF"/>
    <w:rsid w:val="7530098F"/>
    <w:rsid w:val="7544268D"/>
    <w:rsid w:val="754461E9"/>
    <w:rsid w:val="7568637B"/>
    <w:rsid w:val="75750A98"/>
    <w:rsid w:val="75990C47"/>
    <w:rsid w:val="759A405B"/>
    <w:rsid w:val="75B96BD7"/>
    <w:rsid w:val="75E23A15"/>
    <w:rsid w:val="75E55C1E"/>
    <w:rsid w:val="75F66EDB"/>
    <w:rsid w:val="76143E0D"/>
    <w:rsid w:val="76342701"/>
    <w:rsid w:val="76653CB5"/>
    <w:rsid w:val="76654669"/>
    <w:rsid w:val="767F57B6"/>
    <w:rsid w:val="76904DE1"/>
    <w:rsid w:val="76E539FB"/>
    <w:rsid w:val="7711659E"/>
    <w:rsid w:val="7731279D"/>
    <w:rsid w:val="77343C5C"/>
    <w:rsid w:val="77446974"/>
    <w:rsid w:val="7750356B"/>
    <w:rsid w:val="777D3C34"/>
    <w:rsid w:val="7787268A"/>
    <w:rsid w:val="778D7AB3"/>
    <w:rsid w:val="7791148D"/>
    <w:rsid w:val="77B43AFA"/>
    <w:rsid w:val="78126A72"/>
    <w:rsid w:val="78197E01"/>
    <w:rsid w:val="782A7918"/>
    <w:rsid w:val="78414C61"/>
    <w:rsid w:val="787943FB"/>
    <w:rsid w:val="78A551F0"/>
    <w:rsid w:val="78AB7B6D"/>
    <w:rsid w:val="78B74F24"/>
    <w:rsid w:val="78CD4747"/>
    <w:rsid w:val="78D6184E"/>
    <w:rsid w:val="793842B6"/>
    <w:rsid w:val="793F5645"/>
    <w:rsid w:val="794C470D"/>
    <w:rsid w:val="799E680F"/>
    <w:rsid w:val="79AA7F5D"/>
    <w:rsid w:val="79AC0800"/>
    <w:rsid w:val="79D833A4"/>
    <w:rsid w:val="79E67179"/>
    <w:rsid w:val="79F006ED"/>
    <w:rsid w:val="7A0D74F1"/>
    <w:rsid w:val="7A163D77"/>
    <w:rsid w:val="7A187C44"/>
    <w:rsid w:val="7A3C3932"/>
    <w:rsid w:val="7A680BCB"/>
    <w:rsid w:val="7A6F5AB6"/>
    <w:rsid w:val="7A7632E8"/>
    <w:rsid w:val="7A770E0E"/>
    <w:rsid w:val="7A86651D"/>
    <w:rsid w:val="7A8F6158"/>
    <w:rsid w:val="7AAC3A88"/>
    <w:rsid w:val="7ACD0A2E"/>
    <w:rsid w:val="7AF1296F"/>
    <w:rsid w:val="7AF95CC7"/>
    <w:rsid w:val="7B15210C"/>
    <w:rsid w:val="7B1D7C08"/>
    <w:rsid w:val="7B1E74DC"/>
    <w:rsid w:val="7B3041E8"/>
    <w:rsid w:val="7B310FBD"/>
    <w:rsid w:val="7B315461"/>
    <w:rsid w:val="7B451E91"/>
    <w:rsid w:val="7B494559"/>
    <w:rsid w:val="7B5A6766"/>
    <w:rsid w:val="7B5D0004"/>
    <w:rsid w:val="7B661E49"/>
    <w:rsid w:val="7B6A44CF"/>
    <w:rsid w:val="7B786BEC"/>
    <w:rsid w:val="7B89704B"/>
    <w:rsid w:val="7B9D48A5"/>
    <w:rsid w:val="7BB37C24"/>
    <w:rsid w:val="7BED153B"/>
    <w:rsid w:val="7BF73FB5"/>
    <w:rsid w:val="7BFC5A6F"/>
    <w:rsid w:val="7C162DDE"/>
    <w:rsid w:val="7C415D04"/>
    <w:rsid w:val="7C444D20"/>
    <w:rsid w:val="7C4D1E27"/>
    <w:rsid w:val="7C55517F"/>
    <w:rsid w:val="7C817D22"/>
    <w:rsid w:val="7C9061B7"/>
    <w:rsid w:val="7CC763F6"/>
    <w:rsid w:val="7CD04806"/>
    <w:rsid w:val="7CE0713F"/>
    <w:rsid w:val="7D052701"/>
    <w:rsid w:val="7D197F5B"/>
    <w:rsid w:val="7D450D50"/>
    <w:rsid w:val="7D4633F9"/>
    <w:rsid w:val="7D5A0C9F"/>
    <w:rsid w:val="7D625DA6"/>
    <w:rsid w:val="7D641B1E"/>
    <w:rsid w:val="7D957F29"/>
    <w:rsid w:val="7DA0242A"/>
    <w:rsid w:val="7DA41F1A"/>
    <w:rsid w:val="7DC97BD3"/>
    <w:rsid w:val="7DF509C8"/>
    <w:rsid w:val="7E2347A1"/>
    <w:rsid w:val="7E4510FE"/>
    <w:rsid w:val="7E4E1E86"/>
    <w:rsid w:val="7E5D13CC"/>
    <w:rsid w:val="7E6B6EDC"/>
    <w:rsid w:val="7E8D73D3"/>
    <w:rsid w:val="7EAB552B"/>
    <w:rsid w:val="7EAF501B"/>
    <w:rsid w:val="7ED06D3F"/>
    <w:rsid w:val="7EDE320A"/>
    <w:rsid w:val="7EF0118F"/>
    <w:rsid w:val="7F160BF6"/>
    <w:rsid w:val="7F2D1A56"/>
    <w:rsid w:val="7F565ECA"/>
    <w:rsid w:val="7F6A7194"/>
    <w:rsid w:val="7F6F6558"/>
    <w:rsid w:val="7F930498"/>
    <w:rsid w:val="7FA2248A"/>
    <w:rsid w:val="7FA75CF2"/>
    <w:rsid w:val="7FAD7F60"/>
    <w:rsid w:val="7FD91C23"/>
    <w:rsid w:val="7FE9206A"/>
    <w:rsid w:val="7FF15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color w:val="auto"/>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uiPriority w:val="0"/>
    <w:pPr>
      <w:ind w:left="840" w:leftChars="400"/>
    </w:pPr>
  </w:style>
  <w:style w:type="paragraph" w:styleId="3">
    <w:name w:val="toc 1"/>
    <w:basedOn w:val="1"/>
    <w:next w:val="1"/>
    <w:uiPriority w:val="0"/>
  </w:style>
  <w:style w:type="paragraph" w:styleId="4">
    <w:name w:val="toc 2"/>
    <w:basedOn w:val="1"/>
    <w:next w:val="1"/>
    <w:uiPriority w:val="0"/>
    <w:pPr>
      <w:ind w:left="420" w:leftChars="200"/>
    </w:p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2068</Words>
  <Characters>4240</Characters>
  <Lines>0</Lines>
  <Paragraphs>0</Paragraphs>
  <TotalTime>0</TotalTime>
  <ScaleCrop>false</ScaleCrop>
  <LinksUpToDate>false</LinksUpToDate>
  <CharactersWithSpaces>4507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2024-02-25T08:24:00Z</dcterms:created>
  <dc:creator>windows</dc:creator>
  <cp:lastModifiedBy>写作编辑</cp:lastModifiedBy>
  <dcterms:modified xsi:type="dcterms:W3CDTF">2025-10-26T02:37:10Z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A24D56570C8748A88D33D78FDFA2D31F_12</vt:lpwstr>
  </property>
  <property fmtid="{D5CDD505-2E9C-101B-9397-08002B2CF9AE}" pid="4" name="KSOTemplateDocerSaveRecord">
    <vt:lpwstr>eyJoZGlkIjoiMzZiZTAxMjQ5YWRjMWQzMjdiODIzMTI5ZmRmN2UwMjEiLCJ1c2VySWQiOiI3NTQ0NTIxMTEifQ==</vt:lpwstr>
  </property>
</Properties>
</file>