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009" w:rsidRDefault="007B38DC">
      <w:pPr>
        <w:pStyle w:val="Head"/>
        <w:rPr>
          <w:lang w:eastAsia="zh-CN"/>
        </w:rPr>
      </w:pPr>
      <w:r>
        <w:rPr>
          <w:lang w:eastAsia="zh-CN"/>
        </w:rPr>
        <w:t>■ A</w:t>
      </w:r>
      <w:r>
        <w:rPr>
          <w:lang w:eastAsia="zh-CN"/>
        </w:rPr>
        <w:t>股市场回顾</w:t>
      </w:r>
    </w:p>
    <w:p w:rsidR="00846009" w:rsidRDefault="007B38DC">
      <w:pPr>
        <w:pStyle w:val="Para"/>
        <w:rPr>
          <w:lang w:eastAsia="zh-CN"/>
        </w:rPr>
      </w:pPr>
      <w:r>
        <w:rPr>
          <w:lang w:eastAsia="zh-CN"/>
        </w:rPr>
        <w:t>本周</w:t>
      </w:r>
      <w:r>
        <w:rPr>
          <w:lang w:eastAsia="zh-CN"/>
        </w:rPr>
        <w:t>A</w:t>
      </w:r>
      <w:r>
        <w:rPr>
          <w:lang w:eastAsia="zh-CN"/>
        </w:rPr>
        <w:t>股市场整体呈现分化趋势，主要指数表现不一：沪深</w:t>
      </w:r>
      <w:r>
        <w:rPr>
          <w:lang w:eastAsia="zh-CN"/>
        </w:rPr>
        <w:t>300</w:t>
      </w:r>
      <w:r>
        <w:rPr>
          <w:lang w:eastAsia="zh-CN"/>
        </w:rPr>
        <w:t>涨</w:t>
      </w:r>
      <w:r>
        <w:rPr>
          <w:lang w:eastAsia="zh-CN"/>
        </w:rPr>
        <w:t>0.86%</w:t>
      </w:r>
      <w:r>
        <w:rPr>
          <w:lang w:eastAsia="zh-CN"/>
        </w:rPr>
        <w:t>，中证</w:t>
      </w:r>
      <w:r>
        <w:rPr>
          <w:lang w:eastAsia="zh-CN"/>
        </w:rPr>
        <w:t>500</w:t>
      </w:r>
      <w:r>
        <w:rPr>
          <w:lang w:eastAsia="zh-CN"/>
        </w:rPr>
        <w:t>涨</w:t>
      </w:r>
      <w:r>
        <w:rPr>
          <w:lang w:eastAsia="zh-CN"/>
        </w:rPr>
        <w:t>0.41%</w:t>
      </w:r>
      <w:r>
        <w:rPr>
          <w:lang w:eastAsia="zh-CN"/>
        </w:rPr>
        <w:t>，中证</w:t>
      </w:r>
      <w:r>
        <w:rPr>
          <w:lang w:eastAsia="zh-CN"/>
        </w:rPr>
        <w:t>1000</w:t>
      </w:r>
      <w:r>
        <w:rPr>
          <w:lang w:eastAsia="zh-CN"/>
        </w:rPr>
        <w:t>跌</w:t>
      </w:r>
      <w:r>
        <w:rPr>
          <w:lang w:eastAsia="zh-CN"/>
        </w:rPr>
        <w:t>0.04%</w:t>
      </w:r>
      <w:r>
        <w:rPr>
          <w:lang w:eastAsia="zh-CN"/>
        </w:rPr>
        <w:t>，创业板</w:t>
      </w:r>
      <w:r>
        <w:rPr>
          <w:lang w:eastAsia="zh-CN"/>
        </w:rPr>
        <w:t>50</w:t>
      </w:r>
      <w:r>
        <w:rPr>
          <w:lang w:eastAsia="zh-CN"/>
        </w:rPr>
        <w:t>跌</w:t>
      </w:r>
      <w:r>
        <w:rPr>
          <w:lang w:eastAsia="zh-CN"/>
        </w:rPr>
        <w:t>0.42%</w:t>
      </w:r>
      <w:r>
        <w:rPr>
          <w:lang w:eastAsia="zh-CN"/>
        </w:rPr>
        <w:t>，</w:t>
      </w:r>
      <w:proofErr w:type="gramStart"/>
      <w:r>
        <w:rPr>
          <w:lang w:eastAsia="zh-CN"/>
        </w:rPr>
        <w:t>科创</w:t>
      </w:r>
      <w:proofErr w:type="gramEnd"/>
      <w:r>
        <w:rPr>
          <w:lang w:eastAsia="zh-CN"/>
        </w:rPr>
        <w:t>50</w:t>
      </w:r>
      <w:r>
        <w:rPr>
          <w:lang w:eastAsia="zh-CN"/>
        </w:rPr>
        <w:t>涨</w:t>
      </w:r>
      <w:r>
        <w:rPr>
          <w:lang w:eastAsia="zh-CN"/>
        </w:rPr>
        <w:t>2.13%</w:t>
      </w:r>
      <w:r>
        <w:rPr>
          <w:lang w:eastAsia="zh-CN"/>
        </w:rPr>
        <w:t>。交易面，</w:t>
      </w:r>
      <w:r>
        <w:rPr>
          <w:lang w:eastAsia="zh-CN"/>
        </w:rPr>
        <w:t>A</w:t>
      </w:r>
      <w:r>
        <w:rPr>
          <w:lang w:eastAsia="zh-CN"/>
        </w:rPr>
        <w:t>股市场本周日均成交额在</w:t>
      </w:r>
      <w:r>
        <w:rPr>
          <w:lang w:eastAsia="zh-CN"/>
        </w:rPr>
        <w:t>2.6</w:t>
      </w:r>
      <w:proofErr w:type="gramStart"/>
      <w:r>
        <w:rPr>
          <w:lang w:eastAsia="zh-CN"/>
        </w:rPr>
        <w:t>万亿</w:t>
      </w:r>
      <w:proofErr w:type="gramEnd"/>
      <w:r>
        <w:rPr>
          <w:lang w:eastAsia="zh-CN"/>
        </w:rPr>
        <w:t>左右，市场投资热情高涨。本周市场热点依次为</w:t>
      </w:r>
      <w:r>
        <w:rPr>
          <w:lang w:eastAsia="zh-CN"/>
        </w:rPr>
        <w:t>CPO</w:t>
      </w:r>
      <w:r>
        <w:rPr>
          <w:lang w:eastAsia="zh-CN"/>
        </w:rPr>
        <w:t>、</w:t>
      </w:r>
      <w:proofErr w:type="gramStart"/>
      <w:r>
        <w:rPr>
          <w:lang w:eastAsia="zh-CN"/>
        </w:rPr>
        <w:t>算力租赁</w:t>
      </w:r>
      <w:proofErr w:type="gramEnd"/>
      <w:r>
        <w:rPr>
          <w:lang w:eastAsia="zh-CN"/>
        </w:rPr>
        <w:t>、先进封装和玻璃基板，板块呈现快速轮动特征</w:t>
      </w:r>
      <w:r>
        <w:rPr>
          <w:lang w:eastAsia="zh-CN"/>
        </w:rPr>
        <w:t>。</w:t>
      </w:r>
      <w:r>
        <w:rPr>
          <w:lang w:eastAsia="zh-CN"/>
        </w:rPr>
        <w:t>CPO</w:t>
      </w:r>
      <w:r>
        <w:rPr>
          <w:lang w:eastAsia="zh-CN"/>
        </w:rPr>
        <w:t>因集</w:t>
      </w:r>
      <w:proofErr w:type="gramStart"/>
      <w:r>
        <w:rPr>
          <w:lang w:eastAsia="zh-CN"/>
        </w:rPr>
        <w:t>邦</w:t>
      </w:r>
      <w:proofErr w:type="gramEnd"/>
      <w:r>
        <w:rPr>
          <w:lang w:eastAsia="zh-CN"/>
        </w:rPr>
        <w:t>咨询预测全球</w:t>
      </w:r>
      <w:r>
        <w:rPr>
          <w:lang w:eastAsia="zh-CN"/>
        </w:rPr>
        <w:t>AI</w:t>
      </w:r>
      <w:r>
        <w:rPr>
          <w:lang w:eastAsia="zh-CN"/>
        </w:rPr>
        <w:t>光收发模块市场规模</w:t>
      </w:r>
      <w:r>
        <w:rPr>
          <w:lang w:eastAsia="zh-CN"/>
        </w:rPr>
        <w:t>2026</w:t>
      </w:r>
      <w:r>
        <w:rPr>
          <w:lang w:eastAsia="zh-CN"/>
        </w:rPr>
        <w:t>年达</w:t>
      </w:r>
      <w:r>
        <w:rPr>
          <w:lang w:eastAsia="zh-CN"/>
        </w:rPr>
        <w:t>260</w:t>
      </w:r>
      <w:r>
        <w:rPr>
          <w:lang w:eastAsia="zh-CN"/>
        </w:rPr>
        <w:t>亿美元而热度高，</w:t>
      </w:r>
      <w:proofErr w:type="gramStart"/>
      <w:r>
        <w:rPr>
          <w:lang w:eastAsia="zh-CN"/>
        </w:rPr>
        <w:t>算力租赁</w:t>
      </w:r>
      <w:proofErr w:type="gramEnd"/>
      <w:r>
        <w:rPr>
          <w:lang w:eastAsia="zh-CN"/>
        </w:rPr>
        <w:t>H100</w:t>
      </w:r>
      <w:r>
        <w:rPr>
          <w:lang w:eastAsia="zh-CN"/>
        </w:rPr>
        <w:t xml:space="preserve"> GPU</w:t>
      </w:r>
      <w:r>
        <w:rPr>
          <w:lang w:eastAsia="zh-CN"/>
        </w:rPr>
        <w:t>租约价格升至每小时</w:t>
      </w:r>
      <w:r>
        <w:rPr>
          <w:lang w:eastAsia="zh-CN"/>
        </w:rPr>
        <w:t>2.35</w:t>
      </w:r>
      <w:r>
        <w:rPr>
          <w:lang w:eastAsia="zh-CN"/>
        </w:rPr>
        <w:t>美元显示需求强劲，先进封装受</w:t>
      </w:r>
      <w:r>
        <w:rPr>
          <w:lang w:eastAsia="zh-CN"/>
        </w:rPr>
        <w:t>SK</w:t>
      </w:r>
      <w:r>
        <w:rPr>
          <w:lang w:eastAsia="zh-CN"/>
        </w:rPr>
        <w:t>海力士投资</w:t>
      </w:r>
      <w:r>
        <w:rPr>
          <w:lang w:eastAsia="zh-CN"/>
        </w:rPr>
        <w:t>19</w:t>
      </w:r>
      <w:proofErr w:type="gramStart"/>
      <w:r>
        <w:rPr>
          <w:lang w:eastAsia="zh-CN"/>
        </w:rPr>
        <w:t>万亿</w:t>
      </w:r>
      <w:proofErr w:type="gramEnd"/>
      <w:r>
        <w:rPr>
          <w:lang w:eastAsia="zh-CN"/>
        </w:rPr>
        <w:t>韩元建厂提振，玻璃基板延续强势。建议关注景气度高的成长板块，如人工智能和先进封装。</w:t>
      </w:r>
    </w:p>
    <w:p w:rsidR="00546273" w:rsidRDefault="00546273" w:rsidP="00546273">
      <w:pPr>
        <w:pStyle w:val="Cap"/>
        <w:rPr>
          <w:rFonts w:hint="eastAsia"/>
          <w:lang w:eastAsia="zh-CN"/>
        </w:rPr>
      </w:pPr>
      <w:r>
        <w:rPr>
          <w:noProof/>
          <w:lang w:eastAsia="zh-CN"/>
        </w:rPr>
        <w:drawing>
          <wp:anchor distT="0" distB="0" distL="114300" distR="114300" simplePos="0" relativeHeight="251658240" behindDoc="0" locked="0" layoutInCell="1" allowOverlap="1" wp14:anchorId="76A4EB8F" wp14:editId="2FEDD76B">
            <wp:simplePos x="0" y="0"/>
            <wp:positionH relativeFrom="column">
              <wp:posOffset>1905</wp:posOffset>
            </wp:positionH>
            <wp:positionV relativeFrom="paragraph">
              <wp:posOffset>212725</wp:posOffset>
            </wp:positionV>
            <wp:extent cx="5490210" cy="1798320"/>
            <wp:effectExtent l="0" t="0" r="0" b="0"/>
            <wp:wrapSquare wrapText="bothSides"/>
            <wp:docPr id="4" name="图表 4">
              <a:extLst xmlns:a="http://schemas.openxmlformats.org/drawingml/2006/main">
                <a:ext uri="{FF2B5EF4-FFF2-40B4-BE49-F238E27FC236}">
                  <a16:creationId xmlns:a16="http://schemas.microsoft.com/office/drawing/2014/main" id="{46CFC74C-408B-4AD8-87FA-BF433390E6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7B38DC">
        <w:rPr>
          <w:lang w:eastAsia="zh-CN"/>
        </w:rPr>
        <w:t>图</w:t>
      </w:r>
      <w:r w:rsidR="007B38DC">
        <w:rPr>
          <w:lang w:eastAsia="zh-CN"/>
        </w:rPr>
        <w:t>1</w:t>
      </w:r>
      <w:r w:rsidR="007B38DC">
        <w:rPr>
          <w:lang w:eastAsia="zh-CN"/>
        </w:rPr>
        <w:t>：</w:t>
      </w:r>
      <w:proofErr w:type="gramStart"/>
      <w:r w:rsidR="007B38DC">
        <w:rPr>
          <w:lang w:eastAsia="zh-CN"/>
        </w:rPr>
        <w:t>申万一级</w:t>
      </w:r>
      <w:proofErr w:type="gramEnd"/>
      <w:r w:rsidR="007B38DC">
        <w:rPr>
          <w:lang w:eastAsia="zh-CN"/>
        </w:rPr>
        <w:t>各板块表现</w:t>
      </w:r>
    </w:p>
    <w:p w:rsidR="00846009" w:rsidRDefault="007B38DC">
      <w:pPr>
        <w:pStyle w:val="Source"/>
        <w:rPr>
          <w:lang w:eastAsia="zh-CN"/>
        </w:rPr>
      </w:pPr>
      <w:r>
        <w:rPr>
          <w:lang w:eastAsia="zh-CN"/>
        </w:rPr>
        <w:t>数据来源：</w:t>
      </w:r>
      <w:r>
        <w:rPr>
          <w:lang w:eastAsia="zh-CN"/>
        </w:rPr>
        <w:t>Wind</w:t>
      </w:r>
      <w:r>
        <w:rPr>
          <w:lang w:eastAsia="zh-CN"/>
        </w:rPr>
        <w:t>，华安基金，</w:t>
      </w:r>
      <w:r>
        <w:rPr>
          <w:lang w:eastAsia="zh-CN"/>
        </w:rPr>
        <w:t>2026-04-20</w:t>
      </w:r>
      <w:r>
        <w:rPr>
          <w:lang w:eastAsia="zh-CN"/>
        </w:rPr>
        <w:t>至</w:t>
      </w:r>
      <w:r>
        <w:rPr>
          <w:lang w:eastAsia="zh-CN"/>
        </w:rPr>
        <w:t>2026-04-24</w:t>
      </w:r>
    </w:p>
    <w:p w:rsidR="00846009" w:rsidRDefault="00846009">
      <w:pPr>
        <w:spacing w:after="0" w:line="240" w:lineRule="auto"/>
        <w:rPr>
          <w:lang w:eastAsia="zh-CN"/>
        </w:rPr>
      </w:pPr>
    </w:p>
    <w:p w:rsidR="00846009" w:rsidRDefault="007B38DC" w:rsidP="00546273">
      <w:pPr>
        <w:pStyle w:val="Para"/>
        <w:rPr>
          <w:lang w:eastAsia="zh-CN"/>
        </w:rPr>
      </w:pPr>
      <w:r>
        <w:rPr>
          <w:lang w:eastAsia="zh-CN"/>
        </w:rPr>
        <w:t>近期中国宏观经济数据显示，经济平稳良好开局，主要指标稳中有进。货币政策方面，中国人民银行将继续实施适度宽松的货币政策，灵活高效</w:t>
      </w:r>
      <w:proofErr w:type="gramStart"/>
      <w:r>
        <w:rPr>
          <w:lang w:eastAsia="zh-CN"/>
        </w:rPr>
        <w:t>运用降准降息</w:t>
      </w:r>
      <w:proofErr w:type="gramEnd"/>
      <w:r>
        <w:rPr>
          <w:lang w:eastAsia="zh-CN"/>
        </w:rPr>
        <w:t>等多种工具，维护股票、债券、外汇等金融市场平稳运行，并推进金融稳定法立法修法。财政政策方面，中央财政安排</w:t>
      </w:r>
      <w:r>
        <w:rPr>
          <w:lang w:eastAsia="zh-CN"/>
        </w:rPr>
        <w:t>1000</w:t>
      </w:r>
      <w:r>
        <w:rPr>
          <w:lang w:eastAsia="zh-CN"/>
        </w:rPr>
        <w:t>亿元支持财政金融协同促内需，财政部称可惠及万亿级信贷；全国科学技术支出安排近</w:t>
      </w:r>
      <w:r>
        <w:rPr>
          <w:lang w:eastAsia="zh-CN"/>
        </w:rPr>
        <w:t>1.3</w:t>
      </w:r>
      <w:proofErr w:type="gramStart"/>
      <w:r>
        <w:rPr>
          <w:lang w:eastAsia="zh-CN"/>
        </w:rPr>
        <w:t>万亿</w:t>
      </w:r>
      <w:proofErr w:type="gramEnd"/>
      <w:r>
        <w:rPr>
          <w:lang w:eastAsia="zh-CN"/>
        </w:rPr>
        <w:t>元，同比增长</w:t>
      </w:r>
      <w:r>
        <w:rPr>
          <w:lang w:eastAsia="zh-CN"/>
        </w:rPr>
        <w:t>7.1%</w:t>
      </w:r>
      <w:r>
        <w:rPr>
          <w:lang w:eastAsia="zh-CN"/>
        </w:rPr>
        <w:t>；教育、社会保障和就业等四项支出合计超</w:t>
      </w:r>
      <w:r>
        <w:rPr>
          <w:lang w:eastAsia="zh-CN"/>
        </w:rPr>
        <w:t>12.4</w:t>
      </w:r>
      <w:proofErr w:type="gramStart"/>
      <w:r>
        <w:rPr>
          <w:lang w:eastAsia="zh-CN"/>
        </w:rPr>
        <w:t>万亿</w:t>
      </w:r>
      <w:proofErr w:type="gramEnd"/>
      <w:r>
        <w:rPr>
          <w:lang w:eastAsia="zh-CN"/>
        </w:rPr>
        <w:t>元，支持就业稳定。产业政策方面，加快发展新材料产业，瞄准关键材料及产业链薄弱环节，提升重点领域自主保障水平；全链条推动集成电路、工业母机等关键技术攻关取得决定性突破；培育壮大海洋生物医药等新兴产业，推进万兆光网和</w:t>
      </w:r>
      <w:r>
        <w:rPr>
          <w:lang w:eastAsia="zh-CN"/>
        </w:rPr>
        <w:t>5G</w:t>
      </w:r>
      <w:r>
        <w:rPr>
          <w:lang w:eastAsia="zh-CN"/>
        </w:rPr>
        <w:t>－</w:t>
      </w:r>
      <w:r>
        <w:rPr>
          <w:lang w:eastAsia="zh-CN"/>
        </w:rPr>
        <w:t>A</w:t>
      </w:r>
      <w:r>
        <w:rPr>
          <w:lang w:eastAsia="zh-CN"/>
        </w:rPr>
        <w:t>移动通信网络规模商用，加快发展新质生产力。整体来看，短期经济稳中向好态势持续，中长期创新驱动和产业链升级将增强增长韧性。</w:t>
      </w:r>
    </w:p>
    <w:p w:rsidR="001928A4" w:rsidRPr="00546273" w:rsidRDefault="001928A4" w:rsidP="00546273">
      <w:pPr>
        <w:pStyle w:val="Para"/>
        <w:rPr>
          <w:rFonts w:hint="eastAsia"/>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w:t>
            </w:r>
            <w:r>
              <w:rPr>
                <w:rFonts w:ascii="楷体" w:eastAsia="楷体" w:hAnsi="楷体"/>
                <w:b/>
              </w:rPr>
              <w:t>关</w:t>
            </w:r>
            <w:r>
              <w:rPr>
                <w:rFonts w:ascii="楷体" w:eastAsia="楷体" w:hAnsi="楷体"/>
                <w:b/>
              </w:rPr>
              <w:t>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pPr>
              <w:rPr>
                <w:lang w:eastAsia="zh-CN"/>
              </w:rPr>
            </w:pPr>
            <w:r>
              <w:rPr>
                <w:rFonts w:ascii="楷体" w:eastAsia="楷体" w:hAnsi="楷体"/>
                <w:lang w:eastAsia="zh-CN"/>
              </w:rPr>
              <w:t>创业板</w:t>
            </w:r>
            <w:r>
              <w:rPr>
                <w:rFonts w:ascii="楷体" w:eastAsia="楷体" w:hAnsi="楷体"/>
                <w:lang w:eastAsia="zh-CN"/>
              </w:rPr>
              <w:t>50ETF</w:t>
            </w:r>
            <w:r>
              <w:rPr>
                <w:rFonts w:ascii="楷体" w:eastAsia="楷体" w:hAnsi="楷体"/>
                <w:lang w:eastAsia="zh-CN"/>
              </w:rPr>
              <w:t>华安</w:t>
            </w:r>
            <w:r>
              <w:rPr>
                <w:rFonts w:ascii="楷体" w:eastAsia="楷体" w:hAnsi="楷体"/>
                <w:lang w:eastAsia="zh-CN"/>
              </w:rPr>
              <w:t>(159949.SZ)</w:t>
            </w:r>
          </w:p>
        </w:tc>
        <w:tc>
          <w:tcPr>
            <w:tcW w:w="4323" w:type="dxa"/>
          </w:tcPr>
          <w:p w:rsidR="00846009" w:rsidRDefault="007B38DC">
            <w:r>
              <w:rPr>
                <w:rFonts w:ascii="楷体" w:eastAsia="楷体" w:hAnsi="楷体"/>
              </w:rPr>
              <w:t>上证</w:t>
            </w:r>
            <w:r>
              <w:rPr>
                <w:rFonts w:ascii="楷体" w:eastAsia="楷体" w:hAnsi="楷体"/>
              </w:rPr>
              <w:t>180ETF</w:t>
            </w:r>
            <w:r>
              <w:rPr>
                <w:rFonts w:ascii="楷体" w:eastAsia="楷体" w:hAnsi="楷体"/>
              </w:rPr>
              <w:t>华安</w:t>
            </w:r>
            <w:r>
              <w:rPr>
                <w:rFonts w:ascii="楷体" w:eastAsia="楷体" w:hAnsi="楷体"/>
              </w:rPr>
              <w:t>(510180.SH)</w:t>
            </w:r>
          </w:p>
        </w:tc>
      </w:tr>
      <w:tr w:rsidR="00846009">
        <w:trPr>
          <w:jc w:val="center"/>
        </w:trPr>
        <w:tc>
          <w:tcPr>
            <w:tcW w:w="4323" w:type="dxa"/>
          </w:tcPr>
          <w:p w:rsidR="00846009" w:rsidRDefault="007B38DC">
            <w:r>
              <w:rPr>
                <w:rFonts w:ascii="楷体" w:eastAsia="楷体" w:hAnsi="楷体"/>
              </w:rPr>
              <w:t>科创</w:t>
            </w:r>
            <w:r>
              <w:rPr>
                <w:rFonts w:ascii="楷体" w:eastAsia="楷体" w:hAnsi="楷体"/>
              </w:rPr>
              <w:t>50ETF</w:t>
            </w:r>
            <w:r>
              <w:rPr>
                <w:rFonts w:ascii="楷体" w:eastAsia="楷体" w:hAnsi="楷体"/>
              </w:rPr>
              <w:t>华安</w:t>
            </w:r>
            <w:r>
              <w:rPr>
                <w:rFonts w:ascii="楷体" w:eastAsia="楷体" w:hAnsi="楷体"/>
              </w:rPr>
              <w:t>(588280.SH)</w:t>
            </w:r>
          </w:p>
        </w:tc>
        <w:tc>
          <w:tcPr>
            <w:tcW w:w="4323" w:type="dxa"/>
          </w:tcPr>
          <w:p w:rsidR="00846009" w:rsidRDefault="007B38DC">
            <w:r>
              <w:rPr>
                <w:rFonts w:ascii="楷体" w:eastAsia="楷体" w:hAnsi="楷体"/>
              </w:rPr>
              <w:t>上证</w:t>
            </w:r>
            <w:r>
              <w:rPr>
                <w:rFonts w:ascii="楷体" w:eastAsia="楷体" w:hAnsi="楷体"/>
              </w:rPr>
              <w:t>50ETF</w:t>
            </w:r>
            <w:r>
              <w:rPr>
                <w:rFonts w:ascii="楷体" w:eastAsia="楷体" w:hAnsi="楷体"/>
              </w:rPr>
              <w:t>华安</w:t>
            </w:r>
            <w:r>
              <w:rPr>
                <w:rFonts w:ascii="楷体" w:eastAsia="楷体" w:hAnsi="楷体"/>
              </w:rPr>
              <w:t>(510190.SH)</w:t>
            </w:r>
          </w:p>
        </w:tc>
      </w:tr>
      <w:tr w:rsidR="00846009">
        <w:trPr>
          <w:jc w:val="center"/>
        </w:trPr>
        <w:tc>
          <w:tcPr>
            <w:tcW w:w="4323" w:type="dxa"/>
          </w:tcPr>
          <w:p w:rsidR="00846009" w:rsidRDefault="007B38DC">
            <w:r>
              <w:rPr>
                <w:rFonts w:ascii="楷体" w:eastAsia="楷体" w:hAnsi="楷体"/>
              </w:rPr>
              <w:t>沪深</w:t>
            </w:r>
            <w:r>
              <w:rPr>
                <w:rFonts w:ascii="楷体" w:eastAsia="楷体" w:hAnsi="楷体"/>
              </w:rPr>
              <w:t>300ETF</w:t>
            </w:r>
            <w:r>
              <w:rPr>
                <w:rFonts w:ascii="楷体" w:eastAsia="楷体" w:hAnsi="楷体"/>
              </w:rPr>
              <w:t>华安</w:t>
            </w:r>
            <w:r>
              <w:rPr>
                <w:rFonts w:ascii="楷体" w:eastAsia="楷体" w:hAnsi="楷体"/>
              </w:rPr>
              <w:t>(515390.SH)</w:t>
            </w:r>
          </w:p>
        </w:tc>
        <w:tc>
          <w:tcPr>
            <w:tcW w:w="4323" w:type="dxa"/>
          </w:tcPr>
          <w:p w:rsidR="00846009" w:rsidRDefault="007B38DC">
            <w:r>
              <w:rPr>
                <w:rFonts w:ascii="楷体" w:eastAsia="楷体" w:hAnsi="楷体"/>
              </w:rPr>
              <w:t>A500ETF</w:t>
            </w:r>
            <w:r>
              <w:rPr>
                <w:rFonts w:ascii="楷体" w:eastAsia="楷体" w:hAnsi="楷体"/>
              </w:rPr>
              <w:t>华安</w:t>
            </w:r>
            <w:r>
              <w:rPr>
                <w:rFonts w:ascii="楷体" w:eastAsia="楷体" w:hAnsi="楷体"/>
              </w:rPr>
              <w:t>(159359.SZ)</w:t>
            </w:r>
          </w:p>
        </w:tc>
      </w:tr>
    </w:tbl>
    <w:p w:rsidR="00846009" w:rsidRDefault="007B38DC" w:rsidP="00546273">
      <w:pPr>
        <w:pStyle w:val="Head"/>
      </w:pPr>
      <w:r>
        <w:lastRenderedPageBreak/>
        <w:t xml:space="preserve">■ </w:t>
      </w:r>
      <w:proofErr w:type="spellStart"/>
      <w:r>
        <w:t>行业点评</w:t>
      </w:r>
      <w:proofErr w:type="spellEnd"/>
    </w:p>
    <w:p w:rsidR="00846009" w:rsidRDefault="007B38DC">
      <w:pPr>
        <w:pStyle w:val="Sub"/>
      </w:pPr>
      <w:r>
        <w:t xml:space="preserve">※※ </w:t>
      </w:r>
      <w:r>
        <w:t>人工智能</w:t>
      </w:r>
      <w:bookmarkStart w:id="0" w:name="_GoBack"/>
      <w:bookmarkEnd w:id="0"/>
    </w:p>
    <w:p w:rsidR="00846009" w:rsidRDefault="007B38DC">
      <w:pPr>
        <w:pStyle w:val="Para"/>
        <w:rPr>
          <w:lang w:eastAsia="zh-CN"/>
        </w:rPr>
      </w:pPr>
      <w:r>
        <w:rPr>
          <w:lang w:eastAsia="zh-CN"/>
        </w:rPr>
        <w:t>人工智能行业近期热点集中在</w:t>
      </w:r>
      <w:proofErr w:type="gramStart"/>
      <w:r>
        <w:rPr>
          <w:lang w:eastAsia="zh-CN"/>
        </w:rPr>
        <w:t>算力基础</w:t>
      </w:r>
      <w:proofErr w:type="gramEnd"/>
      <w:r>
        <w:rPr>
          <w:lang w:eastAsia="zh-CN"/>
        </w:rPr>
        <w:t>设施和</w:t>
      </w:r>
      <w:r>
        <w:rPr>
          <w:lang w:eastAsia="zh-CN"/>
        </w:rPr>
        <w:t>AI</w:t>
      </w:r>
      <w:r>
        <w:rPr>
          <w:lang w:eastAsia="zh-CN"/>
        </w:rPr>
        <w:t>芯片领域。福布斯</w:t>
      </w:r>
      <w:r>
        <w:rPr>
          <w:lang w:eastAsia="zh-CN"/>
        </w:rPr>
        <w:t>AI50</w:t>
      </w:r>
      <w:r>
        <w:rPr>
          <w:lang w:eastAsia="zh-CN"/>
        </w:rPr>
        <w:t>榜单新增</w:t>
      </w:r>
      <w:r>
        <w:rPr>
          <w:lang w:eastAsia="zh-CN"/>
        </w:rPr>
        <w:t>20</w:t>
      </w:r>
      <w:r>
        <w:rPr>
          <w:lang w:eastAsia="zh-CN"/>
        </w:rPr>
        <w:t>家公司，领军企业融资额占总额</w:t>
      </w:r>
      <w:r>
        <w:rPr>
          <w:lang w:eastAsia="zh-CN"/>
        </w:rPr>
        <w:t>3056</w:t>
      </w:r>
      <w:r>
        <w:rPr>
          <w:lang w:eastAsia="zh-CN"/>
        </w:rPr>
        <w:t>亿美元的</w:t>
      </w:r>
      <w:r>
        <w:rPr>
          <w:lang w:eastAsia="zh-CN"/>
        </w:rPr>
        <w:t>80%</w:t>
      </w:r>
      <w:r>
        <w:rPr>
          <w:lang w:eastAsia="zh-CN"/>
        </w:rPr>
        <w:t>，显示资本高度集中；</w:t>
      </w:r>
      <w:proofErr w:type="gramStart"/>
      <w:r>
        <w:rPr>
          <w:lang w:eastAsia="zh-CN"/>
        </w:rPr>
        <w:t>英伟达</w:t>
      </w:r>
      <w:proofErr w:type="gramEnd"/>
      <w:r>
        <w:rPr>
          <w:lang w:eastAsia="zh-CN"/>
        </w:rPr>
        <w:t>投资</w:t>
      </w:r>
      <w:r>
        <w:rPr>
          <w:lang w:eastAsia="zh-CN"/>
        </w:rPr>
        <w:t>40</w:t>
      </w:r>
      <w:r>
        <w:rPr>
          <w:lang w:eastAsia="zh-CN"/>
        </w:rPr>
        <w:t>亿美元支持数据中心光学技术研发，强化</w:t>
      </w:r>
      <w:r>
        <w:rPr>
          <w:lang w:eastAsia="zh-CN"/>
        </w:rPr>
        <w:t>AI</w:t>
      </w:r>
      <w:proofErr w:type="gramStart"/>
      <w:r>
        <w:rPr>
          <w:lang w:eastAsia="zh-CN"/>
        </w:rPr>
        <w:t>算力生态</w:t>
      </w:r>
      <w:proofErr w:type="gramEnd"/>
      <w:r>
        <w:rPr>
          <w:lang w:eastAsia="zh-CN"/>
        </w:rPr>
        <w:t>；</w:t>
      </w:r>
      <w:proofErr w:type="spellStart"/>
      <w:r>
        <w:rPr>
          <w:lang w:eastAsia="zh-CN"/>
        </w:rPr>
        <w:t>OpenAI</w:t>
      </w:r>
      <w:proofErr w:type="spellEnd"/>
      <w:r>
        <w:rPr>
          <w:lang w:eastAsia="zh-CN"/>
        </w:rPr>
        <w:t>完成</w:t>
      </w:r>
      <w:r>
        <w:rPr>
          <w:lang w:eastAsia="zh-CN"/>
        </w:rPr>
        <w:t>1220</w:t>
      </w:r>
      <w:r>
        <w:rPr>
          <w:lang w:eastAsia="zh-CN"/>
        </w:rPr>
        <w:t>亿美元融资，创历史纪录，资金重点投向芯片和数据中心。产业层面，</w:t>
      </w:r>
      <w:r>
        <w:rPr>
          <w:lang w:eastAsia="zh-CN"/>
        </w:rPr>
        <w:t>AI</w:t>
      </w:r>
      <w:r>
        <w:rPr>
          <w:lang w:eastAsia="zh-CN"/>
        </w:rPr>
        <w:t>需求极为强劲，台积电</w:t>
      </w:r>
      <w:proofErr w:type="gramStart"/>
      <w:r>
        <w:rPr>
          <w:lang w:eastAsia="zh-CN"/>
        </w:rPr>
        <w:t>称全球</w:t>
      </w:r>
      <w:proofErr w:type="gramEnd"/>
      <w:r>
        <w:rPr>
          <w:lang w:eastAsia="zh-CN"/>
        </w:rPr>
        <w:t>处于</w:t>
      </w:r>
      <w:r>
        <w:rPr>
          <w:lang w:eastAsia="zh-CN"/>
        </w:rPr>
        <w:t>AI</w:t>
      </w:r>
      <w:r>
        <w:rPr>
          <w:lang w:eastAsia="zh-CN"/>
        </w:rPr>
        <w:t>大趋势中，光模块采购加速，</w:t>
      </w:r>
      <w:proofErr w:type="spellStart"/>
      <w:r>
        <w:rPr>
          <w:lang w:eastAsia="zh-CN"/>
        </w:rPr>
        <w:t>TrendForce</w:t>
      </w:r>
      <w:proofErr w:type="spellEnd"/>
      <w:r>
        <w:rPr>
          <w:lang w:eastAsia="zh-CN"/>
        </w:rPr>
        <w:t>预估</w:t>
      </w:r>
      <w:r>
        <w:rPr>
          <w:lang w:eastAsia="zh-CN"/>
        </w:rPr>
        <w:t>2026</w:t>
      </w:r>
      <w:r>
        <w:rPr>
          <w:lang w:eastAsia="zh-CN"/>
        </w:rPr>
        <w:t>年全球</w:t>
      </w:r>
      <w:r>
        <w:rPr>
          <w:lang w:eastAsia="zh-CN"/>
        </w:rPr>
        <w:t>AI</w:t>
      </w:r>
      <w:r>
        <w:rPr>
          <w:lang w:eastAsia="zh-CN"/>
        </w:rPr>
        <w:t>光收发模块市场规模达</w:t>
      </w:r>
      <w:r>
        <w:rPr>
          <w:lang w:eastAsia="zh-CN"/>
        </w:rPr>
        <w:t>260</w:t>
      </w:r>
      <w:r>
        <w:rPr>
          <w:lang w:eastAsia="zh-CN"/>
        </w:rPr>
        <w:t>亿美元，</w:t>
      </w:r>
      <w:proofErr w:type="gramStart"/>
      <w:r>
        <w:rPr>
          <w:lang w:eastAsia="zh-CN"/>
        </w:rPr>
        <w:t>年增超</w:t>
      </w:r>
      <w:proofErr w:type="gramEnd"/>
      <w:r>
        <w:rPr>
          <w:lang w:eastAsia="zh-CN"/>
        </w:rPr>
        <w:t>57%</w:t>
      </w:r>
      <w:r>
        <w:rPr>
          <w:lang w:eastAsia="zh-CN"/>
        </w:rPr>
        <w:t>；</w:t>
      </w:r>
      <w:r>
        <w:rPr>
          <w:lang w:eastAsia="zh-CN"/>
        </w:rPr>
        <w:t>Anthropic</w:t>
      </w:r>
      <w:proofErr w:type="gramStart"/>
      <w:r>
        <w:rPr>
          <w:lang w:eastAsia="zh-CN"/>
        </w:rPr>
        <w:t>年化收</w:t>
      </w:r>
      <w:proofErr w:type="gramEnd"/>
      <w:r>
        <w:rPr>
          <w:lang w:eastAsia="zh-CN"/>
        </w:rPr>
        <w:t>入超</w:t>
      </w:r>
      <w:r>
        <w:rPr>
          <w:lang w:eastAsia="zh-CN"/>
        </w:rPr>
        <w:t>300</w:t>
      </w:r>
      <w:r>
        <w:rPr>
          <w:lang w:eastAsia="zh-CN"/>
        </w:rPr>
        <w:t>亿美元，较</w:t>
      </w:r>
      <w:r>
        <w:rPr>
          <w:lang w:eastAsia="zh-CN"/>
        </w:rPr>
        <w:t>2025</w:t>
      </w:r>
      <w:r>
        <w:rPr>
          <w:lang w:eastAsia="zh-CN"/>
        </w:rPr>
        <w:t>年底增</w:t>
      </w:r>
      <w:r>
        <w:rPr>
          <w:lang w:eastAsia="zh-CN"/>
        </w:rPr>
        <w:t>长显著，应用商业化加速推进景气度提升。技术层面，</w:t>
      </w:r>
      <w:proofErr w:type="spellStart"/>
      <w:r>
        <w:rPr>
          <w:lang w:eastAsia="zh-CN"/>
        </w:rPr>
        <w:t>OpenAI</w:t>
      </w:r>
      <w:proofErr w:type="spellEnd"/>
      <w:r>
        <w:rPr>
          <w:lang w:eastAsia="zh-CN"/>
        </w:rPr>
        <w:t>发布领先的图像生成模型</w:t>
      </w:r>
      <w:r>
        <w:rPr>
          <w:lang w:eastAsia="zh-CN"/>
        </w:rPr>
        <w:t>Images 2</w:t>
      </w:r>
      <w:r>
        <w:rPr>
          <w:lang w:eastAsia="zh-CN"/>
        </w:rPr>
        <w:t>，在基准测试中优势突出；摩根士丹利预计</w:t>
      </w:r>
      <w:r>
        <w:rPr>
          <w:lang w:eastAsia="zh-CN"/>
        </w:rPr>
        <w:t>AI</w:t>
      </w:r>
      <w:r>
        <w:rPr>
          <w:lang w:eastAsia="zh-CN"/>
        </w:rPr>
        <w:t>智能体到</w:t>
      </w:r>
      <w:r>
        <w:rPr>
          <w:lang w:eastAsia="zh-CN"/>
        </w:rPr>
        <w:t>2030</w:t>
      </w:r>
      <w:r>
        <w:rPr>
          <w:lang w:eastAsia="zh-CN"/>
        </w:rPr>
        <w:t>年将为数据中心</w:t>
      </w:r>
      <w:r>
        <w:rPr>
          <w:lang w:eastAsia="zh-CN"/>
        </w:rPr>
        <w:t>CPU</w:t>
      </w:r>
      <w:r>
        <w:rPr>
          <w:lang w:eastAsia="zh-CN"/>
        </w:rPr>
        <w:t>市场额外增加</w:t>
      </w:r>
      <w:r>
        <w:rPr>
          <w:lang w:eastAsia="zh-CN"/>
        </w:rPr>
        <w:t>325-600</w:t>
      </w:r>
      <w:r>
        <w:rPr>
          <w:lang w:eastAsia="zh-CN"/>
        </w:rPr>
        <w:t>亿美元产值，技术从</w:t>
      </w:r>
      <w:r>
        <w:rPr>
          <w:lang w:eastAsia="zh-CN"/>
        </w:rPr>
        <w:t>GPU</w:t>
      </w:r>
      <w:r>
        <w:rPr>
          <w:lang w:eastAsia="zh-CN"/>
        </w:rPr>
        <w:t>向</w:t>
      </w:r>
      <w:r>
        <w:rPr>
          <w:lang w:eastAsia="zh-CN"/>
        </w:rPr>
        <w:t>CPU</w:t>
      </w:r>
      <w:r>
        <w:rPr>
          <w:lang w:eastAsia="zh-CN"/>
        </w:rPr>
        <w:t>扩展驱动创新深化。政策层面，昆山设立总规模</w:t>
      </w:r>
      <w:r>
        <w:rPr>
          <w:lang w:eastAsia="zh-CN"/>
        </w:rPr>
        <w:t>50</w:t>
      </w:r>
      <w:r>
        <w:rPr>
          <w:lang w:eastAsia="zh-CN"/>
        </w:rPr>
        <w:t>亿元人工智能产业基金，首期</w:t>
      </w:r>
      <w:r>
        <w:rPr>
          <w:lang w:eastAsia="zh-CN"/>
        </w:rPr>
        <w:t>20</w:t>
      </w:r>
      <w:r>
        <w:rPr>
          <w:lang w:eastAsia="zh-CN"/>
        </w:rPr>
        <w:t>亿元投向核心硬件和</w:t>
      </w:r>
      <w:proofErr w:type="gramStart"/>
      <w:r>
        <w:rPr>
          <w:lang w:eastAsia="zh-CN"/>
        </w:rPr>
        <w:t>算力基础</w:t>
      </w:r>
      <w:proofErr w:type="gramEnd"/>
      <w:r>
        <w:rPr>
          <w:lang w:eastAsia="zh-CN"/>
        </w:rPr>
        <w:t>设施，支持生态构建促进区域发展。</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pPr>
              <w:rPr>
                <w:lang w:eastAsia="zh-CN"/>
              </w:rPr>
            </w:pPr>
            <w:r>
              <w:rPr>
                <w:rFonts w:ascii="楷体" w:eastAsia="楷体" w:hAnsi="楷体"/>
                <w:lang w:eastAsia="zh-CN"/>
              </w:rPr>
              <w:t>创业板人工智能</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(159279.SZ)</w:t>
            </w:r>
          </w:p>
        </w:tc>
        <w:tc>
          <w:tcPr>
            <w:tcW w:w="4323" w:type="dxa"/>
          </w:tcPr>
          <w:p w:rsidR="00846009" w:rsidRDefault="007B38DC">
            <w:pPr>
              <w:rPr>
                <w:lang w:eastAsia="zh-CN"/>
              </w:rPr>
            </w:pPr>
            <w:r>
              <w:rPr>
                <w:rFonts w:ascii="楷体" w:eastAsia="楷体" w:hAnsi="楷体"/>
                <w:lang w:eastAsia="zh-CN"/>
              </w:rPr>
              <w:t>创业板</w:t>
            </w:r>
            <w:r>
              <w:rPr>
                <w:rFonts w:ascii="楷体" w:eastAsia="楷体" w:hAnsi="楷体"/>
                <w:lang w:eastAsia="zh-CN"/>
              </w:rPr>
              <w:t>50ETF</w:t>
            </w:r>
            <w:r>
              <w:rPr>
                <w:rFonts w:ascii="楷体" w:eastAsia="楷体" w:hAnsi="楷体"/>
                <w:lang w:eastAsia="zh-CN"/>
              </w:rPr>
              <w:t>华安</w:t>
            </w:r>
            <w:r>
              <w:rPr>
                <w:rFonts w:ascii="楷体" w:eastAsia="楷体" w:hAnsi="楷体"/>
                <w:lang w:eastAsia="zh-CN"/>
              </w:rPr>
              <w:t>(159949.SZ)</w:t>
            </w:r>
          </w:p>
        </w:tc>
      </w:tr>
      <w:tr w:rsidR="00846009">
        <w:trPr>
          <w:jc w:val="center"/>
        </w:trPr>
        <w:tc>
          <w:tcPr>
            <w:tcW w:w="4323" w:type="dxa"/>
          </w:tcPr>
          <w:p w:rsidR="00846009" w:rsidRDefault="007B38DC">
            <w:proofErr w:type="spellStart"/>
            <w:r>
              <w:rPr>
                <w:rFonts w:ascii="楷体" w:eastAsia="楷体" w:hAnsi="楷体"/>
              </w:rPr>
              <w:t>软件</w:t>
            </w:r>
            <w:r>
              <w:rPr>
                <w:rFonts w:ascii="楷体" w:eastAsia="楷体" w:hAnsi="楷体"/>
              </w:rPr>
              <w:t>ETF</w:t>
            </w:r>
            <w:r>
              <w:rPr>
                <w:rFonts w:ascii="楷体" w:eastAsia="楷体" w:hAnsi="楷体"/>
              </w:rPr>
              <w:t>华安</w:t>
            </w:r>
            <w:proofErr w:type="spellEnd"/>
            <w:r>
              <w:rPr>
                <w:rFonts w:ascii="楷体" w:eastAsia="楷体" w:hAnsi="楷体"/>
              </w:rPr>
              <w:t>(5610</w:t>
            </w:r>
            <w:r>
              <w:rPr>
                <w:rFonts w:ascii="楷体" w:eastAsia="楷体" w:hAnsi="楷体"/>
              </w:rPr>
              <w:t>10.SH)</w:t>
            </w:r>
          </w:p>
        </w:tc>
        <w:tc>
          <w:tcPr>
            <w:tcW w:w="4323" w:type="dxa"/>
          </w:tcPr>
          <w:p w:rsidR="00846009" w:rsidRDefault="007B38DC">
            <w:pPr>
              <w:rPr>
                <w:lang w:eastAsia="zh-CN"/>
              </w:rPr>
            </w:pPr>
            <w:r>
              <w:rPr>
                <w:rFonts w:ascii="楷体" w:eastAsia="楷体" w:hAnsi="楷体"/>
                <w:lang w:eastAsia="zh-CN"/>
              </w:rPr>
              <w:t>数字经济</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(159658.SZ)</w:t>
            </w:r>
          </w:p>
        </w:tc>
      </w:tr>
      <w:tr w:rsidR="00846009">
        <w:trPr>
          <w:jc w:val="center"/>
        </w:trPr>
        <w:tc>
          <w:tcPr>
            <w:tcW w:w="4323" w:type="dxa"/>
          </w:tcPr>
          <w:p w:rsidR="00846009" w:rsidRDefault="007B38DC">
            <w:proofErr w:type="spellStart"/>
            <w:r>
              <w:rPr>
                <w:rFonts w:ascii="楷体" w:eastAsia="楷体" w:hAnsi="楷体"/>
              </w:rPr>
              <w:t>港股通恒生科技</w:t>
            </w:r>
            <w:r>
              <w:rPr>
                <w:rFonts w:ascii="楷体" w:eastAsia="楷体" w:hAnsi="楷体"/>
              </w:rPr>
              <w:t>ETF</w:t>
            </w:r>
            <w:r>
              <w:rPr>
                <w:rFonts w:ascii="楷体" w:eastAsia="楷体" w:hAnsi="楷体"/>
              </w:rPr>
              <w:t>华安</w:t>
            </w:r>
            <w:proofErr w:type="spellEnd"/>
            <w:r>
              <w:rPr>
                <w:rFonts w:ascii="楷体" w:eastAsia="楷体" w:hAnsi="楷体"/>
              </w:rPr>
              <w:t>(520840.SH)</w:t>
            </w:r>
          </w:p>
        </w:tc>
        <w:tc>
          <w:tcPr>
            <w:tcW w:w="4323" w:type="dxa"/>
          </w:tcPr>
          <w:p w:rsidR="00846009" w:rsidRDefault="007B38DC">
            <w:r>
              <w:rPr>
                <w:rFonts w:ascii="楷体" w:eastAsia="楷体" w:hAnsi="楷体"/>
              </w:rPr>
              <w:t>恒生科技</w:t>
            </w:r>
            <w:r>
              <w:rPr>
                <w:rFonts w:ascii="楷体" w:eastAsia="楷体" w:hAnsi="楷体"/>
              </w:rPr>
              <w:t>ETF</w:t>
            </w:r>
            <w:r>
              <w:rPr>
                <w:rFonts w:ascii="楷体" w:eastAsia="楷体" w:hAnsi="楷体"/>
              </w:rPr>
              <w:t>华安</w:t>
            </w:r>
            <w:r>
              <w:rPr>
                <w:rFonts w:ascii="楷体" w:eastAsia="楷体" w:hAnsi="楷体"/>
              </w:rPr>
              <w:t>(513580.SH)</w:t>
            </w:r>
          </w:p>
        </w:tc>
      </w:tr>
    </w:tbl>
    <w:p w:rsidR="00846009" w:rsidRDefault="00846009">
      <w:pPr>
        <w:spacing w:after="0" w:line="240" w:lineRule="auto"/>
      </w:pPr>
    </w:p>
    <w:p w:rsidR="00846009" w:rsidRDefault="007B38DC">
      <w:pPr>
        <w:pStyle w:val="Sub"/>
      </w:pPr>
      <w:r>
        <w:t xml:space="preserve">※※ </w:t>
      </w:r>
      <w:r>
        <w:t>电子</w:t>
      </w:r>
    </w:p>
    <w:p w:rsidR="00846009" w:rsidRDefault="007B38DC">
      <w:pPr>
        <w:pStyle w:val="Para"/>
        <w:rPr>
          <w:lang w:eastAsia="zh-CN"/>
        </w:rPr>
      </w:pPr>
      <w:r>
        <w:rPr>
          <w:lang w:eastAsia="zh-CN"/>
        </w:rPr>
        <w:t>电子行业近期热点集中在存储芯片供需紧张及</w:t>
      </w:r>
      <w:r>
        <w:rPr>
          <w:lang w:eastAsia="zh-CN"/>
        </w:rPr>
        <w:t>AI</w:t>
      </w:r>
      <w:proofErr w:type="gramStart"/>
      <w:r>
        <w:rPr>
          <w:lang w:eastAsia="zh-CN"/>
        </w:rPr>
        <w:t>算力驱动</w:t>
      </w:r>
      <w:proofErr w:type="gramEnd"/>
      <w:r>
        <w:rPr>
          <w:lang w:eastAsia="zh-CN"/>
        </w:rPr>
        <w:t>。全球存储芯片库存降至约</w:t>
      </w:r>
      <w:r>
        <w:rPr>
          <w:lang w:eastAsia="zh-CN"/>
        </w:rPr>
        <w:t>4</w:t>
      </w:r>
      <w:r>
        <w:rPr>
          <w:lang w:eastAsia="zh-CN"/>
        </w:rPr>
        <w:t>周水平，</w:t>
      </w:r>
      <w:r>
        <w:rPr>
          <w:lang w:eastAsia="zh-CN"/>
        </w:rPr>
        <w:t>DRAM</w:t>
      </w:r>
      <w:r>
        <w:rPr>
          <w:lang w:eastAsia="zh-CN"/>
        </w:rPr>
        <w:t>及</w:t>
      </w:r>
      <w:r>
        <w:rPr>
          <w:lang w:eastAsia="zh-CN"/>
        </w:rPr>
        <w:t>NAND</w:t>
      </w:r>
      <w:r>
        <w:rPr>
          <w:lang w:eastAsia="zh-CN"/>
        </w:rPr>
        <w:t>供应全面短缺，现货价格较</w:t>
      </w:r>
      <w:r>
        <w:rPr>
          <w:lang w:eastAsia="zh-CN"/>
        </w:rPr>
        <w:t>2</w:t>
      </w:r>
      <w:r>
        <w:rPr>
          <w:lang w:eastAsia="zh-CN"/>
        </w:rPr>
        <w:t>月上涨近</w:t>
      </w:r>
      <w:r>
        <w:rPr>
          <w:lang w:eastAsia="zh-CN"/>
        </w:rPr>
        <w:t>20%</w:t>
      </w:r>
      <w:r>
        <w:rPr>
          <w:lang w:eastAsia="zh-CN"/>
        </w:rPr>
        <w:t>，合约市场确认二季度涨价趋势，</w:t>
      </w:r>
      <w:r>
        <w:rPr>
          <w:lang w:eastAsia="zh-CN"/>
        </w:rPr>
        <w:t>HBM</w:t>
      </w:r>
      <w:r>
        <w:rPr>
          <w:lang w:eastAsia="zh-CN"/>
        </w:rPr>
        <w:t>产能全年缺口达</w:t>
      </w:r>
      <w:r>
        <w:rPr>
          <w:lang w:eastAsia="zh-CN"/>
        </w:rPr>
        <w:t>50%-60%</w:t>
      </w:r>
      <w:r>
        <w:rPr>
          <w:lang w:eastAsia="zh-CN"/>
        </w:rPr>
        <w:t>；美</w:t>
      </w:r>
      <w:proofErr w:type="gramStart"/>
      <w:r>
        <w:rPr>
          <w:lang w:eastAsia="zh-CN"/>
        </w:rPr>
        <w:t>银预测</w:t>
      </w:r>
      <w:proofErr w:type="gramEnd"/>
      <w:r>
        <w:rPr>
          <w:lang w:eastAsia="zh-CN"/>
        </w:rPr>
        <w:t>2030</w:t>
      </w:r>
      <w:r>
        <w:rPr>
          <w:lang w:eastAsia="zh-CN"/>
        </w:rPr>
        <w:t>年半导体市场规模将达</w:t>
      </w:r>
      <w:r>
        <w:rPr>
          <w:lang w:eastAsia="zh-CN"/>
        </w:rPr>
        <w:t>2</w:t>
      </w:r>
      <w:proofErr w:type="gramStart"/>
      <w:r>
        <w:rPr>
          <w:lang w:eastAsia="zh-CN"/>
        </w:rPr>
        <w:t>万亿</w:t>
      </w:r>
      <w:proofErr w:type="gramEnd"/>
      <w:r>
        <w:rPr>
          <w:lang w:eastAsia="zh-CN"/>
        </w:rPr>
        <w:t>美元，年复合增长率</w:t>
      </w:r>
      <w:r>
        <w:rPr>
          <w:lang w:eastAsia="zh-CN"/>
        </w:rPr>
        <w:t>20%</w:t>
      </w:r>
      <w:r>
        <w:rPr>
          <w:lang w:eastAsia="zh-CN"/>
        </w:rPr>
        <w:t>，主要受</w:t>
      </w:r>
      <w:r>
        <w:rPr>
          <w:lang w:eastAsia="zh-CN"/>
        </w:rPr>
        <w:t>AI</w:t>
      </w:r>
      <w:r>
        <w:rPr>
          <w:lang w:eastAsia="zh-CN"/>
        </w:rPr>
        <w:t>计算及存储</w:t>
      </w:r>
      <w:r>
        <w:rPr>
          <w:lang w:eastAsia="zh-CN"/>
        </w:rPr>
        <w:t>/</w:t>
      </w:r>
      <w:r>
        <w:rPr>
          <w:lang w:eastAsia="zh-CN"/>
        </w:rPr>
        <w:t>逻辑板块推动；消费电子终端厂商因半导体及存储成本</w:t>
      </w:r>
      <w:r>
        <w:rPr>
          <w:lang w:eastAsia="zh-CN"/>
        </w:rPr>
        <w:t>上涨相继调高产品售价。产业层面，晶</w:t>
      </w:r>
      <w:proofErr w:type="gramStart"/>
      <w:r>
        <w:rPr>
          <w:lang w:eastAsia="zh-CN"/>
        </w:rPr>
        <w:t>圆制造</w:t>
      </w:r>
      <w:proofErr w:type="gramEnd"/>
      <w:r>
        <w:rPr>
          <w:lang w:eastAsia="zh-CN"/>
        </w:rPr>
        <w:t>环节成本压力向终端传导，</w:t>
      </w:r>
      <w:r>
        <w:rPr>
          <w:lang w:eastAsia="zh-CN"/>
        </w:rPr>
        <w:t>2nm</w:t>
      </w:r>
      <w:proofErr w:type="gramStart"/>
      <w:r>
        <w:rPr>
          <w:lang w:eastAsia="zh-CN"/>
        </w:rPr>
        <w:t>先进制程产能</w:t>
      </w:r>
      <w:proofErr w:type="gramEnd"/>
      <w:r>
        <w:rPr>
          <w:lang w:eastAsia="zh-CN"/>
        </w:rPr>
        <w:t>已被全球科技企业预订至</w:t>
      </w:r>
      <w:r>
        <w:rPr>
          <w:lang w:eastAsia="zh-CN"/>
        </w:rPr>
        <w:t>2028</w:t>
      </w:r>
      <w:r>
        <w:rPr>
          <w:lang w:eastAsia="zh-CN"/>
        </w:rPr>
        <w:t>年，模拟芯片与数字芯片设计企业密集发布涨价通知，部分</w:t>
      </w:r>
      <w:proofErr w:type="gramStart"/>
      <w:r>
        <w:rPr>
          <w:lang w:eastAsia="zh-CN"/>
        </w:rPr>
        <w:t>产品涨幅</w:t>
      </w:r>
      <w:proofErr w:type="gramEnd"/>
      <w:r>
        <w:rPr>
          <w:lang w:eastAsia="zh-CN"/>
        </w:rPr>
        <w:t>达</w:t>
      </w:r>
      <w:r>
        <w:rPr>
          <w:lang w:eastAsia="zh-CN"/>
        </w:rPr>
        <w:t>15%-80%</w:t>
      </w:r>
      <w:r>
        <w:rPr>
          <w:lang w:eastAsia="zh-CN"/>
        </w:rPr>
        <w:t>。技术层面，柔性压电能量收集器测试标准正在制定，</w:t>
      </w:r>
      <w:r>
        <w:rPr>
          <w:lang w:eastAsia="zh-CN"/>
        </w:rPr>
        <w:t>Micro/</w:t>
      </w:r>
      <w:proofErr w:type="spellStart"/>
      <w:r>
        <w:rPr>
          <w:lang w:eastAsia="zh-CN"/>
        </w:rPr>
        <w:t>MiniLED</w:t>
      </w:r>
      <w:proofErr w:type="spellEnd"/>
      <w:r>
        <w:rPr>
          <w:lang w:eastAsia="zh-CN"/>
        </w:rPr>
        <w:t>及车用显示技术推动</w:t>
      </w:r>
      <w:r>
        <w:rPr>
          <w:lang w:eastAsia="zh-CN"/>
        </w:rPr>
        <w:t>LED</w:t>
      </w:r>
      <w:r>
        <w:rPr>
          <w:lang w:eastAsia="zh-CN"/>
        </w:rPr>
        <w:t>市场产值至</w:t>
      </w:r>
      <w:r>
        <w:rPr>
          <w:lang w:eastAsia="zh-CN"/>
        </w:rPr>
        <w:t>2026</w:t>
      </w:r>
      <w:r>
        <w:rPr>
          <w:lang w:eastAsia="zh-CN"/>
        </w:rPr>
        <w:t>年有望达</w:t>
      </w:r>
      <w:r>
        <w:rPr>
          <w:lang w:eastAsia="zh-CN"/>
        </w:rPr>
        <w:t>121.76</w:t>
      </w:r>
      <w:r>
        <w:rPr>
          <w:lang w:eastAsia="zh-CN"/>
        </w:rPr>
        <w:t>亿美元（</w:t>
      </w:r>
      <w:proofErr w:type="spellStart"/>
      <w:r>
        <w:rPr>
          <w:lang w:eastAsia="zh-CN"/>
        </w:rPr>
        <w:t>TrendForce</w:t>
      </w:r>
      <w:proofErr w:type="spellEnd"/>
      <w:r>
        <w:rPr>
          <w:lang w:eastAsia="zh-CN"/>
        </w:rPr>
        <w:t>数据），先进封装与存储技术创新加速。政策层面，工信部就半导体器件能量收集等</w:t>
      </w:r>
      <w:r>
        <w:rPr>
          <w:lang w:eastAsia="zh-CN"/>
        </w:rPr>
        <w:t>8</w:t>
      </w:r>
      <w:r>
        <w:rPr>
          <w:lang w:eastAsia="zh-CN"/>
        </w:rPr>
        <w:t>项电子行业国家标准公开征求意见，地方政府计划通过产业基金加大对集成电路、智能计算等领</w:t>
      </w:r>
      <w:r>
        <w:rPr>
          <w:lang w:eastAsia="zh-CN"/>
        </w:rPr>
        <w:t>域的投资力度。综合供需缺口持续扩大与成本传导机制，存储芯片全年涨价趋势确立，电子气体等上游材料受地缘冲突影响可能加剧供应紧张。</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pPr>
              <w:rPr>
                <w:lang w:eastAsia="zh-CN"/>
              </w:rPr>
            </w:pPr>
            <w:proofErr w:type="gramStart"/>
            <w:r>
              <w:rPr>
                <w:rFonts w:ascii="楷体" w:eastAsia="楷体" w:hAnsi="楷体"/>
                <w:lang w:eastAsia="zh-CN"/>
              </w:rPr>
              <w:t>科创芯片</w:t>
            </w:r>
            <w:proofErr w:type="gramEnd"/>
            <w:r>
              <w:rPr>
                <w:rFonts w:ascii="楷体" w:eastAsia="楷体" w:hAnsi="楷体"/>
                <w:lang w:eastAsia="zh-CN"/>
              </w:rPr>
              <w:t>ETF</w:t>
            </w:r>
            <w:r>
              <w:rPr>
                <w:rFonts w:ascii="楷体" w:eastAsia="楷体" w:hAnsi="楷体"/>
                <w:lang w:eastAsia="zh-CN"/>
              </w:rPr>
              <w:t>华安</w:t>
            </w:r>
            <w:r>
              <w:rPr>
                <w:rFonts w:ascii="楷体" w:eastAsia="楷体" w:hAnsi="楷体"/>
                <w:lang w:eastAsia="zh-CN"/>
              </w:rPr>
              <w:t>(588290.SH)</w:t>
            </w:r>
          </w:p>
        </w:tc>
        <w:tc>
          <w:tcPr>
            <w:tcW w:w="4323" w:type="dxa"/>
          </w:tcPr>
          <w:p w:rsidR="00846009" w:rsidRDefault="007B38DC">
            <w:r>
              <w:rPr>
                <w:rFonts w:ascii="楷体" w:eastAsia="楷体" w:hAnsi="楷体"/>
              </w:rPr>
              <w:t>电子</w:t>
            </w:r>
            <w:r>
              <w:rPr>
                <w:rFonts w:ascii="楷体" w:eastAsia="楷体" w:hAnsi="楷体"/>
              </w:rPr>
              <w:t>50ETF</w:t>
            </w:r>
            <w:r>
              <w:rPr>
                <w:rFonts w:ascii="楷体" w:eastAsia="楷体" w:hAnsi="楷体"/>
              </w:rPr>
              <w:t>华安</w:t>
            </w:r>
            <w:r>
              <w:rPr>
                <w:rFonts w:ascii="楷体" w:eastAsia="楷体" w:hAnsi="楷体"/>
              </w:rPr>
              <w:t>(515320.SH)</w:t>
            </w:r>
          </w:p>
        </w:tc>
      </w:tr>
      <w:tr w:rsidR="00846009">
        <w:trPr>
          <w:jc w:val="center"/>
        </w:trPr>
        <w:tc>
          <w:tcPr>
            <w:tcW w:w="4323" w:type="dxa"/>
          </w:tcPr>
          <w:p w:rsidR="00846009" w:rsidRDefault="007B38DC">
            <w:r>
              <w:rPr>
                <w:rFonts w:ascii="楷体" w:eastAsia="楷体" w:hAnsi="楷体"/>
              </w:rPr>
              <w:lastRenderedPageBreak/>
              <w:t>科创</w:t>
            </w:r>
            <w:r>
              <w:rPr>
                <w:rFonts w:ascii="楷体" w:eastAsia="楷体" w:hAnsi="楷体"/>
              </w:rPr>
              <w:t>50ETF</w:t>
            </w:r>
            <w:r>
              <w:rPr>
                <w:rFonts w:ascii="楷体" w:eastAsia="楷体" w:hAnsi="楷体"/>
              </w:rPr>
              <w:t>华安</w:t>
            </w:r>
            <w:r>
              <w:rPr>
                <w:rFonts w:ascii="楷体" w:eastAsia="楷体" w:hAnsi="楷体"/>
              </w:rPr>
              <w:t>(588280.SH)</w:t>
            </w:r>
          </w:p>
        </w:tc>
        <w:tc>
          <w:tcPr>
            <w:tcW w:w="4323" w:type="dxa"/>
          </w:tcPr>
          <w:p w:rsidR="00846009" w:rsidRDefault="007B38DC">
            <w:pPr>
              <w:rPr>
                <w:lang w:eastAsia="zh-CN"/>
              </w:rPr>
            </w:pPr>
            <w:proofErr w:type="gramStart"/>
            <w:r>
              <w:rPr>
                <w:rFonts w:ascii="楷体" w:eastAsia="楷体" w:hAnsi="楷体"/>
                <w:lang w:eastAsia="zh-CN"/>
              </w:rPr>
              <w:t>科创信息</w:t>
            </w:r>
            <w:proofErr w:type="gramEnd"/>
            <w:r>
              <w:rPr>
                <w:rFonts w:ascii="楷体" w:eastAsia="楷体" w:hAnsi="楷体"/>
                <w:lang w:eastAsia="zh-CN"/>
              </w:rPr>
              <w:t>ETF</w:t>
            </w:r>
            <w:r>
              <w:rPr>
                <w:rFonts w:ascii="楷体" w:eastAsia="楷体" w:hAnsi="楷体"/>
                <w:lang w:eastAsia="zh-CN"/>
              </w:rPr>
              <w:t>华安</w:t>
            </w:r>
            <w:r>
              <w:rPr>
                <w:rFonts w:ascii="楷体" w:eastAsia="楷体" w:hAnsi="楷体"/>
                <w:lang w:eastAsia="zh-CN"/>
              </w:rPr>
              <w:t>(588260.SH)</w:t>
            </w:r>
          </w:p>
        </w:tc>
      </w:tr>
    </w:tbl>
    <w:p w:rsidR="00846009" w:rsidRDefault="00846009">
      <w:pPr>
        <w:spacing w:after="0" w:line="240" w:lineRule="auto"/>
        <w:rPr>
          <w:lang w:eastAsia="zh-CN"/>
        </w:rPr>
      </w:pPr>
    </w:p>
    <w:p w:rsidR="00846009" w:rsidRDefault="007B38DC">
      <w:pPr>
        <w:pStyle w:val="Sub"/>
        <w:rPr>
          <w:lang w:eastAsia="zh-CN"/>
        </w:rPr>
      </w:pPr>
      <w:r>
        <w:rPr>
          <w:lang w:eastAsia="zh-CN"/>
        </w:rPr>
        <w:t xml:space="preserve">※※ </w:t>
      </w:r>
      <w:r>
        <w:rPr>
          <w:lang w:eastAsia="zh-CN"/>
        </w:rPr>
        <w:t>航天</w:t>
      </w:r>
    </w:p>
    <w:p w:rsidR="00846009" w:rsidRDefault="007B38DC">
      <w:pPr>
        <w:pStyle w:val="Para"/>
        <w:rPr>
          <w:lang w:eastAsia="zh-CN"/>
        </w:rPr>
      </w:pPr>
      <w:r>
        <w:rPr>
          <w:lang w:eastAsia="zh-CN"/>
        </w:rPr>
        <w:t>航天行业近期热点集中在商用航天产业体系构建及电磁发射等前沿技术方向。海南省提出完善</w:t>
      </w:r>
      <w:r>
        <w:rPr>
          <w:lang w:eastAsia="zh-CN"/>
        </w:rPr>
        <w:t>"</w:t>
      </w:r>
      <w:r>
        <w:rPr>
          <w:lang w:eastAsia="zh-CN"/>
        </w:rPr>
        <w:t>发射</w:t>
      </w:r>
      <w:r>
        <w:rPr>
          <w:lang w:eastAsia="zh-CN"/>
        </w:rPr>
        <w:t>+</w:t>
      </w:r>
      <w:r>
        <w:rPr>
          <w:lang w:eastAsia="zh-CN"/>
        </w:rPr>
        <w:t>服务</w:t>
      </w:r>
      <w:r>
        <w:rPr>
          <w:lang w:eastAsia="zh-CN"/>
        </w:rPr>
        <w:t>+</w:t>
      </w:r>
      <w:r>
        <w:rPr>
          <w:lang w:eastAsia="zh-CN"/>
        </w:rPr>
        <w:t>制造</w:t>
      </w:r>
      <w:r>
        <w:rPr>
          <w:lang w:eastAsia="zh-CN"/>
        </w:rPr>
        <w:t>+</w:t>
      </w:r>
      <w:r>
        <w:rPr>
          <w:lang w:eastAsia="zh-CN"/>
        </w:rPr>
        <w:t>应用</w:t>
      </w:r>
      <w:r>
        <w:rPr>
          <w:lang w:eastAsia="zh-CN"/>
        </w:rPr>
        <w:t>"</w:t>
      </w:r>
      <w:r>
        <w:rPr>
          <w:lang w:eastAsia="zh-CN"/>
        </w:rPr>
        <w:t>一体化商用航天产业体系，支持绿色推进剂和低轨通信卫星星座技术应用；国家航天局宣布</w:t>
      </w:r>
      <w:r>
        <w:rPr>
          <w:lang w:eastAsia="zh-CN"/>
        </w:rPr>
        <w:t>2026</w:t>
      </w:r>
      <w:r>
        <w:rPr>
          <w:lang w:eastAsia="zh-CN"/>
        </w:rPr>
        <w:t>年多型重复使用火箭将开展飞行验证，商业航天以高水平安全保障高质量发展；中国航天科技集团计划实施商业运载能力提升工程，形成近地轨道</w:t>
      </w:r>
      <w:r>
        <w:rPr>
          <w:lang w:eastAsia="zh-CN"/>
        </w:rPr>
        <w:t>20</w:t>
      </w:r>
      <w:r>
        <w:rPr>
          <w:lang w:eastAsia="zh-CN"/>
        </w:rPr>
        <w:t>吨级重复使用运载能力。产业层面，</w:t>
      </w:r>
      <w:r>
        <w:rPr>
          <w:lang w:eastAsia="zh-CN"/>
        </w:rPr>
        <w:t>2025</w:t>
      </w:r>
      <w:r>
        <w:rPr>
          <w:lang w:eastAsia="zh-CN"/>
        </w:rPr>
        <w:t>年商业航天核心产业规模达</w:t>
      </w:r>
      <w:r>
        <w:rPr>
          <w:lang w:eastAsia="zh-CN"/>
        </w:rPr>
        <w:t>1.01</w:t>
      </w:r>
      <w:proofErr w:type="gramStart"/>
      <w:r>
        <w:rPr>
          <w:lang w:eastAsia="zh-CN"/>
        </w:rPr>
        <w:t>万亿</w:t>
      </w:r>
      <w:proofErr w:type="gramEnd"/>
      <w:r>
        <w:rPr>
          <w:lang w:eastAsia="zh-CN"/>
        </w:rPr>
        <w:t>元（赛</w:t>
      </w:r>
      <w:proofErr w:type="gramStart"/>
      <w:r>
        <w:rPr>
          <w:lang w:eastAsia="zh-CN"/>
        </w:rPr>
        <w:t>迪</w:t>
      </w:r>
      <w:proofErr w:type="gramEnd"/>
      <w:r>
        <w:rPr>
          <w:lang w:eastAsia="zh-CN"/>
        </w:rPr>
        <w:t>论坛称），同比增长近</w:t>
      </w:r>
      <w:r>
        <w:rPr>
          <w:lang w:eastAsia="zh-CN"/>
        </w:rPr>
        <w:t>7%</w:t>
      </w:r>
      <w:r>
        <w:rPr>
          <w:lang w:eastAsia="zh-CN"/>
        </w:rPr>
        <w:t>，企业</w:t>
      </w:r>
      <w:proofErr w:type="gramStart"/>
      <w:r>
        <w:rPr>
          <w:lang w:eastAsia="zh-CN"/>
        </w:rPr>
        <w:t>数量超</w:t>
      </w:r>
      <w:proofErr w:type="gramEnd"/>
      <w:r>
        <w:rPr>
          <w:lang w:eastAsia="zh-CN"/>
        </w:rPr>
        <w:t>600</w:t>
      </w:r>
      <w:r>
        <w:rPr>
          <w:lang w:eastAsia="zh-CN"/>
        </w:rPr>
        <w:t>家，同比增长</w:t>
      </w:r>
      <w:r>
        <w:rPr>
          <w:lang w:eastAsia="zh-CN"/>
        </w:rPr>
        <w:t>20%</w:t>
      </w:r>
      <w:r>
        <w:rPr>
          <w:lang w:eastAsia="zh-CN"/>
        </w:rPr>
        <w:t>以上，商业</w:t>
      </w:r>
      <w:proofErr w:type="gramStart"/>
      <w:r>
        <w:rPr>
          <w:lang w:eastAsia="zh-CN"/>
        </w:rPr>
        <w:t>发射占</w:t>
      </w:r>
      <w:proofErr w:type="gramEnd"/>
      <w:r>
        <w:rPr>
          <w:lang w:eastAsia="zh-CN"/>
        </w:rPr>
        <w:t>我国发射总数</w:t>
      </w:r>
      <w:r>
        <w:rPr>
          <w:lang w:eastAsia="zh-CN"/>
        </w:rPr>
        <w:t>54%</w:t>
      </w:r>
      <w:r>
        <w:rPr>
          <w:lang w:eastAsia="zh-CN"/>
        </w:rPr>
        <w:t>，入轨</w:t>
      </w:r>
      <w:r>
        <w:rPr>
          <w:lang w:eastAsia="zh-CN"/>
        </w:rPr>
        <w:t>商业卫星占</w:t>
      </w:r>
      <w:r>
        <w:rPr>
          <w:lang w:eastAsia="zh-CN"/>
        </w:rPr>
        <w:t>84%</w:t>
      </w:r>
      <w:r>
        <w:rPr>
          <w:lang w:eastAsia="zh-CN"/>
        </w:rPr>
        <w:t>；</w:t>
      </w:r>
      <w:r>
        <w:rPr>
          <w:lang w:eastAsia="zh-CN"/>
        </w:rPr>
        <w:t>2026</w:t>
      </w:r>
      <w:r>
        <w:rPr>
          <w:lang w:eastAsia="zh-CN"/>
        </w:rPr>
        <w:t>年市场规模预计达</w:t>
      </w:r>
      <w:r>
        <w:rPr>
          <w:lang w:eastAsia="zh-CN"/>
        </w:rPr>
        <w:t>3.5</w:t>
      </w:r>
      <w:proofErr w:type="gramStart"/>
      <w:r>
        <w:rPr>
          <w:lang w:eastAsia="zh-CN"/>
        </w:rPr>
        <w:t>万亿</w:t>
      </w:r>
      <w:proofErr w:type="gramEnd"/>
      <w:r>
        <w:rPr>
          <w:lang w:eastAsia="zh-CN"/>
        </w:rPr>
        <w:t>元（赛</w:t>
      </w:r>
      <w:proofErr w:type="gramStart"/>
      <w:r>
        <w:rPr>
          <w:lang w:eastAsia="zh-CN"/>
        </w:rPr>
        <w:t>迪智库报告</w:t>
      </w:r>
      <w:proofErr w:type="gramEnd"/>
      <w:r>
        <w:rPr>
          <w:lang w:eastAsia="zh-CN"/>
        </w:rPr>
        <w:t>称），同比</w:t>
      </w:r>
      <w:proofErr w:type="gramStart"/>
      <w:r>
        <w:rPr>
          <w:lang w:eastAsia="zh-CN"/>
        </w:rPr>
        <w:t>增速超</w:t>
      </w:r>
      <w:proofErr w:type="gramEnd"/>
      <w:r>
        <w:rPr>
          <w:lang w:eastAsia="zh-CN"/>
        </w:rPr>
        <w:t>20%</w:t>
      </w:r>
      <w:r>
        <w:rPr>
          <w:lang w:eastAsia="zh-CN"/>
        </w:rPr>
        <w:t>，表明行业景气度持续提升</w:t>
      </w:r>
      <w:proofErr w:type="gramStart"/>
      <w:r>
        <w:rPr>
          <w:lang w:eastAsia="zh-CN"/>
        </w:rPr>
        <w:t>且需求</w:t>
      </w:r>
      <w:proofErr w:type="gramEnd"/>
      <w:r>
        <w:rPr>
          <w:lang w:eastAsia="zh-CN"/>
        </w:rPr>
        <w:t>旺盛。技术层面，探索电磁发射、重复使用火箭规模化应用，研发平板卫星、软件定义卫星及超低轨卫星等新型载荷，</w:t>
      </w:r>
      <w:proofErr w:type="gramStart"/>
      <w:r>
        <w:rPr>
          <w:lang w:eastAsia="zh-CN"/>
        </w:rPr>
        <w:t>推进增材制造</w:t>
      </w:r>
      <w:proofErr w:type="gramEnd"/>
      <w:r>
        <w:rPr>
          <w:lang w:eastAsia="zh-CN"/>
        </w:rPr>
        <w:t>和一体化成型等先进制造技术，提升智能化生产水平。政策层面，海南省规划建设文昌国际航天城科技创新平台，支持关键技术转化和卫星星座建设，促进航天产业成为经济增长点。</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846009">
        <w:trPr>
          <w:jc w:val="center"/>
        </w:trPr>
        <w:tc>
          <w:tcPr>
            <w:tcW w:w="8646" w:type="dxa"/>
          </w:tcPr>
          <w:p w:rsidR="00846009" w:rsidRDefault="007B38DC">
            <w:proofErr w:type="spellStart"/>
            <w:r>
              <w:rPr>
                <w:rFonts w:ascii="楷体" w:eastAsia="楷体" w:hAnsi="楷体"/>
                <w:b/>
              </w:rPr>
              <w:t>相关产品</w:t>
            </w:r>
            <w:proofErr w:type="spellEnd"/>
          </w:p>
        </w:tc>
      </w:tr>
      <w:tr w:rsidR="00846009">
        <w:trPr>
          <w:jc w:val="center"/>
        </w:trPr>
        <w:tc>
          <w:tcPr>
            <w:tcW w:w="8646" w:type="dxa"/>
          </w:tcPr>
          <w:p w:rsidR="00846009" w:rsidRDefault="007B38DC">
            <w:r>
              <w:rPr>
                <w:rFonts w:ascii="楷体" w:eastAsia="楷体" w:hAnsi="楷体"/>
              </w:rPr>
              <w:t>航天</w:t>
            </w:r>
            <w:r>
              <w:rPr>
                <w:rFonts w:ascii="楷体" w:eastAsia="楷体" w:hAnsi="楷体"/>
              </w:rPr>
              <w:t>ETF</w:t>
            </w:r>
            <w:r>
              <w:rPr>
                <w:rFonts w:ascii="楷体" w:eastAsia="楷体" w:hAnsi="楷体"/>
              </w:rPr>
              <w:t>华安</w:t>
            </w:r>
            <w:r>
              <w:rPr>
                <w:rFonts w:ascii="楷体" w:eastAsia="楷体" w:hAnsi="楷体"/>
              </w:rPr>
              <w:t>(159267.SZ)</w:t>
            </w:r>
          </w:p>
        </w:tc>
      </w:tr>
    </w:tbl>
    <w:p w:rsidR="00846009" w:rsidRDefault="00846009">
      <w:pPr>
        <w:spacing w:after="0" w:line="240" w:lineRule="auto"/>
      </w:pPr>
    </w:p>
    <w:p w:rsidR="00846009" w:rsidRDefault="007B38DC">
      <w:pPr>
        <w:pStyle w:val="Sub"/>
      </w:pPr>
      <w:r>
        <w:t xml:space="preserve">※※ </w:t>
      </w:r>
      <w:r>
        <w:t>电力设备新能源</w:t>
      </w:r>
    </w:p>
    <w:p w:rsidR="00846009" w:rsidRDefault="007B38DC">
      <w:pPr>
        <w:pStyle w:val="Para"/>
        <w:rPr>
          <w:lang w:eastAsia="zh-CN"/>
        </w:rPr>
      </w:pPr>
      <w:r>
        <w:rPr>
          <w:lang w:eastAsia="zh-CN"/>
        </w:rPr>
        <w:t>电力设备新能源行业近期热点集中在光伏</w:t>
      </w:r>
      <w:r>
        <w:rPr>
          <w:lang w:eastAsia="zh-CN"/>
        </w:rPr>
        <w:t>、风电、储能及新能源车领域。国际能源</w:t>
      </w:r>
      <w:proofErr w:type="gramStart"/>
      <w:r>
        <w:rPr>
          <w:lang w:eastAsia="zh-CN"/>
        </w:rPr>
        <w:t>署数据</w:t>
      </w:r>
      <w:proofErr w:type="gramEnd"/>
      <w:r>
        <w:rPr>
          <w:lang w:eastAsia="zh-CN"/>
        </w:rPr>
        <w:t>显示</w:t>
      </w:r>
      <w:r>
        <w:rPr>
          <w:lang w:eastAsia="zh-CN"/>
        </w:rPr>
        <w:t>2025</w:t>
      </w:r>
      <w:r>
        <w:rPr>
          <w:lang w:eastAsia="zh-CN"/>
        </w:rPr>
        <w:t>年全球太阳能光伏发电新增</w:t>
      </w:r>
      <w:r>
        <w:rPr>
          <w:lang w:eastAsia="zh-CN"/>
        </w:rPr>
        <w:t>600</w:t>
      </w:r>
      <w:r>
        <w:rPr>
          <w:lang w:eastAsia="zh-CN"/>
        </w:rPr>
        <w:t>太瓦时占能源供应</w:t>
      </w:r>
      <w:proofErr w:type="gramStart"/>
      <w:r>
        <w:rPr>
          <w:lang w:eastAsia="zh-CN"/>
        </w:rPr>
        <w:t>增量超</w:t>
      </w:r>
      <w:proofErr w:type="gramEnd"/>
      <w:r>
        <w:rPr>
          <w:lang w:eastAsia="zh-CN"/>
        </w:rPr>
        <w:t>25%</w:t>
      </w:r>
      <w:r>
        <w:rPr>
          <w:lang w:eastAsia="zh-CN"/>
        </w:rPr>
        <w:t>，引领可再生能源首次主导增长，电动汽车销售超</w:t>
      </w:r>
      <w:r>
        <w:rPr>
          <w:lang w:eastAsia="zh-CN"/>
        </w:rPr>
        <w:t>2000</w:t>
      </w:r>
      <w:r>
        <w:rPr>
          <w:lang w:eastAsia="zh-CN"/>
        </w:rPr>
        <w:t>万辆</w:t>
      </w:r>
      <w:proofErr w:type="gramStart"/>
      <w:r>
        <w:rPr>
          <w:lang w:eastAsia="zh-CN"/>
        </w:rPr>
        <w:t>增速超</w:t>
      </w:r>
      <w:proofErr w:type="gramEnd"/>
      <w:r>
        <w:rPr>
          <w:lang w:eastAsia="zh-CN"/>
        </w:rPr>
        <w:t>20%</w:t>
      </w:r>
      <w:r>
        <w:rPr>
          <w:lang w:eastAsia="zh-CN"/>
        </w:rPr>
        <w:t>占新车销售四分之一；国际能源</w:t>
      </w:r>
      <w:proofErr w:type="gramStart"/>
      <w:r>
        <w:rPr>
          <w:lang w:eastAsia="zh-CN"/>
        </w:rPr>
        <w:t>署称</w:t>
      </w:r>
      <w:proofErr w:type="gramEnd"/>
      <w:r>
        <w:rPr>
          <w:lang w:eastAsia="zh-CN"/>
        </w:rPr>
        <w:t>全球能源需求增长</w:t>
      </w:r>
      <w:r>
        <w:rPr>
          <w:lang w:eastAsia="zh-CN"/>
        </w:rPr>
        <w:t>1.3%</w:t>
      </w:r>
      <w:r>
        <w:rPr>
          <w:lang w:eastAsia="zh-CN"/>
        </w:rPr>
        <w:t>电力需求增约</w:t>
      </w:r>
      <w:r>
        <w:rPr>
          <w:lang w:eastAsia="zh-CN"/>
        </w:rPr>
        <w:t>3%</w:t>
      </w:r>
      <w:r>
        <w:rPr>
          <w:lang w:eastAsia="zh-CN"/>
        </w:rPr>
        <w:t>；商务部数据显示</w:t>
      </w:r>
      <w:r>
        <w:rPr>
          <w:lang w:eastAsia="zh-CN"/>
        </w:rPr>
        <w:t>“</w:t>
      </w:r>
      <w:r>
        <w:rPr>
          <w:lang w:eastAsia="zh-CN"/>
        </w:rPr>
        <w:t>新三样</w:t>
      </w:r>
      <w:r>
        <w:rPr>
          <w:lang w:eastAsia="zh-CN"/>
        </w:rPr>
        <w:t>”</w:t>
      </w:r>
      <w:r>
        <w:rPr>
          <w:lang w:eastAsia="zh-CN"/>
        </w:rPr>
        <w:t>出口增长</w:t>
      </w:r>
      <w:r>
        <w:rPr>
          <w:lang w:eastAsia="zh-CN"/>
        </w:rPr>
        <w:t>50.7%</w:t>
      </w:r>
      <w:r>
        <w:rPr>
          <w:lang w:eastAsia="zh-CN"/>
        </w:rPr>
        <w:t>成为外贸重要引擎。产业层面，国家电投拟定投资规模</w:t>
      </w:r>
      <w:r>
        <w:rPr>
          <w:lang w:eastAsia="zh-CN"/>
        </w:rPr>
        <w:t>2000</w:t>
      </w:r>
      <w:r>
        <w:rPr>
          <w:lang w:eastAsia="zh-CN"/>
        </w:rPr>
        <w:t>亿元同比增</w:t>
      </w:r>
      <w:r>
        <w:rPr>
          <w:lang w:eastAsia="zh-CN"/>
        </w:rPr>
        <w:t>17%</w:t>
      </w:r>
      <w:r>
        <w:rPr>
          <w:lang w:eastAsia="zh-CN"/>
        </w:rPr>
        <w:t>加快新型电力系统建设，国家统计局数据显示前两个月储能用锂离子电池产量增长</w:t>
      </w:r>
      <w:r>
        <w:rPr>
          <w:lang w:eastAsia="zh-CN"/>
        </w:rPr>
        <w:t>84%</w:t>
      </w:r>
      <w:r>
        <w:rPr>
          <w:lang w:eastAsia="zh-CN"/>
        </w:rPr>
        <w:t>受能源转型驱动，行业竞争重心转向全产业链协同与成本管控。技术层面，</w:t>
      </w:r>
      <w:r>
        <w:rPr>
          <w:lang w:eastAsia="zh-CN"/>
        </w:rPr>
        <w:t>人工智能赋能</w:t>
      </w:r>
      <w:proofErr w:type="gramStart"/>
      <w:r>
        <w:rPr>
          <w:lang w:eastAsia="zh-CN"/>
        </w:rPr>
        <w:t>电网数智化</w:t>
      </w:r>
      <w:proofErr w:type="gramEnd"/>
      <w:r>
        <w:rPr>
          <w:lang w:eastAsia="zh-CN"/>
        </w:rPr>
        <w:t>转型提升系统协同调节能力，锂电产业</w:t>
      </w:r>
      <w:proofErr w:type="gramStart"/>
      <w:r>
        <w:rPr>
          <w:lang w:eastAsia="zh-CN"/>
        </w:rPr>
        <w:t>链深化</w:t>
      </w:r>
      <w:proofErr w:type="gramEnd"/>
      <w:r>
        <w:rPr>
          <w:lang w:eastAsia="zh-CN"/>
        </w:rPr>
        <w:t>协同合作打通资源开发</w:t>
      </w:r>
      <w:proofErr w:type="gramStart"/>
      <w:r>
        <w:rPr>
          <w:lang w:eastAsia="zh-CN"/>
        </w:rPr>
        <w:t>至制造</w:t>
      </w:r>
      <w:proofErr w:type="gramEnd"/>
      <w:r>
        <w:rPr>
          <w:lang w:eastAsia="zh-CN"/>
        </w:rPr>
        <w:t>闭环。政策层面，国家数据局要求枢纽</w:t>
      </w:r>
      <w:proofErr w:type="gramStart"/>
      <w:r>
        <w:rPr>
          <w:lang w:eastAsia="zh-CN"/>
        </w:rPr>
        <w:t>算力设施</w:t>
      </w:r>
      <w:proofErr w:type="gramEnd"/>
      <w:r>
        <w:rPr>
          <w:lang w:eastAsia="zh-CN"/>
        </w:rPr>
        <w:t>新建</w:t>
      </w:r>
      <w:proofErr w:type="gramStart"/>
      <w:r>
        <w:rPr>
          <w:lang w:eastAsia="zh-CN"/>
        </w:rPr>
        <w:t>项目绿电使用</w:t>
      </w:r>
      <w:proofErr w:type="gramEnd"/>
      <w:r>
        <w:rPr>
          <w:lang w:eastAsia="zh-CN"/>
        </w:rPr>
        <w:t>比例不低于</w:t>
      </w:r>
      <w:r>
        <w:rPr>
          <w:lang w:eastAsia="zh-CN"/>
        </w:rPr>
        <w:t>80%</w:t>
      </w:r>
      <w:r>
        <w:rPr>
          <w:lang w:eastAsia="zh-CN"/>
        </w:rPr>
        <w:t>提振清洁能源需求，李强强调优化能源结构推进西北风</w:t>
      </w:r>
      <w:proofErr w:type="gramStart"/>
      <w:r>
        <w:rPr>
          <w:lang w:eastAsia="zh-CN"/>
        </w:rPr>
        <w:t>电光伏及分布式</w:t>
      </w:r>
      <w:proofErr w:type="gramEnd"/>
      <w:r>
        <w:rPr>
          <w:lang w:eastAsia="zh-CN"/>
        </w:rPr>
        <w:t>能源建设，新型电网架构强化安全保障。</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pPr>
              <w:rPr>
                <w:lang w:eastAsia="zh-CN"/>
              </w:rPr>
            </w:pPr>
            <w:r>
              <w:rPr>
                <w:rFonts w:ascii="楷体" w:eastAsia="楷体" w:hAnsi="楷体"/>
                <w:lang w:eastAsia="zh-CN"/>
              </w:rPr>
              <w:t>创业板</w:t>
            </w:r>
            <w:r>
              <w:rPr>
                <w:rFonts w:ascii="楷体" w:eastAsia="楷体" w:hAnsi="楷体"/>
                <w:lang w:eastAsia="zh-CN"/>
              </w:rPr>
              <w:t>50ETF</w:t>
            </w:r>
            <w:r>
              <w:rPr>
                <w:rFonts w:ascii="楷体" w:eastAsia="楷体" w:hAnsi="楷体"/>
                <w:lang w:eastAsia="zh-CN"/>
              </w:rPr>
              <w:t>华安</w:t>
            </w:r>
            <w:r>
              <w:rPr>
                <w:rFonts w:ascii="楷体" w:eastAsia="楷体" w:hAnsi="楷体"/>
                <w:lang w:eastAsia="zh-CN"/>
              </w:rPr>
              <w:t>(159949.SZ)</w:t>
            </w:r>
          </w:p>
        </w:tc>
        <w:tc>
          <w:tcPr>
            <w:tcW w:w="4323" w:type="dxa"/>
          </w:tcPr>
          <w:p w:rsidR="00846009" w:rsidRDefault="007B38DC">
            <w:r>
              <w:rPr>
                <w:rFonts w:ascii="楷体" w:eastAsia="楷体" w:hAnsi="楷体"/>
              </w:rPr>
              <w:t>新能源</w:t>
            </w:r>
            <w:r>
              <w:rPr>
                <w:rFonts w:ascii="楷体" w:eastAsia="楷体" w:hAnsi="楷体"/>
              </w:rPr>
              <w:t>50ETF</w:t>
            </w:r>
            <w:r>
              <w:rPr>
                <w:rFonts w:ascii="楷体" w:eastAsia="楷体" w:hAnsi="楷体"/>
              </w:rPr>
              <w:t>华安</w:t>
            </w:r>
            <w:r>
              <w:rPr>
                <w:rFonts w:ascii="楷体" w:eastAsia="楷体" w:hAnsi="楷体"/>
              </w:rPr>
              <w:t>(516270.SH)</w:t>
            </w:r>
          </w:p>
        </w:tc>
      </w:tr>
      <w:tr w:rsidR="00846009">
        <w:trPr>
          <w:jc w:val="center"/>
        </w:trPr>
        <w:tc>
          <w:tcPr>
            <w:tcW w:w="4323" w:type="dxa"/>
          </w:tcPr>
          <w:p w:rsidR="00846009" w:rsidRDefault="007B38DC">
            <w:r>
              <w:rPr>
                <w:rFonts w:ascii="楷体" w:eastAsia="楷体" w:hAnsi="楷体"/>
              </w:rPr>
              <w:t>光伏</w:t>
            </w:r>
            <w:r>
              <w:rPr>
                <w:rFonts w:ascii="楷体" w:eastAsia="楷体" w:hAnsi="楷体"/>
              </w:rPr>
              <w:t>ETF</w:t>
            </w:r>
            <w:r>
              <w:rPr>
                <w:rFonts w:ascii="楷体" w:eastAsia="楷体" w:hAnsi="楷体"/>
              </w:rPr>
              <w:t>华安</w:t>
            </w:r>
            <w:r>
              <w:rPr>
                <w:rFonts w:ascii="楷体" w:eastAsia="楷体" w:hAnsi="楷体"/>
              </w:rPr>
              <w:t>(159618.SZ)</w:t>
            </w:r>
          </w:p>
        </w:tc>
        <w:tc>
          <w:tcPr>
            <w:tcW w:w="4323" w:type="dxa"/>
          </w:tcPr>
          <w:p w:rsidR="00846009" w:rsidRDefault="007B38DC">
            <w:pPr>
              <w:rPr>
                <w:lang w:eastAsia="zh-CN"/>
              </w:rPr>
            </w:pPr>
            <w:r>
              <w:rPr>
                <w:rFonts w:ascii="楷体" w:eastAsia="楷体" w:hAnsi="楷体"/>
                <w:lang w:eastAsia="zh-CN"/>
              </w:rPr>
              <w:t>新能源车</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(516660.SH)</w:t>
            </w:r>
          </w:p>
        </w:tc>
      </w:tr>
    </w:tbl>
    <w:p w:rsidR="00846009" w:rsidRDefault="00846009">
      <w:pPr>
        <w:spacing w:after="0" w:line="240" w:lineRule="auto"/>
        <w:rPr>
          <w:lang w:eastAsia="zh-CN"/>
        </w:rPr>
      </w:pPr>
    </w:p>
    <w:p w:rsidR="00846009" w:rsidRDefault="007B38DC">
      <w:pPr>
        <w:pStyle w:val="Sub"/>
        <w:rPr>
          <w:lang w:eastAsia="zh-CN"/>
        </w:rPr>
      </w:pPr>
      <w:r>
        <w:rPr>
          <w:lang w:eastAsia="zh-CN"/>
        </w:rPr>
        <w:t xml:space="preserve">※※ </w:t>
      </w:r>
      <w:r>
        <w:rPr>
          <w:lang w:eastAsia="zh-CN"/>
        </w:rPr>
        <w:t>消费</w:t>
      </w:r>
    </w:p>
    <w:p w:rsidR="00846009" w:rsidRDefault="007B38DC">
      <w:pPr>
        <w:pStyle w:val="Para"/>
        <w:rPr>
          <w:lang w:eastAsia="zh-CN"/>
        </w:rPr>
      </w:pPr>
      <w:r>
        <w:rPr>
          <w:lang w:eastAsia="zh-CN"/>
        </w:rPr>
        <w:lastRenderedPageBreak/>
        <w:t>消费行业近期热点集中在入境消费、服务消费、以旧换新政策及新兴技术场景领域。假期前三天国内</w:t>
      </w:r>
      <w:proofErr w:type="gramStart"/>
      <w:r>
        <w:rPr>
          <w:lang w:eastAsia="zh-CN"/>
        </w:rPr>
        <w:t>游消费</w:t>
      </w:r>
      <w:proofErr w:type="gramEnd"/>
      <w:r>
        <w:rPr>
          <w:lang w:eastAsia="zh-CN"/>
        </w:rPr>
        <w:t>增长</w:t>
      </w:r>
      <w:r>
        <w:rPr>
          <w:lang w:eastAsia="zh-CN"/>
        </w:rPr>
        <w:t>4.5%</w:t>
      </w:r>
      <w:r>
        <w:rPr>
          <w:lang w:eastAsia="zh-CN"/>
        </w:rPr>
        <w:t>，租车出行订单量增长</w:t>
      </w:r>
      <w:r>
        <w:rPr>
          <w:lang w:eastAsia="zh-CN"/>
        </w:rPr>
        <w:t>26%</w:t>
      </w:r>
      <w:r>
        <w:rPr>
          <w:lang w:eastAsia="zh-CN"/>
        </w:rPr>
        <w:t>，</w:t>
      </w:r>
      <w:proofErr w:type="gramStart"/>
      <w:r>
        <w:rPr>
          <w:lang w:eastAsia="zh-CN"/>
        </w:rPr>
        <w:t>南北互跨订单</w:t>
      </w:r>
      <w:proofErr w:type="gramEnd"/>
      <w:r>
        <w:rPr>
          <w:lang w:eastAsia="zh-CN"/>
        </w:rPr>
        <w:t>量增长</w:t>
      </w:r>
      <w:r>
        <w:rPr>
          <w:lang w:eastAsia="zh-CN"/>
        </w:rPr>
        <w:t>196%</w:t>
      </w:r>
      <w:r>
        <w:rPr>
          <w:lang w:eastAsia="zh-CN"/>
        </w:rPr>
        <w:t>，表明服务消费活力显著提升。新</w:t>
      </w:r>
      <w:proofErr w:type="gramStart"/>
      <w:r>
        <w:rPr>
          <w:lang w:eastAsia="zh-CN"/>
        </w:rPr>
        <w:t>国补实施</w:t>
      </w:r>
      <w:proofErr w:type="gramEnd"/>
      <w:r>
        <w:rPr>
          <w:lang w:eastAsia="zh-CN"/>
        </w:rPr>
        <w:t>首月消费品以旧换新惠及</w:t>
      </w:r>
      <w:r>
        <w:rPr>
          <w:lang w:eastAsia="zh-CN"/>
        </w:rPr>
        <w:t>1613</w:t>
      </w:r>
      <w:r>
        <w:rPr>
          <w:lang w:eastAsia="zh-CN"/>
        </w:rPr>
        <w:t>万人次，销售</w:t>
      </w:r>
      <w:r>
        <w:rPr>
          <w:lang w:eastAsia="zh-CN"/>
        </w:rPr>
        <w:t>925.6</w:t>
      </w:r>
      <w:r>
        <w:rPr>
          <w:lang w:eastAsia="zh-CN"/>
        </w:rPr>
        <w:t>亿元，家电以旧换新线下销售同比增长约</w:t>
      </w:r>
      <w:r>
        <w:rPr>
          <w:lang w:eastAsia="zh-CN"/>
        </w:rPr>
        <w:t>20%</w:t>
      </w:r>
      <w:r>
        <w:rPr>
          <w:lang w:eastAsia="zh-CN"/>
        </w:rPr>
        <w:t>，反映政策有效拉动需求复苏。中信建投</w:t>
      </w:r>
      <w:proofErr w:type="gramStart"/>
      <w:r>
        <w:rPr>
          <w:lang w:eastAsia="zh-CN"/>
        </w:rPr>
        <w:t>研</w:t>
      </w:r>
      <w:proofErr w:type="gramEnd"/>
      <w:r>
        <w:rPr>
          <w:lang w:eastAsia="zh-CN"/>
        </w:rPr>
        <w:t>报表示茅台批价上涨，预计行业见底且</w:t>
      </w:r>
      <w:proofErr w:type="gramStart"/>
      <w:r>
        <w:rPr>
          <w:lang w:eastAsia="zh-CN"/>
        </w:rPr>
        <w:t>头部市占率提升</w:t>
      </w:r>
      <w:proofErr w:type="gramEnd"/>
      <w:r>
        <w:rPr>
          <w:lang w:eastAsia="zh-CN"/>
        </w:rPr>
        <w:t>，白酒板块估值处于历史低位，具备较强底部配置价值。江苏</w:t>
      </w:r>
      <w:proofErr w:type="gramStart"/>
      <w:r>
        <w:rPr>
          <w:lang w:eastAsia="zh-CN"/>
        </w:rPr>
        <w:t>脑机接口</w:t>
      </w:r>
      <w:proofErr w:type="gramEnd"/>
      <w:r>
        <w:rPr>
          <w:lang w:eastAsia="zh-CN"/>
        </w:rPr>
        <w:t>产业方案提出到</w:t>
      </w:r>
      <w:r>
        <w:rPr>
          <w:lang w:eastAsia="zh-CN"/>
        </w:rPr>
        <w:t>2030</w:t>
      </w:r>
      <w:r>
        <w:rPr>
          <w:lang w:eastAsia="zh-CN"/>
        </w:rPr>
        <w:t>年培育不少于</w:t>
      </w:r>
      <w:r>
        <w:rPr>
          <w:lang w:eastAsia="zh-CN"/>
        </w:rPr>
        <w:t>30</w:t>
      </w:r>
      <w:r>
        <w:rPr>
          <w:lang w:eastAsia="zh-CN"/>
        </w:rPr>
        <w:t>个</w:t>
      </w:r>
      <w:r>
        <w:rPr>
          <w:lang w:eastAsia="zh-CN"/>
        </w:rPr>
        <w:t>“</w:t>
      </w:r>
      <w:r>
        <w:rPr>
          <w:lang w:eastAsia="zh-CN"/>
        </w:rPr>
        <w:t>脑机接口</w:t>
      </w:r>
      <w:r>
        <w:rPr>
          <w:lang w:eastAsia="zh-CN"/>
        </w:rPr>
        <w:t>+</w:t>
      </w:r>
      <w:r>
        <w:rPr>
          <w:lang w:eastAsia="zh-CN"/>
        </w:rPr>
        <w:t>消费</w:t>
      </w:r>
      <w:r>
        <w:rPr>
          <w:lang w:eastAsia="zh-CN"/>
        </w:rPr>
        <w:t>”</w:t>
      </w:r>
      <w:r>
        <w:rPr>
          <w:lang w:eastAsia="zh-CN"/>
        </w:rPr>
        <w:t>应用场景，预示</w:t>
      </w:r>
      <w:r>
        <w:rPr>
          <w:lang w:eastAsia="zh-CN"/>
        </w:rPr>
        <w:t>技术融合驱动消费创新。农行称个人消费贷款新增</w:t>
      </w:r>
      <w:r>
        <w:rPr>
          <w:lang w:eastAsia="zh-CN"/>
        </w:rPr>
        <w:t>1196</w:t>
      </w:r>
      <w:r>
        <w:rPr>
          <w:lang w:eastAsia="zh-CN"/>
        </w:rPr>
        <w:t>亿元，增速</w:t>
      </w:r>
      <w:r>
        <w:rPr>
          <w:lang w:eastAsia="zh-CN"/>
        </w:rPr>
        <w:t>9.0%</w:t>
      </w:r>
      <w:r>
        <w:rPr>
          <w:lang w:eastAsia="zh-CN"/>
        </w:rPr>
        <w:t>，科技贷款增速</w:t>
      </w:r>
      <w:r>
        <w:rPr>
          <w:lang w:eastAsia="zh-CN"/>
        </w:rPr>
        <w:t>20.1%</w:t>
      </w:r>
      <w:r>
        <w:rPr>
          <w:lang w:eastAsia="zh-CN"/>
        </w:rPr>
        <w:t>，支撑消费潜力持续释放。银河证券</w:t>
      </w:r>
      <w:proofErr w:type="gramStart"/>
      <w:r>
        <w:rPr>
          <w:lang w:eastAsia="zh-CN"/>
        </w:rPr>
        <w:t>研</w:t>
      </w:r>
      <w:proofErr w:type="gramEnd"/>
      <w:r>
        <w:rPr>
          <w:lang w:eastAsia="zh-CN"/>
        </w:rPr>
        <w:t>报认为消费板块估值处于历史偏低水平，部分细分领域如食品饮料等具备预期修复空间。政策层面，优化入境消费环境，提升支付便利性及多语种标识覆盖率，落实离境退税政策，加强以旧换新补贴资金保障，助力消费全流程便利化。</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pPr>
              <w:rPr>
                <w:lang w:eastAsia="zh-CN"/>
              </w:rPr>
            </w:pPr>
            <w:r>
              <w:rPr>
                <w:rFonts w:ascii="楷体" w:eastAsia="楷体" w:hAnsi="楷体"/>
                <w:lang w:eastAsia="zh-CN"/>
              </w:rPr>
              <w:t>食品饮料</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(516900.SH)</w:t>
            </w:r>
          </w:p>
        </w:tc>
        <w:tc>
          <w:tcPr>
            <w:tcW w:w="4323" w:type="dxa"/>
          </w:tcPr>
          <w:p w:rsidR="00846009" w:rsidRDefault="007B38DC">
            <w:pPr>
              <w:rPr>
                <w:lang w:eastAsia="zh-CN"/>
              </w:rPr>
            </w:pPr>
            <w:r>
              <w:rPr>
                <w:rFonts w:ascii="楷体" w:eastAsia="楷体" w:hAnsi="楷体"/>
                <w:lang w:eastAsia="zh-CN"/>
              </w:rPr>
              <w:t>港股</w:t>
            </w:r>
            <w:proofErr w:type="gramStart"/>
            <w:r>
              <w:rPr>
                <w:rFonts w:ascii="楷体" w:eastAsia="楷体" w:hAnsi="楷体"/>
                <w:lang w:eastAsia="zh-CN"/>
              </w:rPr>
              <w:t>通消费</w:t>
            </w:r>
            <w:proofErr w:type="gramEnd"/>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(159285.SZ)</w:t>
            </w:r>
          </w:p>
        </w:tc>
      </w:tr>
    </w:tbl>
    <w:p w:rsidR="00846009" w:rsidRDefault="00846009">
      <w:pPr>
        <w:spacing w:after="0" w:line="240" w:lineRule="auto"/>
        <w:rPr>
          <w:lang w:eastAsia="zh-CN"/>
        </w:rPr>
      </w:pPr>
    </w:p>
    <w:p w:rsidR="00846009" w:rsidRDefault="007B38DC">
      <w:pPr>
        <w:pStyle w:val="Sub"/>
        <w:rPr>
          <w:lang w:eastAsia="zh-CN"/>
        </w:rPr>
      </w:pPr>
      <w:r>
        <w:rPr>
          <w:lang w:eastAsia="zh-CN"/>
        </w:rPr>
        <w:t xml:space="preserve">※※ </w:t>
      </w:r>
      <w:r>
        <w:rPr>
          <w:lang w:eastAsia="zh-CN"/>
        </w:rPr>
        <w:t>金融地产</w:t>
      </w:r>
    </w:p>
    <w:p w:rsidR="00846009" w:rsidRDefault="007B38DC">
      <w:pPr>
        <w:pStyle w:val="Para"/>
        <w:rPr>
          <w:lang w:eastAsia="zh-CN"/>
        </w:rPr>
      </w:pPr>
      <w:r>
        <w:rPr>
          <w:lang w:eastAsia="zh-CN"/>
        </w:rPr>
        <w:t>金融地产行业近期热点集中在金融监管框架完善与地方房地产刺激政策并举。金融法草案公开征求意见，提出建设完善资本市场、支持中长期资金入市并增强内在稳定性，同时要求建立金融市场风险快速反应机制应对异常波动，明确央行牵头宏观审慎管理并实施跨周期调节。草案还强调全面加强金融监管覆盖和加大违法违规惩处力度。地方层面，南京推出住房</w:t>
      </w:r>
      <w:r>
        <w:rPr>
          <w:lang w:eastAsia="zh-CN"/>
        </w:rPr>
        <w:t>"</w:t>
      </w:r>
      <w:r>
        <w:rPr>
          <w:lang w:eastAsia="zh-CN"/>
        </w:rPr>
        <w:t>以旧换新</w:t>
      </w:r>
      <w:r>
        <w:rPr>
          <w:lang w:eastAsia="zh-CN"/>
        </w:rPr>
        <w:t>"</w:t>
      </w:r>
      <w:r>
        <w:rPr>
          <w:lang w:eastAsia="zh-CN"/>
        </w:rPr>
        <w:t>政策，对</w:t>
      </w:r>
      <w:r>
        <w:rPr>
          <w:lang w:eastAsia="zh-CN"/>
        </w:rPr>
        <w:t>2026</w:t>
      </w:r>
      <w:r>
        <w:rPr>
          <w:lang w:eastAsia="zh-CN"/>
        </w:rPr>
        <w:t>年底前完成交易的给予贷款总额</w:t>
      </w:r>
      <w:r>
        <w:rPr>
          <w:lang w:eastAsia="zh-CN"/>
        </w:rPr>
        <w:t>1%</w:t>
      </w:r>
      <w:r>
        <w:rPr>
          <w:lang w:eastAsia="zh-CN"/>
        </w:rPr>
        <w:t>贴息；郑州出台</w:t>
      </w:r>
      <w:r>
        <w:rPr>
          <w:lang w:eastAsia="zh-CN"/>
        </w:rPr>
        <w:t>8</w:t>
      </w:r>
      <w:r>
        <w:rPr>
          <w:lang w:eastAsia="zh-CN"/>
        </w:rPr>
        <w:t>条新政，多子女家庭购买二套房公积金贷款额度最高上浮</w:t>
      </w:r>
      <w:r>
        <w:rPr>
          <w:lang w:eastAsia="zh-CN"/>
        </w:rPr>
        <w:t>20%</w:t>
      </w:r>
      <w:r>
        <w:rPr>
          <w:lang w:eastAsia="zh-CN"/>
        </w:rPr>
        <w:t>，商业用房首付比例明确不低于</w:t>
      </w:r>
      <w:r>
        <w:rPr>
          <w:lang w:eastAsia="zh-CN"/>
        </w:rPr>
        <w:t>30%</w:t>
      </w:r>
      <w:r>
        <w:rPr>
          <w:lang w:eastAsia="zh-CN"/>
        </w:rPr>
        <w:t>，并计划</w:t>
      </w:r>
      <w:r>
        <w:rPr>
          <w:lang w:eastAsia="zh-CN"/>
        </w:rPr>
        <w:t>2026</w:t>
      </w:r>
      <w:r>
        <w:rPr>
          <w:lang w:eastAsia="zh-CN"/>
        </w:rPr>
        <w:t>年分配</w:t>
      </w:r>
      <w:r>
        <w:rPr>
          <w:lang w:eastAsia="zh-CN"/>
        </w:rPr>
        <w:t>1</w:t>
      </w:r>
      <w:r>
        <w:rPr>
          <w:lang w:eastAsia="zh-CN"/>
        </w:rPr>
        <w:t>万套</w:t>
      </w:r>
      <w:r>
        <w:rPr>
          <w:lang w:eastAsia="zh-CN"/>
        </w:rPr>
        <w:t>保障性租赁住房。中国房地产报社评指出当前处于</w:t>
      </w:r>
      <w:r>
        <w:rPr>
          <w:lang w:eastAsia="zh-CN"/>
        </w:rPr>
        <w:t>"</w:t>
      </w:r>
      <w:r>
        <w:rPr>
          <w:lang w:eastAsia="zh-CN"/>
        </w:rPr>
        <w:t>金三银四</w:t>
      </w:r>
      <w:r>
        <w:rPr>
          <w:lang w:eastAsia="zh-CN"/>
        </w:rPr>
        <w:t>"</w:t>
      </w:r>
      <w:r>
        <w:rPr>
          <w:lang w:eastAsia="zh-CN"/>
        </w:rPr>
        <w:t>市场关键期，呼吁政策</w:t>
      </w:r>
      <w:r>
        <w:rPr>
          <w:lang w:eastAsia="zh-CN"/>
        </w:rPr>
        <w:t>"</w:t>
      </w:r>
      <w:r>
        <w:rPr>
          <w:lang w:eastAsia="zh-CN"/>
        </w:rPr>
        <w:t>能为之尽为</w:t>
      </w:r>
      <w:r>
        <w:rPr>
          <w:lang w:eastAsia="zh-CN"/>
        </w:rPr>
        <w:t>"</w:t>
      </w:r>
      <w:r>
        <w:rPr>
          <w:lang w:eastAsia="zh-CN"/>
        </w:rPr>
        <w:t>以稳定市场。金融监管体系升级将提升行业规范性，地方差异化扶持政策持续释放住房改善需求。</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r>
              <w:rPr>
                <w:rFonts w:ascii="楷体" w:eastAsia="楷体" w:hAnsi="楷体"/>
              </w:rPr>
              <w:t>银行</w:t>
            </w:r>
            <w:r>
              <w:rPr>
                <w:rFonts w:ascii="楷体" w:eastAsia="楷体" w:hAnsi="楷体"/>
              </w:rPr>
              <w:t>ETF</w:t>
            </w:r>
            <w:r>
              <w:rPr>
                <w:rFonts w:ascii="楷体" w:eastAsia="楷体" w:hAnsi="楷体"/>
              </w:rPr>
              <w:t>华安</w:t>
            </w:r>
            <w:r>
              <w:rPr>
                <w:rFonts w:ascii="楷体" w:eastAsia="楷体" w:hAnsi="楷体"/>
              </w:rPr>
              <w:t>(516210.SH)</w:t>
            </w:r>
          </w:p>
        </w:tc>
        <w:tc>
          <w:tcPr>
            <w:tcW w:w="4323" w:type="dxa"/>
          </w:tcPr>
          <w:p w:rsidR="00846009" w:rsidRDefault="007B38DC">
            <w:r>
              <w:rPr>
                <w:rFonts w:ascii="楷体" w:eastAsia="楷体" w:hAnsi="楷体"/>
              </w:rPr>
              <w:t>证券</w:t>
            </w:r>
            <w:r>
              <w:rPr>
                <w:rFonts w:ascii="楷体" w:eastAsia="楷体" w:hAnsi="楷体"/>
              </w:rPr>
              <w:t>ETF</w:t>
            </w:r>
            <w:r>
              <w:rPr>
                <w:rFonts w:ascii="楷体" w:eastAsia="楷体" w:hAnsi="楷体"/>
              </w:rPr>
              <w:t>华安</w:t>
            </w:r>
            <w:r>
              <w:rPr>
                <w:rFonts w:ascii="楷体" w:eastAsia="楷体" w:hAnsi="楷体"/>
              </w:rPr>
              <w:t>(516200.SH)</w:t>
            </w:r>
          </w:p>
        </w:tc>
      </w:tr>
    </w:tbl>
    <w:p w:rsidR="00846009" w:rsidRDefault="00846009">
      <w:pPr>
        <w:spacing w:after="0" w:line="240" w:lineRule="auto"/>
      </w:pPr>
    </w:p>
    <w:p w:rsidR="00846009" w:rsidRDefault="007B38DC">
      <w:pPr>
        <w:pStyle w:val="Sub"/>
      </w:pPr>
      <w:r>
        <w:t xml:space="preserve">※※ </w:t>
      </w:r>
      <w:r>
        <w:t>医药生物</w:t>
      </w:r>
    </w:p>
    <w:p w:rsidR="00846009" w:rsidRDefault="007B38DC">
      <w:pPr>
        <w:pStyle w:val="Para"/>
        <w:rPr>
          <w:lang w:eastAsia="zh-CN"/>
        </w:rPr>
      </w:pPr>
      <w:r>
        <w:rPr>
          <w:lang w:eastAsia="zh-CN"/>
        </w:rPr>
        <w:t>医药生物行业近期热点集中在创新药盈利修复和出海高景气方向。</w:t>
      </w:r>
      <w:r>
        <w:rPr>
          <w:lang w:eastAsia="zh-CN"/>
        </w:rPr>
        <w:t>2026</w:t>
      </w:r>
      <w:r>
        <w:rPr>
          <w:lang w:eastAsia="zh-CN"/>
        </w:rPr>
        <w:t>年一季度创新</w:t>
      </w:r>
      <w:proofErr w:type="gramStart"/>
      <w:r>
        <w:rPr>
          <w:lang w:eastAsia="zh-CN"/>
        </w:rPr>
        <w:t>药对外</w:t>
      </w:r>
      <w:proofErr w:type="gramEnd"/>
      <w:r>
        <w:rPr>
          <w:lang w:eastAsia="zh-CN"/>
        </w:rPr>
        <w:t>授权交易总额突破</w:t>
      </w:r>
      <w:r>
        <w:rPr>
          <w:lang w:eastAsia="zh-CN"/>
        </w:rPr>
        <w:t>600</w:t>
      </w:r>
      <w:r>
        <w:rPr>
          <w:lang w:eastAsia="zh-CN"/>
        </w:rPr>
        <w:t>亿美元，接近</w:t>
      </w:r>
      <w:r>
        <w:rPr>
          <w:lang w:eastAsia="zh-CN"/>
        </w:rPr>
        <w:t>2025</w:t>
      </w:r>
      <w:r>
        <w:rPr>
          <w:lang w:eastAsia="zh-CN"/>
        </w:rPr>
        <w:t>年全年一半，国产创新药</w:t>
      </w:r>
      <w:r>
        <w:rPr>
          <w:lang w:eastAsia="zh-CN"/>
        </w:rPr>
        <w:t>BD</w:t>
      </w:r>
      <w:r>
        <w:rPr>
          <w:lang w:eastAsia="zh-CN"/>
        </w:rPr>
        <w:t>项目数和披露金额全球占比分别达</w:t>
      </w:r>
      <w:r>
        <w:rPr>
          <w:lang w:eastAsia="zh-CN"/>
        </w:rPr>
        <w:t>20%</w:t>
      </w:r>
      <w:r>
        <w:rPr>
          <w:lang w:eastAsia="zh-CN"/>
        </w:rPr>
        <w:t>和</w:t>
      </w:r>
      <w:r>
        <w:rPr>
          <w:lang w:eastAsia="zh-CN"/>
        </w:rPr>
        <w:t>75%</w:t>
      </w:r>
      <w:r>
        <w:rPr>
          <w:lang w:eastAsia="zh-CN"/>
        </w:rPr>
        <w:t>；</w:t>
      </w:r>
      <w:r>
        <w:rPr>
          <w:lang w:eastAsia="zh-CN"/>
        </w:rPr>
        <w:t>2025</w:t>
      </w:r>
      <w:r>
        <w:rPr>
          <w:lang w:eastAsia="zh-CN"/>
        </w:rPr>
        <w:t>年约</w:t>
      </w:r>
      <w:r>
        <w:rPr>
          <w:lang w:eastAsia="zh-CN"/>
        </w:rPr>
        <w:t>20</w:t>
      </w:r>
      <w:r>
        <w:rPr>
          <w:lang w:eastAsia="zh-CN"/>
        </w:rPr>
        <w:t>家公司净利润</w:t>
      </w:r>
      <w:proofErr w:type="gramStart"/>
      <w:r>
        <w:rPr>
          <w:lang w:eastAsia="zh-CN"/>
        </w:rPr>
        <w:t>增速超</w:t>
      </w:r>
      <w:proofErr w:type="gramEnd"/>
      <w:r>
        <w:rPr>
          <w:lang w:eastAsia="zh-CN"/>
        </w:rPr>
        <w:t>100%</w:t>
      </w:r>
      <w:r>
        <w:rPr>
          <w:lang w:eastAsia="zh-CN"/>
        </w:rPr>
        <w:t>，龙头跨过盈亏平衡点，利润释放超预期；国务院办公厅出台药品价格形成机制意见，建立创新溢价和价格稳定期，提升国内创新</w:t>
      </w:r>
      <w:proofErr w:type="gramStart"/>
      <w:r>
        <w:rPr>
          <w:lang w:eastAsia="zh-CN"/>
        </w:rPr>
        <w:t>药销售</w:t>
      </w:r>
      <w:proofErr w:type="gramEnd"/>
      <w:r>
        <w:rPr>
          <w:lang w:eastAsia="zh-CN"/>
        </w:rPr>
        <w:t>峰值预期。产业层面，创新</w:t>
      </w:r>
      <w:proofErr w:type="gramStart"/>
      <w:r>
        <w:rPr>
          <w:lang w:eastAsia="zh-CN"/>
        </w:rPr>
        <w:t>药企从</w:t>
      </w:r>
      <w:proofErr w:type="gramEnd"/>
      <w:r>
        <w:rPr>
          <w:lang w:eastAsia="zh-CN"/>
        </w:rPr>
        <w:t>估值重估转向盈利驱</w:t>
      </w:r>
      <w:r>
        <w:rPr>
          <w:lang w:eastAsia="zh-CN"/>
        </w:rPr>
        <w:lastRenderedPageBreak/>
        <w:t>动，出海从偶发性转为系统性趋势，国际影响力增强，行业景气度提升。技术层面，累计新增</w:t>
      </w:r>
      <w:r>
        <w:rPr>
          <w:lang w:eastAsia="zh-CN"/>
        </w:rPr>
        <w:t>180</w:t>
      </w:r>
      <w:r>
        <w:rPr>
          <w:lang w:eastAsia="zh-CN"/>
        </w:rPr>
        <w:t>余项新技术新产品</w:t>
      </w:r>
      <w:r>
        <w:rPr>
          <w:lang w:eastAsia="zh-CN"/>
        </w:rPr>
        <w:t>价格项目，涵盖手术机器人、远程手术和质子放疗等领域，加速高水平创新成果市场转化。政策层面，生物医药首次被政府工作报告列为国家新兴支柱产业，与集成电路、航空航天并列；</w:t>
      </w:r>
      <w:proofErr w:type="gramStart"/>
      <w:r>
        <w:rPr>
          <w:lang w:eastAsia="zh-CN"/>
        </w:rPr>
        <w:t>医</w:t>
      </w:r>
      <w:proofErr w:type="gramEnd"/>
      <w:r>
        <w:rPr>
          <w:lang w:eastAsia="zh-CN"/>
        </w:rPr>
        <w:t>保局探索医疗服务价格预立项制度，支持临床创新技术快速应用。</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r>
              <w:rPr>
                <w:rFonts w:ascii="楷体" w:eastAsia="楷体" w:hAnsi="楷体"/>
              </w:rPr>
              <w:t>医药</w:t>
            </w:r>
            <w:r>
              <w:rPr>
                <w:rFonts w:ascii="楷体" w:eastAsia="楷体" w:hAnsi="楷体"/>
              </w:rPr>
              <w:t>ETF</w:t>
            </w:r>
            <w:r>
              <w:rPr>
                <w:rFonts w:ascii="楷体" w:eastAsia="楷体" w:hAnsi="楷体"/>
              </w:rPr>
              <w:t>华安</w:t>
            </w:r>
            <w:r>
              <w:rPr>
                <w:rFonts w:ascii="楷体" w:eastAsia="楷体" w:hAnsi="楷体"/>
              </w:rPr>
              <w:t>(512120.SH)</w:t>
            </w:r>
          </w:p>
        </w:tc>
        <w:tc>
          <w:tcPr>
            <w:tcW w:w="4323" w:type="dxa"/>
          </w:tcPr>
          <w:p w:rsidR="00846009" w:rsidRDefault="007B38DC">
            <w:pPr>
              <w:rPr>
                <w:lang w:eastAsia="zh-CN"/>
              </w:rPr>
            </w:pPr>
            <w:r>
              <w:rPr>
                <w:rFonts w:ascii="楷体" w:eastAsia="楷体" w:hAnsi="楷体"/>
                <w:lang w:eastAsia="zh-CN"/>
              </w:rPr>
              <w:t>生物医药</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(159508.SZ)</w:t>
            </w:r>
          </w:p>
        </w:tc>
      </w:tr>
      <w:tr w:rsidR="00846009">
        <w:trPr>
          <w:jc w:val="center"/>
        </w:trPr>
        <w:tc>
          <w:tcPr>
            <w:tcW w:w="4323" w:type="dxa"/>
          </w:tcPr>
          <w:p w:rsidR="00846009" w:rsidRDefault="007B38DC">
            <w:proofErr w:type="spellStart"/>
            <w:r>
              <w:rPr>
                <w:rFonts w:ascii="楷体" w:eastAsia="楷体" w:hAnsi="楷体"/>
              </w:rPr>
              <w:t>港股通生物科技</w:t>
            </w:r>
            <w:r>
              <w:rPr>
                <w:rFonts w:ascii="楷体" w:eastAsia="楷体" w:hAnsi="楷体"/>
              </w:rPr>
              <w:t>ETF</w:t>
            </w:r>
            <w:r>
              <w:rPr>
                <w:rFonts w:ascii="楷体" w:eastAsia="楷体" w:hAnsi="楷体"/>
              </w:rPr>
              <w:t>华安</w:t>
            </w:r>
            <w:proofErr w:type="spellEnd"/>
            <w:r>
              <w:rPr>
                <w:rFonts w:ascii="楷体" w:eastAsia="楷体" w:hAnsi="楷体"/>
              </w:rPr>
              <w:t>(159102.SZ)</w:t>
            </w:r>
          </w:p>
        </w:tc>
        <w:tc>
          <w:tcPr>
            <w:tcW w:w="4323" w:type="dxa"/>
          </w:tcPr>
          <w:p w:rsidR="00846009" w:rsidRDefault="00846009"/>
        </w:tc>
      </w:tr>
    </w:tbl>
    <w:p w:rsidR="00846009" w:rsidRDefault="00846009">
      <w:pPr>
        <w:spacing w:after="0" w:line="240" w:lineRule="auto"/>
      </w:pPr>
    </w:p>
    <w:p w:rsidR="00846009" w:rsidRDefault="007B38DC">
      <w:r>
        <w:br w:type="page"/>
      </w:r>
    </w:p>
    <w:p w:rsidR="00846009" w:rsidRDefault="007B38DC">
      <w:pPr>
        <w:pStyle w:val="Head"/>
      </w:pPr>
      <w:r>
        <w:lastRenderedPageBreak/>
        <w:t xml:space="preserve">■ </w:t>
      </w:r>
      <w:r>
        <w:t>海外市场</w:t>
      </w:r>
    </w:p>
    <w:p w:rsidR="00846009" w:rsidRDefault="007B38DC">
      <w:pPr>
        <w:pStyle w:val="Para"/>
        <w:rPr>
          <w:lang w:eastAsia="zh-CN"/>
        </w:rPr>
      </w:pPr>
      <w:r>
        <w:rPr>
          <w:lang w:eastAsia="zh-CN"/>
        </w:rPr>
        <w:t>本周海外权益方面，全球市场表现分化，港股市场下跌，亚洲市场普遍上涨，美股市场下跌，欧洲市场普遍下跌。</w:t>
      </w:r>
    </w:p>
    <w:p w:rsidR="00846009" w:rsidRDefault="007B38DC">
      <w:pPr>
        <w:pStyle w:val="Cap"/>
        <w:rPr>
          <w:lang w:eastAsia="zh-CN"/>
        </w:rPr>
      </w:pPr>
      <w:r>
        <w:rPr>
          <w:lang w:eastAsia="zh-CN"/>
        </w:rPr>
        <w:t>表</w:t>
      </w:r>
      <w:proofErr w:type="gramStart"/>
      <w:r>
        <w:rPr>
          <w:lang w:eastAsia="zh-CN"/>
        </w:rPr>
        <w:t>一</w:t>
      </w:r>
      <w:proofErr w:type="gramEnd"/>
      <w:r>
        <w:rPr>
          <w:lang w:eastAsia="zh-CN"/>
        </w:rPr>
        <w:t>：</w:t>
      </w:r>
      <w:r>
        <w:rPr>
          <w:lang w:eastAsia="zh-CN"/>
        </w:rPr>
        <w:t>全球主要市场地区指数周内涨跌幅</w:t>
      </w:r>
    </w:p>
    <w:tbl>
      <w:tblPr>
        <w:tblStyle w:val="aff1"/>
        <w:tblW w:w="0" w:type="auto"/>
        <w:jc w:val="center"/>
        <w:tblLook w:val="04A0" w:firstRow="1" w:lastRow="0" w:firstColumn="1" w:lastColumn="0" w:noHBand="0" w:noVBand="1"/>
      </w:tblPr>
      <w:tblGrid>
        <w:gridCol w:w="2882"/>
        <w:gridCol w:w="2882"/>
        <w:gridCol w:w="2882"/>
      </w:tblGrid>
      <w:tr w:rsidR="00846009">
        <w:trPr>
          <w:jc w:val="center"/>
        </w:trPr>
        <w:tc>
          <w:tcPr>
            <w:tcW w:w="2882" w:type="dxa"/>
          </w:tcPr>
          <w:p w:rsidR="00846009" w:rsidRDefault="007B38DC">
            <w:proofErr w:type="spellStart"/>
            <w:r>
              <w:rPr>
                <w:rFonts w:ascii="楷体" w:eastAsia="楷体" w:hAnsi="楷体"/>
                <w:b/>
              </w:rPr>
              <w:t>指数名称</w:t>
            </w:r>
            <w:proofErr w:type="spellEnd"/>
          </w:p>
        </w:tc>
        <w:tc>
          <w:tcPr>
            <w:tcW w:w="2882" w:type="dxa"/>
          </w:tcPr>
          <w:p w:rsidR="00846009" w:rsidRDefault="007B38DC">
            <w:r>
              <w:rPr>
                <w:rFonts w:ascii="楷体" w:eastAsia="楷体" w:hAnsi="楷体"/>
                <w:b/>
              </w:rPr>
              <w:t>指数代码</w:t>
            </w:r>
          </w:p>
        </w:tc>
        <w:tc>
          <w:tcPr>
            <w:tcW w:w="2882" w:type="dxa"/>
          </w:tcPr>
          <w:p w:rsidR="00846009" w:rsidRDefault="007B38DC">
            <w:r>
              <w:rPr>
                <w:rFonts w:ascii="楷体" w:eastAsia="楷体" w:hAnsi="楷体"/>
                <w:b/>
              </w:rPr>
              <w:t>周内涨跌幅</w:t>
            </w:r>
          </w:p>
        </w:tc>
      </w:tr>
      <w:tr w:rsidR="00846009">
        <w:trPr>
          <w:jc w:val="center"/>
        </w:trPr>
        <w:tc>
          <w:tcPr>
            <w:tcW w:w="2882" w:type="dxa"/>
          </w:tcPr>
          <w:p w:rsidR="00846009" w:rsidRDefault="007B38DC">
            <w:r>
              <w:rPr>
                <w:rFonts w:ascii="楷体" w:eastAsia="楷体" w:hAnsi="楷体"/>
              </w:rPr>
              <w:t>恒生指数</w:t>
            </w:r>
          </w:p>
        </w:tc>
        <w:tc>
          <w:tcPr>
            <w:tcW w:w="2882" w:type="dxa"/>
          </w:tcPr>
          <w:p w:rsidR="00846009" w:rsidRDefault="007B38DC">
            <w:r>
              <w:rPr>
                <w:rFonts w:ascii="楷体" w:eastAsia="楷体" w:hAnsi="楷体"/>
              </w:rPr>
              <w:t>HSI</w:t>
            </w:r>
          </w:p>
        </w:tc>
        <w:tc>
          <w:tcPr>
            <w:tcW w:w="2882" w:type="dxa"/>
          </w:tcPr>
          <w:p w:rsidR="00846009" w:rsidRDefault="007B38DC">
            <w:r>
              <w:rPr>
                <w:rFonts w:ascii="楷体" w:eastAsia="楷体" w:hAnsi="楷体"/>
              </w:rPr>
              <w:t>-0.70%</w:t>
            </w:r>
          </w:p>
        </w:tc>
      </w:tr>
      <w:tr w:rsidR="00846009">
        <w:trPr>
          <w:jc w:val="center"/>
        </w:trPr>
        <w:tc>
          <w:tcPr>
            <w:tcW w:w="2882" w:type="dxa"/>
          </w:tcPr>
          <w:p w:rsidR="00846009" w:rsidRDefault="007B38DC">
            <w:r>
              <w:rPr>
                <w:rFonts w:ascii="楷体" w:eastAsia="楷体" w:hAnsi="楷体"/>
              </w:rPr>
              <w:t>恒生科技</w:t>
            </w:r>
          </w:p>
        </w:tc>
        <w:tc>
          <w:tcPr>
            <w:tcW w:w="2882" w:type="dxa"/>
          </w:tcPr>
          <w:p w:rsidR="00846009" w:rsidRDefault="007B38DC">
            <w:r>
              <w:rPr>
                <w:rFonts w:ascii="楷体" w:eastAsia="楷体" w:hAnsi="楷体"/>
              </w:rPr>
              <w:t>HSTECH</w:t>
            </w:r>
          </w:p>
        </w:tc>
        <w:tc>
          <w:tcPr>
            <w:tcW w:w="2882" w:type="dxa"/>
          </w:tcPr>
          <w:p w:rsidR="00846009" w:rsidRDefault="007B38DC">
            <w:r>
              <w:rPr>
                <w:rFonts w:ascii="楷体" w:eastAsia="楷体" w:hAnsi="楷体"/>
              </w:rPr>
              <w:t>-2.79%</w:t>
            </w:r>
          </w:p>
        </w:tc>
      </w:tr>
      <w:tr w:rsidR="00846009">
        <w:trPr>
          <w:jc w:val="center"/>
        </w:trPr>
        <w:tc>
          <w:tcPr>
            <w:tcW w:w="2882" w:type="dxa"/>
          </w:tcPr>
          <w:p w:rsidR="00846009" w:rsidRDefault="007B38DC">
            <w:pPr>
              <w:rPr>
                <w:lang w:eastAsia="zh-CN"/>
              </w:rPr>
            </w:pPr>
            <w:r>
              <w:rPr>
                <w:rFonts w:ascii="楷体" w:eastAsia="楷体" w:hAnsi="楷体"/>
                <w:lang w:eastAsia="zh-CN"/>
              </w:rPr>
              <w:t>恒生港股通</w:t>
            </w:r>
            <w:proofErr w:type="gramStart"/>
            <w:r>
              <w:rPr>
                <w:rFonts w:ascii="楷体" w:eastAsia="楷体" w:hAnsi="楷体"/>
                <w:lang w:eastAsia="zh-CN"/>
              </w:rPr>
              <w:t>中国央企红利</w:t>
            </w:r>
            <w:proofErr w:type="gramEnd"/>
          </w:p>
        </w:tc>
        <w:tc>
          <w:tcPr>
            <w:tcW w:w="2882" w:type="dxa"/>
          </w:tcPr>
          <w:p w:rsidR="00846009" w:rsidRDefault="007B38DC">
            <w:r>
              <w:rPr>
                <w:rFonts w:ascii="楷体" w:eastAsia="楷体" w:hAnsi="楷体"/>
              </w:rPr>
              <w:t>HSSCSOY</w:t>
            </w:r>
          </w:p>
        </w:tc>
        <w:tc>
          <w:tcPr>
            <w:tcW w:w="2882" w:type="dxa"/>
          </w:tcPr>
          <w:p w:rsidR="00846009" w:rsidRDefault="007B38DC">
            <w:r>
              <w:rPr>
                <w:rFonts w:ascii="楷体" w:eastAsia="楷体" w:hAnsi="楷体"/>
              </w:rPr>
              <w:t>1.26%</w:t>
            </w:r>
          </w:p>
        </w:tc>
      </w:tr>
      <w:tr w:rsidR="00846009">
        <w:trPr>
          <w:jc w:val="center"/>
        </w:trPr>
        <w:tc>
          <w:tcPr>
            <w:tcW w:w="2882" w:type="dxa"/>
          </w:tcPr>
          <w:p w:rsidR="00846009" w:rsidRDefault="007B38DC">
            <w:r>
              <w:rPr>
                <w:rFonts w:ascii="楷体" w:eastAsia="楷体" w:hAnsi="楷体"/>
              </w:rPr>
              <w:t>纳斯达克</w:t>
            </w:r>
            <w:r>
              <w:rPr>
                <w:rFonts w:ascii="楷体" w:eastAsia="楷体" w:hAnsi="楷体"/>
              </w:rPr>
              <w:t>100</w:t>
            </w:r>
          </w:p>
        </w:tc>
        <w:tc>
          <w:tcPr>
            <w:tcW w:w="2882" w:type="dxa"/>
          </w:tcPr>
          <w:p w:rsidR="00846009" w:rsidRDefault="007B38DC">
            <w:r>
              <w:rPr>
                <w:rFonts w:ascii="楷体" w:eastAsia="楷体" w:hAnsi="楷体"/>
              </w:rPr>
              <w:t>NDX</w:t>
            </w:r>
          </w:p>
        </w:tc>
        <w:tc>
          <w:tcPr>
            <w:tcW w:w="2882" w:type="dxa"/>
          </w:tcPr>
          <w:p w:rsidR="00846009" w:rsidRDefault="007B38DC">
            <w:r>
              <w:rPr>
                <w:rFonts w:ascii="楷体" w:eastAsia="楷体" w:hAnsi="楷体"/>
              </w:rPr>
              <w:t>0.41%</w:t>
            </w:r>
          </w:p>
        </w:tc>
      </w:tr>
      <w:tr w:rsidR="00846009">
        <w:trPr>
          <w:jc w:val="center"/>
        </w:trPr>
        <w:tc>
          <w:tcPr>
            <w:tcW w:w="2882" w:type="dxa"/>
          </w:tcPr>
          <w:p w:rsidR="00846009" w:rsidRDefault="007B38DC">
            <w:r>
              <w:rPr>
                <w:rFonts w:ascii="楷体" w:eastAsia="楷体" w:hAnsi="楷体"/>
              </w:rPr>
              <w:t>标普</w:t>
            </w:r>
            <w:r>
              <w:rPr>
                <w:rFonts w:ascii="楷体" w:eastAsia="楷体" w:hAnsi="楷体"/>
              </w:rPr>
              <w:t>500</w:t>
            </w:r>
          </w:p>
        </w:tc>
        <w:tc>
          <w:tcPr>
            <w:tcW w:w="2882" w:type="dxa"/>
          </w:tcPr>
          <w:p w:rsidR="00846009" w:rsidRDefault="007B38DC">
            <w:r>
              <w:rPr>
                <w:rFonts w:ascii="楷体" w:eastAsia="楷体" w:hAnsi="楷体"/>
              </w:rPr>
              <w:t>SPX</w:t>
            </w:r>
          </w:p>
        </w:tc>
        <w:tc>
          <w:tcPr>
            <w:tcW w:w="2882" w:type="dxa"/>
          </w:tcPr>
          <w:p w:rsidR="00846009" w:rsidRDefault="007B38DC">
            <w:r>
              <w:rPr>
                <w:rFonts w:ascii="楷体" w:eastAsia="楷体" w:hAnsi="楷体"/>
              </w:rPr>
              <w:t>-0.25%</w:t>
            </w:r>
          </w:p>
        </w:tc>
      </w:tr>
      <w:tr w:rsidR="00846009">
        <w:trPr>
          <w:jc w:val="center"/>
        </w:trPr>
        <w:tc>
          <w:tcPr>
            <w:tcW w:w="2882" w:type="dxa"/>
          </w:tcPr>
          <w:p w:rsidR="00846009" w:rsidRDefault="007B38DC">
            <w:r>
              <w:rPr>
                <w:rFonts w:ascii="楷体" w:eastAsia="楷体" w:hAnsi="楷体"/>
              </w:rPr>
              <w:t>道琼斯工业指数</w:t>
            </w:r>
          </w:p>
        </w:tc>
        <w:tc>
          <w:tcPr>
            <w:tcW w:w="2882" w:type="dxa"/>
          </w:tcPr>
          <w:p w:rsidR="00846009" w:rsidRDefault="007B38DC">
            <w:r>
              <w:rPr>
                <w:rFonts w:ascii="楷体" w:eastAsia="楷体" w:hAnsi="楷体"/>
              </w:rPr>
              <w:t>DJI</w:t>
            </w:r>
          </w:p>
        </w:tc>
        <w:tc>
          <w:tcPr>
            <w:tcW w:w="2882" w:type="dxa"/>
          </w:tcPr>
          <w:p w:rsidR="00846009" w:rsidRDefault="007B38DC">
            <w:r>
              <w:rPr>
                <w:rFonts w:ascii="楷体" w:eastAsia="楷体" w:hAnsi="楷体"/>
              </w:rPr>
              <w:t>-0.28%</w:t>
            </w:r>
          </w:p>
        </w:tc>
      </w:tr>
      <w:tr w:rsidR="00846009">
        <w:trPr>
          <w:jc w:val="center"/>
        </w:trPr>
        <w:tc>
          <w:tcPr>
            <w:tcW w:w="2882" w:type="dxa"/>
          </w:tcPr>
          <w:p w:rsidR="00846009" w:rsidRDefault="007B38DC">
            <w:r>
              <w:rPr>
                <w:rFonts w:ascii="楷体" w:eastAsia="楷体" w:hAnsi="楷体"/>
              </w:rPr>
              <w:t>德国</w:t>
            </w:r>
            <w:r>
              <w:rPr>
                <w:rFonts w:ascii="楷体" w:eastAsia="楷体" w:hAnsi="楷体"/>
              </w:rPr>
              <w:t>DAX</w:t>
            </w:r>
          </w:p>
        </w:tc>
        <w:tc>
          <w:tcPr>
            <w:tcW w:w="2882" w:type="dxa"/>
          </w:tcPr>
          <w:p w:rsidR="00846009" w:rsidRDefault="007B38DC">
            <w:r>
              <w:rPr>
                <w:rFonts w:ascii="楷体" w:eastAsia="楷体" w:hAnsi="楷体"/>
              </w:rPr>
              <w:t>GDAXI</w:t>
            </w:r>
          </w:p>
        </w:tc>
        <w:tc>
          <w:tcPr>
            <w:tcW w:w="2882" w:type="dxa"/>
          </w:tcPr>
          <w:p w:rsidR="00846009" w:rsidRDefault="007B38DC">
            <w:r>
              <w:rPr>
                <w:rFonts w:ascii="楷体" w:eastAsia="楷体" w:hAnsi="楷体"/>
              </w:rPr>
              <w:t>-2.21%</w:t>
            </w:r>
          </w:p>
        </w:tc>
      </w:tr>
      <w:tr w:rsidR="00846009">
        <w:trPr>
          <w:jc w:val="center"/>
        </w:trPr>
        <w:tc>
          <w:tcPr>
            <w:tcW w:w="2882" w:type="dxa"/>
          </w:tcPr>
          <w:p w:rsidR="00846009" w:rsidRDefault="007B38DC">
            <w:r>
              <w:rPr>
                <w:rFonts w:ascii="楷体" w:eastAsia="楷体" w:hAnsi="楷体"/>
              </w:rPr>
              <w:t>法国</w:t>
            </w:r>
            <w:r>
              <w:rPr>
                <w:rFonts w:ascii="楷体" w:eastAsia="楷体" w:hAnsi="楷体"/>
              </w:rPr>
              <w:t>CAC40</w:t>
            </w:r>
          </w:p>
        </w:tc>
        <w:tc>
          <w:tcPr>
            <w:tcW w:w="2882" w:type="dxa"/>
          </w:tcPr>
          <w:p w:rsidR="00846009" w:rsidRDefault="007B38DC">
            <w:r>
              <w:rPr>
                <w:rFonts w:ascii="楷体" w:eastAsia="楷体" w:hAnsi="楷体"/>
              </w:rPr>
              <w:t>FCHI</w:t>
            </w:r>
          </w:p>
        </w:tc>
        <w:tc>
          <w:tcPr>
            <w:tcW w:w="2882" w:type="dxa"/>
          </w:tcPr>
          <w:p w:rsidR="00846009" w:rsidRDefault="007B38DC">
            <w:r>
              <w:rPr>
                <w:rFonts w:ascii="楷体" w:eastAsia="楷体" w:hAnsi="楷体"/>
              </w:rPr>
              <w:t>-2.35%</w:t>
            </w:r>
          </w:p>
        </w:tc>
      </w:tr>
      <w:tr w:rsidR="00846009">
        <w:trPr>
          <w:jc w:val="center"/>
        </w:trPr>
        <w:tc>
          <w:tcPr>
            <w:tcW w:w="2882" w:type="dxa"/>
          </w:tcPr>
          <w:p w:rsidR="00846009" w:rsidRDefault="007B38DC">
            <w:r>
              <w:rPr>
                <w:rFonts w:ascii="楷体" w:eastAsia="楷体" w:hAnsi="楷体"/>
              </w:rPr>
              <w:t>英国富时</w:t>
            </w:r>
            <w:r>
              <w:rPr>
                <w:rFonts w:ascii="楷体" w:eastAsia="楷体" w:hAnsi="楷体"/>
              </w:rPr>
              <w:t>100</w:t>
            </w:r>
          </w:p>
        </w:tc>
        <w:tc>
          <w:tcPr>
            <w:tcW w:w="2882" w:type="dxa"/>
          </w:tcPr>
          <w:p w:rsidR="00846009" w:rsidRDefault="007B38DC">
            <w:r>
              <w:rPr>
                <w:rFonts w:ascii="楷体" w:eastAsia="楷体" w:hAnsi="楷体"/>
              </w:rPr>
              <w:t>FTSE</w:t>
            </w:r>
          </w:p>
        </w:tc>
        <w:tc>
          <w:tcPr>
            <w:tcW w:w="2882" w:type="dxa"/>
          </w:tcPr>
          <w:p w:rsidR="00846009" w:rsidRDefault="007B38DC">
            <w:r>
              <w:rPr>
                <w:rFonts w:ascii="楷体" w:eastAsia="楷体" w:hAnsi="楷体"/>
              </w:rPr>
              <w:t>-1.97%</w:t>
            </w:r>
          </w:p>
        </w:tc>
      </w:tr>
      <w:tr w:rsidR="00846009">
        <w:trPr>
          <w:jc w:val="center"/>
        </w:trPr>
        <w:tc>
          <w:tcPr>
            <w:tcW w:w="2882" w:type="dxa"/>
          </w:tcPr>
          <w:p w:rsidR="00846009" w:rsidRDefault="007B38DC">
            <w:r>
              <w:rPr>
                <w:rFonts w:ascii="楷体" w:eastAsia="楷体" w:hAnsi="楷体"/>
              </w:rPr>
              <w:t>日经</w:t>
            </w:r>
            <w:r>
              <w:rPr>
                <w:rFonts w:ascii="楷体" w:eastAsia="楷体" w:hAnsi="楷体"/>
              </w:rPr>
              <w:t>225</w:t>
            </w:r>
          </w:p>
        </w:tc>
        <w:tc>
          <w:tcPr>
            <w:tcW w:w="2882" w:type="dxa"/>
          </w:tcPr>
          <w:p w:rsidR="00846009" w:rsidRDefault="007B38DC">
            <w:r>
              <w:rPr>
                <w:rFonts w:ascii="楷体" w:eastAsia="楷体" w:hAnsi="楷体"/>
              </w:rPr>
              <w:t>N225</w:t>
            </w:r>
          </w:p>
        </w:tc>
        <w:tc>
          <w:tcPr>
            <w:tcW w:w="2882" w:type="dxa"/>
          </w:tcPr>
          <w:p w:rsidR="00846009" w:rsidRDefault="007B38DC">
            <w:r>
              <w:rPr>
                <w:rFonts w:ascii="楷体" w:eastAsia="楷体" w:hAnsi="楷体"/>
              </w:rPr>
              <w:t>2.12%</w:t>
            </w:r>
          </w:p>
        </w:tc>
      </w:tr>
      <w:tr w:rsidR="00846009">
        <w:trPr>
          <w:jc w:val="center"/>
        </w:trPr>
        <w:tc>
          <w:tcPr>
            <w:tcW w:w="2882" w:type="dxa"/>
          </w:tcPr>
          <w:p w:rsidR="00846009" w:rsidRDefault="007B38DC">
            <w:r>
              <w:rPr>
                <w:rFonts w:ascii="楷体" w:eastAsia="楷体" w:hAnsi="楷体"/>
              </w:rPr>
              <w:t>韩国综合指数</w:t>
            </w:r>
          </w:p>
        </w:tc>
        <w:tc>
          <w:tcPr>
            <w:tcW w:w="2882" w:type="dxa"/>
          </w:tcPr>
          <w:p w:rsidR="00846009" w:rsidRDefault="007B38DC">
            <w:r>
              <w:rPr>
                <w:rFonts w:ascii="楷体" w:eastAsia="楷体" w:hAnsi="楷体"/>
              </w:rPr>
              <w:t>KS11</w:t>
            </w:r>
          </w:p>
        </w:tc>
        <w:tc>
          <w:tcPr>
            <w:tcW w:w="2882" w:type="dxa"/>
          </w:tcPr>
          <w:p w:rsidR="00846009" w:rsidRDefault="007B38DC">
            <w:r>
              <w:rPr>
                <w:rFonts w:ascii="楷体" w:eastAsia="楷体" w:hAnsi="楷体"/>
              </w:rPr>
              <w:t>4.58%</w:t>
            </w:r>
          </w:p>
        </w:tc>
      </w:tr>
      <w:tr w:rsidR="00846009">
        <w:trPr>
          <w:jc w:val="center"/>
        </w:trPr>
        <w:tc>
          <w:tcPr>
            <w:tcW w:w="2882" w:type="dxa"/>
          </w:tcPr>
          <w:p w:rsidR="00846009" w:rsidRDefault="007B38DC">
            <w:r>
              <w:rPr>
                <w:rFonts w:ascii="楷体" w:eastAsia="楷体" w:hAnsi="楷体"/>
              </w:rPr>
              <w:t>印度</w:t>
            </w:r>
            <w:r>
              <w:rPr>
                <w:rFonts w:ascii="楷体" w:eastAsia="楷体" w:hAnsi="楷体"/>
              </w:rPr>
              <w:t>Sensex30</w:t>
            </w:r>
          </w:p>
        </w:tc>
        <w:tc>
          <w:tcPr>
            <w:tcW w:w="2882" w:type="dxa"/>
          </w:tcPr>
          <w:p w:rsidR="00846009" w:rsidRDefault="007B38DC">
            <w:r>
              <w:rPr>
                <w:rFonts w:ascii="楷体" w:eastAsia="楷体" w:hAnsi="楷体"/>
              </w:rPr>
              <w:t>SENSEX</w:t>
            </w:r>
          </w:p>
        </w:tc>
        <w:tc>
          <w:tcPr>
            <w:tcW w:w="2882" w:type="dxa"/>
          </w:tcPr>
          <w:p w:rsidR="00846009" w:rsidRDefault="007B38DC">
            <w:r>
              <w:rPr>
                <w:rFonts w:ascii="楷体" w:eastAsia="楷体" w:hAnsi="楷体"/>
              </w:rPr>
              <w:t>-1.06%</w:t>
            </w:r>
          </w:p>
        </w:tc>
      </w:tr>
    </w:tbl>
    <w:p w:rsidR="00846009" w:rsidRDefault="007B38DC">
      <w:pPr>
        <w:pStyle w:val="Source"/>
        <w:rPr>
          <w:lang w:eastAsia="zh-CN"/>
        </w:rPr>
      </w:pPr>
      <w:r>
        <w:rPr>
          <w:lang w:eastAsia="zh-CN"/>
        </w:rPr>
        <w:t>数据来源：</w:t>
      </w:r>
      <w:r>
        <w:rPr>
          <w:lang w:eastAsia="zh-CN"/>
        </w:rPr>
        <w:t>Wind</w:t>
      </w:r>
      <w:r>
        <w:rPr>
          <w:lang w:eastAsia="zh-CN"/>
        </w:rPr>
        <w:t>，华安基金，截至</w:t>
      </w:r>
      <w:r>
        <w:rPr>
          <w:lang w:eastAsia="zh-CN"/>
        </w:rPr>
        <w:t>2026-04-24</w:t>
      </w:r>
    </w:p>
    <w:p w:rsidR="00846009" w:rsidRDefault="00846009">
      <w:pPr>
        <w:spacing w:after="0" w:line="240" w:lineRule="auto"/>
        <w:rPr>
          <w:lang w:eastAsia="zh-CN"/>
        </w:rPr>
      </w:pPr>
    </w:p>
    <w:p w:rsidR="00846009" w:rsidRDefault="007B38DC">
      <w:pPr>
        <w:pStyle w:val="Para"/>
      </w:pPr>
      <w:r>
        <w:rPr>
          <w:lang w:eastAsia="zh-CN"/>
        </w:rPr>
        <w:t>本周港股科技板块表现分化，恒生科技指数先跌后涨，互联网板块一度普遍下挫但随后受益于政策</w:t>
      </w:r>
      <w:proofErr w:type="gramStart"/>
      <w:r>
        <w:rPr>
          <w:lang w:eastAsia="zh-CN"/>
        </w:rPr>
        <w:t>利好震荡</w:t>
      </w:r>
      <w:proofErr w:type="gramEnd"/>
      <w:r>
        <w:rPr>
          <w:lang w:eastAsia="zh-CN"/>
        </w:rPr>
        <w:t>上行，半导体板块大幅上涨且部分</w:t>
      </w:r>
      <w:proofErr w:type="gramStart"/>
      <w:r>
        <w:rPr>
          <w:lang w:eastAsia="zh-CN"/>
        </w:rPr>
        <w:t>企业涨幅</w:t>
      </w:r>
      <w:proofErr w:type="gramEnd"/>
      <w:r>
        <w:rPr>
          <w:lang w:eastAsia="zh-CN"/>
        </w:rPr>
        <w:t>显著，生物医药方向在产业会议和政策优化下具备阶段性关注价值。政府工作报告明确提出</w:t>
      </w:r>
      <w:r>
        <w:rPr>
          <w:lang w:eastAsia="zh-CN"/>
        </w:rPr>
        <w:t>“</w:t>
      </w:r>
      <w:r>
        <w:rPr>
          <w:lang w:eastAsia="zh-CN"/>
        </w:rPr>
        <w:t>打造智能经济新形态</w:t>
      </w:r>
      <w:r>
        <w:rPr>
          <w:lang w:eastAsia="zh-CN"/>
        </w:rPr>
        <w:t>”</w:t>
      </w:r>
      <w:r>
        <w:rPr>
          <w:lang w:eastAsia="zh-CN"/>
        </w:rPr>
        <w:t>并深化人工智能应用，推动港股科技企业受益；南向资金持续流入，</w:t>
      </w:r>
      <w:r>
        <w:rPr>
          <w:lang w:eastAsia="zh-CN"/>
        </w:rPr>
        <w:t>2026</w:t>
      </w:r>
      <w:r>
        <w:rPr>
          <w:lang w:eastAsia="zh-CN"/>
        </w:rPr>
        <w:t>年以来累计净</w:t>
      </w:r>
      <w:proofErr w:type="gramStart"/>
      <w:r>
        <w:rPr>
          <w:lang w:eastAsia="zh-CN"/>
        </w:rPr>
        <w:t>买入近</w:t>
      </w:r>
      <w:proofErr w:type="gramEnd"/>
      <w:r>
        <w:rPr>
          <w:lang w:eastAsia="zh-CN"/>
        </w:rPr>
        <w:t>2000</w:t>
      </w:r>
      <w:r>
        <w:rPr>
          <w:lang w:eastAsia="zh-CN"/>
        </w:rPr>
        <w:t>亿港元，显示资金青睐。整体估值处于历史低位，滚动市盈率约</w:t>
      </w:r>
      <w:r>
        <w:rPr>
          <w:lang w:eastAsia="zh-CN"/>
        </w:rPr>
        <w:t>20</w:t>
      </w:r>
      <w:r>
        <w:rPr>
          <w:lang w:eastAsia="zh-CN"/>
        </w:rPr>
        <w:t>倍左右，位于指数发布以来较低分位，招商证券指</w:t>
      </w:r>
      <w:proofErr w:type="gramStart"/>
      <w:r>
        <w:rPr>
          <w:lang w:eastAsia="zh-CN"/>
        </w:rPr>
        <w:t>出港股</w:t>
      </w:r>
      <w:proofErr w:type="gramEnd"/>
      <w:r>
        <w:rPr>
          <w:lang w:eastAsia="zh-CN"/>
        </w:rPr>
        <w:t>科技板块相对估值已降至历史</w:t>
      </w:r>
      <w:proofErr w:type="gramStart"/>
      <w:r>
        <w:rPr>
          <w:lang w:eastAsia="zh-CN"/>
        </w:rPr>
        <w:t>低位且</w:t>
      </w:r>
      <w:proofErr w:type="gramEnd"/>
      <w:r>
        <w:rPr>
          <w:lang w:eastAsia="zh-CN"/>
        </w:rPr>
        <w:t>被低估。影响因素包括基本面风险逐步释放、流</w:t>
      </w:r>
      <w:r>
        <w:rPr>
          <w:lang w:eastAsia="zh-CN"/>
        </w:rPr>
        <w:t>动性改善如潜在降息窗口和解禁压力缓解、</w:t>
      </w:r>
      <w:r>
        <w:rPr>
          <w:lang w:eastAsia="zh-CN"/>
        </w:rPr>
        <w:t>AI</w:t>
      </w:r>
      <w:r>
        <w:rPr>
          <w:lang w:eastAsia="zh-CN"/>
        </w:rPr>
        <w:t>商业化加速及政策环境边际优化。</w:t>
      </w:r>
      <w:proofErr w:type="spellStart"/>
      <w:r>
        <w:t>以上个股仅作示例，不作为投资建议</w:t>
      </w:r>
      <w:proofErr w:type="spellEnd"/>
      <w:r>
        <w:t>。</w:t>
      </w:r>
    </w:p>
    <w:p w:rsidR="00846009" w:rsidRDefault="00846009">
      <w:pPr>
        <w:spacing w:after="0" w:line="240" w:lineRule="auto"/>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r>
              <w:rPr>
                <w:rFonts w:ascii="楷体" w:eastAsia="楷体" w:hAnsi="楷体"/>
                <w:b/>
              </w:rPr>
              <w:t>相关产品</w:t>
            </w:r>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r>
              <w:rPr>
                <w:rFonts w:ascii="楷体" w:eastAsia="楷体" w:hAnsi="楷体"/>
              </w:rPr>
              <w:t>恒生科技</w:t>
            </w:r>
            <w:r>
              <w:rPr>
                <w:rFonts w:ascii="楷体" w:eastAsia="楷体" w:hAnsi="楷体"/>
              </w:rPr>
              <w:t>ETF</w:t>
            </w:r>
            <w:r>
              <w:rPr>
                <w:rFonts w:ascii="楷体" w:eastAsia="楷体" w:hAnsi="楷体"/>
              </w:rPr>
              <w:t>华安</w:t>
            </w:r>
            <w:r>
              <w:rPr>
                <w:rFonts w:ascii="楷体" w:eastAsia="楷体" w:hAnsi="楷体"/>
              </w:rPr>
              <w:t>(513580.SH)</w:t>
            </w:r>
          </w:p>
        </w:tc>
        <w:tc>
          <w:tcPr>
            <w:tcW w:w="4323" w:type="dxa"/>
          </w:tcPr>
          <w:p w:rsidR="00846009" w:rsidRDefault="007B38DC">
            <w:pPr>
              <w:rPr>
                <w:lang w:eastAsia="zh-CN"/>
              </w:rPr>
            </w:pPr>
            <w:r>
              <w:rPr>
                <w:rFonts w:ascii="楷体" w:eastAsia="楷体" w:hAnsi="楷体"/>
                <w:lang w:eastAsia="zh-CN"/>
              </w:rPr>
              <w:t>恒生互联网</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(159688.SZ)</w:t>
            </w:r>
          </w:p>
        </w:tc>
      </w:tr>
      <w:tr w:rsidR="00846009">
        <w:trPr>
          <w:jc w:val="center"/>
        </w:trPr>
        <w:tc>
          <w:tcPr>
            <w:tcW w:w="4323" w:type="dxa"/>
          </w:tcPr>
          <w:p w:rsidR="00846009" w:rsidRDefault="007B38DC">
            <w:proofErr w:type="spellStart"/>
            <w:r>
              <w:rPr>
                <w:rFonts w:ascii="楷体" w:eastAsia="楷体" w:hAnsi="楷体"/>
              </w:rPr>
              <w:t>港股通恒生科技</w:t>
            </w:r>
            <w:r>
              <w:rPr>
                <w:rFonts w:ascii="楷体" w:eastAsia="楷体" w:hAnsi="楷体"/>
              </w:rPr>
              <w:t>ETF</w:t>
            </w:r>
            <w:r>
              <w:rPr>
                <w:rFonts w:ascii="楷体" w:eastAsia="楷体" w:hAnsi="楷体"/>
              </w:rPr>
              <w:t>华安</w:t>
            </w:r>
            <w:proofErr w:type="spellEnd"/>
            <w:r>
              <w:rPr>
                <w:rFonts w:ascii="楷体" w:eastAsia="楷体" w:hAnsi="楷体"/>
              </w:rPr>
              <w:t>(520840.SH)</w:t>
            </w:r>
          </w:p>
        </w:tc>
        <w:tc>
          <w:tcPr>
            <w:tcW w:w="4323" w:type="dxa"/>
          </w:tcPr>
          <w:p w:rsidR="00846009" w:rsidRDefault="007B38DC">
            <w:r>
              <w:rPr>
                <w:rFonts w:ascii="楷体" w:eastAsia="楷体" w:hAnsi="楷体"/>
              </w:rPr>
              <w:t>港股通恒生</w:t>
            </w:r>
            <w:r>
              <w:rPr>
                <w:rFonts w:ascii="楷体" w:eastAsia="楷体" w:hAnsi="楷体"/>
              </w:rPr>
              <w:t>ETF</w:t>
            </w:r>
            <w:r>
              <w:rPr>
                <w:rFonts w:ascii="楷体" w:eastAsia="楷体" w:hAnsi="楷体"/>
              </w:rPr>
              <w:t>华安</w:t>
            </w:r>
            <w:r>
              <w:rPr>
                <w:rFonts w:ascii="楷体" w:eastAsia="楷体" w:hAnsi="楷体"/>
              </w:rPr>
              <w:t>(520940.SH)</w:t>
            </w:r>
          </w:p>
        </w:tc>
      </w:tr>
      <w:tr w:rsidR="00846009">
        <w:trPr>
          <w:jc w:val="center"/>
        </w:trPr>
        <w:tc>
          <w:tcPr>
            <w:tcW w:w="4323" w:type="dxa"/>
          </w:tcPr>
          <w:p w:rsidR="00846009" w:rsidRDefault="007B38DC">
            <w:r>
              <w:rPr>
                <w:rFonts w:ascii="楷体" w:eastAsia="楷体" w:hAnsi="楷体"/>
              </w:rPr>
              <w:t>港股通</w:t>
            </w:r>
            <w:r>
              <w:rPr>
                <w:rFonts w:ascii="楷体" w:eastAsia="楷体" w:hAnsi="楷体"/>
              </w:rPr>
              <w:t>100ETF</w:t>
            </w:r>
            <w:r>
              <w:rPr>
                <w:rFonts w:ascii="楷体" w:eastAsia="楷体" w:hAnsi="楷体"/>
              </w:rPr>
              <w:t>华安</w:t>
            </w:r>
            <w:r>
              <w:rPr>
                <w:rFonts w:ascii="楷体" w:eastAsia="楷体" w:hAnsi="楷体"/>
              </w:rPr>
              <w:t>(513900.SH)</w:t>
            </w:r>
          </w:p>
        </w:tc>
        <w:tc>
          <w:tcPr>
            <w:tcW w:w="4323" w:type="dxa"/>
          </w:tcPr>
          <w:p w:rsidR="00846009" w:rsidRDefault="007B38DC">
            <w:pPr>
              <w:rPr>
                <w:lang w:eastAsia="zh-CN"/>
              </w:rPr>
            </w:pPr>
            <w:r>
              <w:rPr>
                <w:rFonts w:ascii="楷体" w:eastAsia="楷体" w:hAnsi="楷体"/>
                <w:lang w:eastAsia="zh-CN"/>
              </w:rPr>
              <w:t>沪港深科技</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(517360.SH)</w:t>
            </w:r>
          </w:p>
        </w:tc>
      </w:tr>
    </w:tbl>
    <w:p w:rsidR="00846009" w:rsidRDefault="00846009">
      <w:pPr>
        <w:spacing w:after="0" w:line="240" w:lineRule="auto"/>
        <w:rPr>
          <w:lang w:eastAsia="zh-CN"/>
        </w:rPr>
      </w:pPr>
    </w:p>
    <w:p w:rsidR="00846009" w:rsidRDefault="007B38DC">
      <w:pPr>
        <w:pStyle w:val="Para"/>
        <w:rPr>
          <w:lang w:eastAsia="zh-CN"/>
        </w:rPr>
      </w:pPr>
      <w:r>
        <w:rPr>
          <w:lang w:eastAsia="zh-CN"/>
        </w:rPr>
        <w:t>本周</w:t>
      </w:r>
      <w:proofErr w:type="gramStart"/>
      <w:r>
        <w:rPr>
          <w:lang w:eastAsia="zh-CN"/>
        </w:rPr>
        <w:t>港股央企红利</w:t>
      </w:r>
      <w:proofErr w:type="gramEnd"/>
      <w:r>
        <w:rPr>
          <w:lang w:eastAsia="zh-CN"/>
        </w:rPr>
        <w:t>板块表现呈现波动中上涨趋势，资源品行业如石油石化、煤炭、有色金属占据板块近</w:t>
      </w:r>
      <w:r>
        <w:rPr>
          <w:lang w:eastAsia="zh-CN"/>
        </w:rPr>
        <w:t>45%</w:t>
      </w:r>
      <w:r>
        <w:rPr>
          <w:lang w:eastAsia="zh-CN"/>
        </w:rPr>
        <w:t>权重（其中石油石化约</w:t>
      </w:r>
      <w:r>
        <w:rPr>
          <w:lang w:eastAsia="zh-CN"/>
        </w:rPr>
        <w:t>30%</w:t>
      </w:r>
      <w:r>
        <w:rPr>
          <w:lang w:eastAsia="zh-CN"/>
        </w:rPr>
        <w:t>、煤炭约</w:t>
      </w:r>
      <w:r>
        <w:rPr>
          <w:lang w:eastAsia="zh-CN"/>
        </w:rPr>
        <w:t>13%</w:t>
      </w:r>
      <w:r>
        <w:rPr>
          <w:lang w:eastAsia="zh-CN"/>
        </w:rPr>
        <w:t>、有色金属约</w:t>
      </w:r>
      <w:r>
        <w:rPr>
          <w:lang w:eastAsia="zh-CN"/>
        </w:rPr>
        <w:t>3%</w:t>
      </w:r>
      <w:r>
        <w:rPr>
          <w:lang w:eastAsia="zh-CN"/>
        </w:rPr>
        <w:t>），通信和电力行业贡献约</w:t>
      </w:r>
      <w:r>
        <w:rPr>
          <w:lang w:eastAsia="zh-CN"/>
        </w:rPr>
        <w:t>30%</w:t>
      </w:r>
      <w:r>
        <w:rPr>
          <w:lang w:eastAsia="zh-CN"/>
        </w:rPr>
        <w:t>权重（通信约</w:t>
      </w:r>
      <w:r>
        <w:rPr>
          <w:lang w:eastAsia="zh-CN"/>
        </w:rPr>
        <w:t>20%</w:t>
      </w:r>
      <w:r>
        <w:rPr>
          <w:lang w:eastAsia="zh-CN"/>
        </w:rPr>
        <w:t>、电力约</w:t>
      </w:r>
      <w:r>
        <w:rPr>
          <w:lang w:eastAsia="zh-CN"/>
        </w:rPr>
        <w:t>8%</w:t>
      </w:r>
      <w:r>
        <w:rPr>
          <w:lang w:eastAsia="zh-CN"/>
        </w:rPr>
        <w:t>）。这些行业作为国民经济的压舱石和资源战略安全的关键保障，央国企凭借龙头地位维持稳健经营和稳定高分红，推动板块</w:t>
      </w:r>
      <w:r>
        <w:rPr>
          <w:lang w:eastAsia="zh-CN"/>
        </w:rPr>
        <w:lastRenderedPageBreak/>
        <w:t>整体受益于高股息特性，尽管部分日期出现小幅下跌，但整体趋势向上。</w:t>
      </w:r>
      <w:proofErr w:type="gramStart"/>
      <w:r>
        <w:rPr>
          <w:lang w:eastAsia="zh-CN"/>
        </w:rPr>
        <w:t>央企红利</w:t>
      </w:r>
      <w:proofErr w:type="gramEnd"/>
      <w:r>
        <w:rPr>
          <w:lang w:eastAsia="zh-CN"/>
        </w:rPr>
        <w:t>板块的结构性优势源于其经济基础角色和高分红策略，持续吸引投资关注。</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846009">
        <w:trPr>
          <w:jc w:val="center"/>
        </w:trPr>
        <w:tc>
          <w:tcPr>
            <w:tcW w:w="8646" w:type="dxa"/>
          </w:tcPr>
          <w:p w:rsidR="00846009" w:rsidRDefault="007B38DC">
            <w:proofErr w:type="spellStart"/>
            <w:r>
              <w:rPr>
                <w:rFonts w:ascii="楷体" w:eastAsia="楷体" w:hAnsi="楷体"/>
                <w:b/>
              </w:rPr>
              <w:t>相关产品</w:t>
            </w:r>
            <w:proofErr w:type="spellEnd"/>
          </w:p>
        </w:tc>
      </w:tr>
      <w:tr w:rsidR="00846009">
        <w:trPr>
          <w:jc w:val="center"/>
        </w:trPr>
        <w:tc>
          <w:tcPr>
            <w:tcW w:w="8646" w:type="dxa"/>
          </w:tcPr>
          <w:p w:rsidR="00846009" w:rsidRDefault="007B38DC">
            <w:pPr>
              <w:rPr>
                <w:lang w:eastAsia="zh-CN"/>
              </w:rPr>
            </w:pPr>
            <w:r>
              <w:rPr>
                <w:rFonts w:ascii="楷体" w:eastAsia="楷体" w:hAnsi="楷体"/>
                <w:lang w:eastAsia="zh-CN"/>
              </w:rPr>
              <w:t>港股</w:t>
            </w:r>
            <w:proofErr w:type="gramStart"/>
            <w:r>
              <w:rPr>
                <w:rFonts w:ascii="楷体" w:eastAsia="楷体" w:hAnsi="楷体"/>
                <w:lang w:eastAsia="zh-CN"/>
              </w:rPr>
              <w:t>通央企</w:t>
            </w:r>
            <w:proofErr w:type="gramEnd"/>
            <w:r>
              <w:rPr>
                <w:rFonts w:ascii="楷体" w:eastAsia="楷体" w:hAnsi="楷体"/>
                <w:lang w:eastAsia="zh-CN"/>
              </w:rPr>
              <w:t>红利</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(51392</w:t>
            </w:r>
            <w:r>
              <w:rPr>
                <w:rFonts w:ascii="楷体" w:eastAsia="楷体" w:hAnsi="楷体"/>
                <w:lang w:eastAsia="zh-CN"/>
              </w:rPr>
              <w:t>0.SH)</w:t>
            </w:r>
          </w:p>
        </w:tc>
      </w:tr>
    </w:tbl>
    <w:p w:rsidR="00846009" w:rsidRDefault="00846009">
      <w:pPr>
        <w:spacing w:after="0" w:line="240" w:lineRule="auto"/>
        <w:rPr>
          <w:lang w:eastAsia="zh-CN"/>
        </w:rPr>
      </w:pPr>
    </w:p>
    <w:p w:rsidR="00846009" w:rsidRDefault="007B38DC">
      <w:pPr>
        <w:pStyle w:val="Para"/>
        <w:rPr>
          <w:lang w:eastAsia="zh-CN"/>
        </w:rPr>
      </w:pPr>
      <w:r>
        <w:rPr>
          <w:lang w:eastAsia="zh-CN"/>
        </w:rPr>
        <w:t>美国总统特朗普宣布对向伊朗提供武器的国家征收</w:t>
      </w:r>
      <w:r>
        <w:rPr>
          <w:lang w:eastAsia="zh-CN"/>
        </w:rPr>
        <w:t>50%</w:t>
      </w:r>
      <w:r>
        <w:rPr>
          <w:lang w:eastAsia="zh-CN"/>
        </w:rPr>
        <w:t>关税，立即生效无豁免。特朗普表示美军将在未来几周内对伊朗进行猛烈打击，导致国际原油价格上涨，俄罗斯石油出口能力因袭击减少</w:t>
      </w:r>
      <w:r>
        <w:rPr>
          <w:lang w:eastAsia="zh-CN"/>
        </w:rPr>
        <w:t>20%</w:t>
      </w:r>
      <w:r>
        <w:rPr>
          <w:lang w:eastAsia="zh-CN"/>
        </w:rPr>
        <w:t>。特朗普声称推迟对伊朗发电站的打击五天，伊朗否认沟通，交易员预计美联储年底前加息</w:t>
      </w:r>
      <w:r>
        <w:rPr>
          <w:lang w:eastAsia="zh-CN"/>
        </w:rPr>
        <w:t>20</w:t>
      </w:r>
      <w:r>
        <w:rPr>
          <w:lang w:eastAsia="zh-CN"/>
        </w:rPr>
        <w:t>个基点。特朗普考虑占领哈尔克岛向伊朗施压，国际能源署署长警告恢复海湾石油输送需六个月，美联储理事鲍曼预计</w:t>
      </w:r>
      <w:r>
        <w:rPr>
          <w:lang w:eastAsia="zh-CN"/>
        </w:rPr>
        <w:t>2026</w:t>
      </w:r>
      <w:r>
        <w:rPr>
          <w:lang w:eastAsia="zh-CN"/>
        </w:rPr>
        <w:t>年降息三次。美联储</w:t>
      </w:r>
      <w:r>
        <w:rPr>
          <w:lang w:eastAsia="zh-CN"/>
        </w:rPr>
        <w:t>3</w:t>
      </w:r>
      <w:r>
        <w:rPr>
          <w:lang w:eastAsia="zh-CN"/>
        </w:rPr>
        <w:t>月会议纪要显示多数官员担心战争损害劳动力市场需降息，但强调通胀风险可能加息，外国持有美国国债达纪录新高</w:t>
      </w:r>
      <w:r>
        <w:rPr>
          <w:lang w:eastAsia="zh-CN"/>
        </w:rPr>
        <w:t>9</w:t>
      </w:r>
      <w:r>
        <w:rPr>
          <w:lang w:eastAsia="zh-CN"/>
        </w:rPr>
        <w:t>.49</w:t>
      </w:r>
      <w:proofErr w:type="gramStart"/>
      <w:r>
        <w:rPr>
          <w:lang w:eastAsia="zh-CN"/>
        </w:rPr>
        <w:t>万亿</w:t>
      </w:r>
      <w:proofErr w:type="gramEnd"/>
      <w:r>
        <w:rPr>
          <w:lang w:eastAsia="zh-CN"/>
        </w:rPr>
        <w:t>美元。后续需关注地缘政治紧张和关税政策对经济与市场的潜在冲击。</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846009">
        <w:trPr>
          <w:jc w:val="center"/>
        </w:trPr>
        <w:tc>
          <w:tcPr>
            <w:tcW w:w="8646" w:type="dxa"/>
          </w:tcPr>
          <w:p w:rsidR="00846009" w:rsidRDefault="007B38DC">
            <w:proofErr w:type="spellStart"/>
            <w:r>
              <w:rPr>
                <w:rFonts w:ascii="楷体" w:eastAsia="楷体" w:hAnsi="楷体"/>
                <w:b/>
              </w:rPr>
              <w:t>相关产品</w:t>
            </w:r>
            <w:proofErr w:type="spellEnd"/>
          </w:p>
        </w:tc>
      </w:tr>
      <w:tr w:rsidR="00846009">
        <w:trPr>
          <w:jc w:val="center"/>
        </w:trPr>
        <w:tc>
          <w:tcPr>
            <w:tcW w:w="8646" w:type="dxa"/>
          </w:tcPr>
          <w:p w:rsidR="00846009" w:rsidRDefault="007B38DC">
            <w:pPr>
              <w:rPr>
                <w:lang w:eastAsia="zh-CN"/>
              </w:rPr>
            </w:pPr>
            <w:r>
              <w:rPr>
                <w:rFonts w:ascii="楷体" w:eastAsia="楷体" w:hAnsi="楷体"/>
                <w:lang w:eastAsia="zh-CN"/>
              </w:rPr>
              <w:t>纳斯达克</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(159632.SZ)</w:t>
            </w:r>
          </w:p>
        </w:tc>
      </w:tr>
    </w:tbl>
    <w:p w:rsidR="00846009" w:rsidRDefault="00846009">
      <w:pPr>
        <w:spacing w:after="0" w:line="240" w:lineRule="auto"/>
        <w:rPr>
          <w:lang w:eastAsia="zh-CN"/>
        </w:rPr>
      </w:pPr>
    </w:p>
    <w:p w:rsidR="00846009" w:rsidRDefault="007B38DC">
      <w:pPr>
        <w:pStyle w:val="Para"/>
        <w:rPr>
          <w:lang w:eastAsia="zh-CN"/>
        </w:rPr>
      </w:pPr>
      <w:r>
        <w:rPr>
          <w:lang w:eastAsia="zh-CN"/>
        </w:rPr>
        <w:t>欧洲主要股指近期出现下跌趋势，尤其在德国和法国等多国市场领跌，部分交易日开盘时曾集体上涨。德意志银行预计欧洲央行可能在</w:t>
      </w:r>
      <w:r>
        <w:rPr>
          <w:lang w:eastAsia="zh-CN"/>
        </w:rPr>
        <w:t>6</w:t>
      </w:r>
      <w:r>
        <w:rPr>
          <w:lang w:eastAsia="zh-CN"/>
        </w:rPr>
        <w:t>月和</w:t>
      </w:r>
      <w:r>
        <w:rPr>
          <w:lang w:eastAsia="zh-CN"/>
        </w:rPr>
        <w:t>9</w:t>
      </w:r>
      <w:r>
        <w:rPr>
          <w:lang w:eastAsia="zh-CN"/>
        </w:rPr>
        <w:t>月各加息</w:t>
      </w:r>
      <w:r>
        <w:rPr>
          <w:lang w:eastAsia="zh-CN"/>
        </w:rPr>
        <w:t>25</w:t>
      </w:r>
      <w:r>
        <w:rPr>
          <w:lang w:eastAsia="zh-CN"/>
        </w:rPr>
        <w:t>个基点，此前预测</w:t>
      </w:r>
      <w:r>
        <w:rPr>
          <w:lang w:eastAsia="zh-CN"/>
        </w:rPr>
        <w:t>2026</w:t>
      </w:r>
      <w:r>
        <w:rPr>
          <w:lang w:eastAsia="zh-CN"/>
        </w:rPr>
        <w:t>年维持利率不变，中东紧张局势缓解可能阻止加息，能源供应中断或推动进一步紧缩。关注德国</w:t>
      </w:r>
      <w:r>
        <w:rPr>
          <w:lang w:eastAsia="zh-CN"/>
        </w:rPr>
        <w:t>3</w:t>
      </w:r>
      <w:r>
        <w:rPr>
          <w:lang w:eastAsia="zh-CN"/>
        </w:rPr>
        <w:t>月</w:t>
      </w:r>
      <w:r>
        <w:rPr>
          <w:lang w:eastAsia="zh-CN"/>
        </w:rPr>
        <w:t>PPI</w:t>
      </w:r>
      <w:r>
        <w:rPr>
          <w:lang w:eastAsia="zh-CN"/>
        </w:rPr>
        <w:t>月率和</w:t>
      </w:r>
      <w:r>
        <w:rPr>
          <w:lang w:eastAsia="zh-CN"/>
        </w:rPr>
        <w:t>CPI</w:t>
      </w:r>
      <w:r>
        <w:rPr>
          <w:lang w:eastAsia="zh-CN"/>
        </w:rPr>
        <w:t>数据，德国总理将与欧洲央行行长发表讲话。后续需关注中东地缘政治风险对能源供应和货币政策的影响，以及德国和法国经</w:t>
      </w:r>
      <w:r>
        <w:rPr>
          <w:lang w:eastAsia="zh-CN"/>
        </w:rPr>
        <w:t>济指标变化。</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r>
              <w:rPr>
                <w:rFonts w:ascii="楷体" w:eastAsia="楷体" w:hAnsi="楷体"/>
              </w:rPr>
              <w:t>德国</w:t>
            </w:r>
            <w:r>
              <w:rPr>
                <w:rFonts w:ascii="楷体" w:eastAsia="楷体" w:hAnsi="楷体"/>
              </w:rPr>
              <w:t>ETF</w:t>
            </w:r>
            <w:r>
              <w:rPr>
                <w:rFonts w:ascii="楷体" w:eastAsia="楷体" w:hAnsi="楷体"/>
              </w:rPr>
              <w:t>华安</w:t>
            </w:r>
            <w:r>
              <w:rPr>
                <w:rFonts w:ascii="楷体" w:eastAsia="楷体" w:hAnsi="楷体"/>
              </w:rPr>
              <w:t>(513030.SH)</w:t>
            </w:r>
          </w:p>
        </w:tc>
        <w:tc>
          <w:tcPr>
            <w:tcW w:w="4323" w:type="dxa"/>
          </w:tcPr>
          <w:p w:rsidR="00846009" w:rsidRDefault="007B38DC">
            <w:r>
              <w:rPr>
                <w:rFonts w:ascii="楷体" w:eastAsia="楷体" w:hAnsi="楷体"/>
              </w:rPr>
              <w:t>法国</w:t>
            </w:r>
            <w:r>
              <w:rPr>
                <w:rFonts w:ascii="楷体" w:eastAsia="楷体" w:hAnsi="楷体"/>
              </w:rPr>
              <w:t>ETF</w:t>
            </w:r>
            <w:r>
              <w:rPr>
                <w:rFonts w:ascii="楷体" w:eastAsia="楷体" w:hAnsi="楷体"/>
              </w:rPr>
              <w:t>华安</w:t>
            </w:r>
            <w:r>
              <w:rPr>
                <w:rFonts w:ascii="楷体" w:eastAsia="楷体" w:hAnsi="楷体"/>
              </w:rPr>
              <w:t>(513080.SH)</w:t>
            </w:r>
          </w:p>
        </w:tc>
      </w:tr>
    </w:tbl>
    <w:p w:rsidR="00846009" w:rsidRDefault="00846009">
      <w:pPr>
        <w:spacing w:after="0" w:line="240" w:lineRule="auto"/>
      </w:pPr>
    </w:p>
    <w:p w:rsidR="00846009" w:rsidRDefault="007B38DC">
      <w:pPr>
        <w:pStyle w:val="Para"/>
        <w:rPr>
          <w:lang w:eastAsia="zh-CN"/>
        </w:rPr>
      </w:pPr>
      <w:r>
        <w:rPr>
          <w:lang w:eastAsia="zh-CN"/>
        </w:rPr>
        <w:t>日本</w:t>
      </w:r>
      <w:proofErr w:type="gramStart"/>
      <w:r>
        <w:rPr>
          <w:lang w:eastAsia="zh-CN"/>
        </w:rPr>
        <w:t>三菱日联将</w:t>
      </w:r>
      <w:proofErr w:type="gramEnd"/>
      <w:r>
        <w:rPr>
          <w:lang w:eastAsia="zh-CN"/>
        </w:rPr>
        <w:t>日本央行加息预期从</w:t>
      </w:r>
      <w:r>
        <w:rPr>
          <w:lang w:eastAsia="zh-CN"/>
        </w:rPr>
        <w:t>4</w:t>
      </w:r>
      <w:r>
        <w:rPr>
          <w:lang w:eastAsia="zh-CN"/>
        </w:rPr>
        <w:t>月推迟到</w:t>
      </w:r>
      <w:r>
        <w:rPr>
          <w:lang w:eastAsia="zh-CN"/>
        </w:rPr>
        <w:t>6</w:t>
      </w:r>
      <w:r>
        <w:rPr>
          <w:lang w:eastAsia="zh-CN"/>
        </w:rPr>
        <w:t>月，原因是全球地缘政治不确定性导致日本央行谨慎行事。日本国债收益率呈现上涨趋势，</w:t>
      </w:r>
      <w:r>
        <w:rPr>
          <w:lang w:eastAsia="zh-CN"/>
        </w:rPr>
        <w:t>10</w:t>
      </w:r>
      <w:r>
        <w:rPr>
          <w:lang w:eastAsia="zh-CN"/>
        </w:rPr>
        <w:t>年期收益率升至新高，超长期如</w:t>
      </w:r>
      <w:r>
        <w:rPr>
          <w:lang w:eastAsia="zh-CN"/>
        </w:rPr>
        <w:t>20</w:t>
      </w:r>
      <w:r>
        <w:rPr>
          <w:lang w:eastAsia="zh-CN"/>
        </w:rPr>
        <w:t>年期和</w:t>
      </w:r>
      <w:r>
        <w:rPr>
          <w:lang w:eastAsia="zh-CN"/>
        </w:rPr>
        <w:t>30</w:t>
      </w:r>
      <w:r>
        <w:rPr>
          <w:lang w:eastAsia="zh-CN"/>
        </w:rPr>
        <w:t>年期国债收益率也继续走高。中东紧张局势加剧影响原油进口，日本政府考虑</w:t>
      </w:r>
      <w:r>
        <w:rPr>
          <w:lang w:eastAsia="zh-CN"/>
        </w:rPr>
        <w:t>5</w:t>
      </w:r>
      <w:r>
        <w:rPr>
          <w:lang w:eastAsia="zh-CN"/>
        </w:rPr>
        <w:t>月追加释放国家石油储备，释放量相当于约</w:t>
      </w:r>
      <w:r>
        <w:rPr>
          <w:lang w:eastAsia="zh-CN"/>
        </w:rPr>
        <w:t>20</w:t>
      </w:r>
      <w:r>
        <w:rPr>
          <w:lang w:eastAsia="zh-CN"/>
        </w:rPr>
        <w:t>天的用量。日本股市出现上涨。至</w:t>
      </w:r>
      <w:r>
        <w:rPr>
          <w:lang w:eastAsia="zh-CN"/>
        </w:rPr>
        <w:t>3</w:t>
      </w:r>
      <w:r>
        <w:rPr>
          <w:lang w:eastAsia="zh-CN"/>
        </w:rPr>
        <w:t>月</w:t>
      </w:r>
      <w:r>
        <w:rPr>
          <w:lang w:eastAsia="zh-CN"/>
        </w:rPr>
        <w:t>20</w:t>
      </w:r>
      <w:r>
        <w:rPr>
          <w:lang w:eastAsia="zh-CN"/>
        </w:rPr>
        <w:t>日当</w:t>
      </w:r>
      <w:proofErr w:type="gramStart"/>
      <w:r>
        <w:rPr>
          <w:lang w:eastAsia="zh-CN"/>
        </w:rPr>
        <w:t>周外资</w:t>
      </w:r>
      <w:proofErr w:type="gramEnd"/>
      <w:r>
        <w:rPr>
          <w:lang w:eastAsia="zh-CN"/>
        </w:rPr>
        <w:t>买进日</w:t>
      </w:r>
      <w:proofErr w:type="gramStart"/>
      <w:r>
        <w:rPr>
          <w:lang w:eastAsia="zh-CN"/>
        </w:rPr>
        <w:t>股趋势</w:t>
      </w:r>
      <w:proofErr w:type="gramEnd"/>
      <w:r>
        <w:rPr>
          <w:lang w:eastAsia="zh-CN"/>
        </w:rPr>
        <w:t>减弱。后续需关注日本央行货币政策调整、地缘政治对能源供应的影响以及外资流动变化。</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846009">
        <w:trPr>
          <w:jc w:val="center"/>
        </w:trPr>
        <w:tc>
          <w:tcPr>
            <w:tcW w:w="8646" w:type="dxa"/>
          </w:tcPr>
          <w:p w:rsidR="00846009" w:rsidRDefault="007B38DC">
            <w:proofErr w:type="spellStart"/>
            <w:r>
              <w:rPr>
                <w:rFonts w:ascii="楷体" w:eastAsia="楷体" w:hAnsi="楷体"/>
                <w:b/>
              </w:rPr>
              <w:t>相关产品</w:t>
            </w:r>
            <w:proofErr w:type="spellEnd"/>
          </w:p>
        </w:tc>
      </w:tr>
      <w:tr w:rsidR="00846009">
        <w:trPr>
          <w:jc w:val="center"/>
        </w:trPr>
        <w:tc>
          <w:tcPr>
            <w:tcW w:w="8646" w:type="dxa"/>
          </w:tcPr>
          <w:p w:rsidR="00846009" w:rsidRDefault="007B38DC">
            <w:r>
              <w:rPr>
                <w:rFonts w:ascii="楷体" w:eastAsia="楷体" w:hAnsi="楷体"/>
              </w:rPr>
              <w:t>日经</w:t>
            </w:r>
            <w:r>
              <w:rPr>
                <w:rFonts w:ascii="楷体" w:eastAsia="楷体" w:hAnsi="楷体"/>
              </w:rPr>
              <w:t>225ETF</w:t>
            </w:r>
            <w:r>
              <w:rPr>
                <w:rFonts w:ascii="楷体" w:eastAsia="楷体" w:hAnsi="楷体"/>
              </w:rPr>
              <w:t>华安</w:t>
            </w:r>
            <w:r>
              <w:rPr>
                <w:rFonts w:ascii="楷体" w:eastAsia="楷体" w:hAnsi="楷体"/>
              </w:rPr>
              <w:t>(513880.SH)</w:t>
            </w:r>
          </w:p>
        </w:tc>
      </w:tr>
    </w:tbl>
    <w:p w:rsidR="00846009" w:rsidRDefault="00846009">
      <w:pPr>
        <w:spacing w:after="0" w:line="240" w:lineRule="auto"/>
      </w:pPr>
    </w:p>
    <w:p w:rsidR="00846009" w:rsidRDefault="007B38DC">
      <w:pPr>
        <w:pStyle w:val="Cap"/>
        <w:rPr>
          <w:lang w:eastAsia="zh-CN"/>
        </w:rPr>
      </w:pPr>
      <w:r>
        <w:rPr>
          <w:lang w:eastAsia="zh-CN"/>
        </w:rPr>
        <w:lastRenderedPageBreak/>
        <w:t>表二：周内海外主要新闻一览</w:t>
      </w:r>
    </w:p>
    <w:tbl>
      <w:tblPr>
        <w:tblStyle w:val="aff1"/>
        <w:tblW w:w="0" w:type="auto"/>
        <w:jc w:val="center"/>
        <w:tblLook w:val="04A0" w:firstRow="1" w:lastRow="0" w:firstColumn="1" w:lastColumn="0" w:noHBand="0" w:noVBand="1"/>
      </w:tblPr>
      <w:tblGrid>
        <w:gridCol w:w="1134"/>
        <w:gridCol w:w="5783"/>
        <w:gridCol w:w="1701"/>
      </w:tblGrid>
      <w:tr w:rsidR="00846009">
        <w:trPr>
          <w:jc w:val="center"/>
        </w:trPr>
        <w:tc>
          <w:tcPr>
            <w:tcW w:w="1134" w:type="dxa"/>
          </w:tcPr>
          <w:p w:rsidR="00846009" w:rsidRDefault="007B38DC">
            <w:proofErr w:type="spellStart"/>
            <w:r>
              <w:rPr>
                <w:rFonts w:ascii="楷体" w:eastAsia="楷体" w:hAnsi="楷体"/>
                <w:b/>
              </w:rPr>
              <w:t>地区</w:t>
            </w:r>
            <w:proofErr w:type="spellEnd"/>
          </w:p>
        </w:tc>
        <w:tc>
          <w:tcPr>
            <w:tcW w:w="5783" w:type="dxa"/>
          </w:tcPr>
          <w:p w:rsidR="00846009" w:rsidRDefault="007B38DC">
            <w:r>
              <w:rPr>
                <w:rFonts w:ascii="楷体" w:eastAsia="楷体" w:hAnsi="楷体"/>
                <w:b/>
              </w:rPr>
              <w:t>周内新闻</w:t>
            </w:r>
          </w:p>
        </w:tc>
        <w:tc>
          <w:tcPr>
            <w:tcW w:w="1701" w:type="dxa"/>
          </w:tcPr>
          <w:p w:rsidR="00846009" w:rsidRDefault="007B38DC">
            <w:r>
              <w:rPr>
                <w:rFonts w:ascii="楷体" w:eastAsia="楷体" w:hAnsi="楷体"/>
                <w:b/>
              </w:rPr>
              <w:t>影响标的</w:t>
            </w:r>
          </w:p>
        </w:tc>
      </w:tr>
      <w:tr w:rsidR="00846009">
        <w:trPr>
          <w:jc w:val="center"/>
        </w:trPr>
        <w:tc>
          <w:tcPr>
            <w:tcW w:w="1134" w:type="dxa"/>
          </w:tcPr>
          <w:p w:rsidR="00846009" w:rsidRDefault="007B38DC">
            <w:r>
              <w:rPr>
                <w:rFonts w:ascii="楷体" w:eastAsia="楷体" w:hAnsi="楷体"/>
              </w:rPr>
              <w:t>美国</w:t>
            </w:r>
          </w:p>
        </w:tc>
        <w:tc>
          <w:tcPr>
            <w:tcW w:w="5783" w:type="dxa"/>
          </w:tcPr>
          <w:p w:rsidR="00846009" w:rsidRDefault="007B38DC">
            <w:pPr>
              <w:rPr>
                <w:lang w:eastAsia="zh-CN"/>
              </w:rPr>
            </w:pPr>
            <w:r>
              <w:rPr>
                <w:rFonts w:ascii="楷体" w:eastAsia="楷体" w:hAnsi="楷体"/>
                <w:lang w:eastAsia="zh-CN"/>
              </w:rPr>
              <w:t>交易员对美元转为看涨，美元指数上涨；美联储数据显示各国央行</w:t>
            </w:r>
            <w:proofErr w:type="gramStart"/>
            <w:r>
              <w:rPr>
                <w:rFonts w:ascii="楷体" w:eastAsia="楷体" w:hAnsi="楷体"/>
                <w:lang w:eastAsia="zh-CN"/>
              </w:rPr>
              <w:t>减持美债</w:t>
            </w:r>
            <w:proofErr w:type="gramEnd"/>
            <w:r>
              <w:rPr>
                <w:rFonts w:ascii="楷体" w:eastAsia="楷体" w:hAnsi="楷体"/>
                <w:lang w:eastAsia="zh-CN"/>
              </w:rPr>
              <w:t>820</w:t>
            </w:r>
            <w:r>
              <w:rPr>
                <w:rFonts w:ascii="楷体" w:eastAsia="楷体" w:hAnsi="楷体"/>
                <w:lang w:eastAsia="zh-CN"/>
              </w:rPr>
              <w:t>亿美元，托管国债价值缩减；美国财政部称外国持有美</w:t>
            </w:r>
            <w:proofErr w:type="gramStart"/>
            <w:r>
              <w:rPr>
                <w:rFonts w:ascii="楷体" w:eastAsia="楷体" w:hAnsi="楷体"/>
                <w:lang w:eastAsia="zh-CN"/>
              </w:rPr>
              <w:t>债规模</w:t>
            </w:r>
            <w:proofErr w:type="gramEnd"/>
            <w:r>
              <w:rPr>
                <w:rFonts w:ascii="楷体" w:eastAsia="楷体" w:hAnsi="楷体"/>
                <w:lang w:eastAsia="zh-CN"/>
              </w:rPr>
              <w:t>创新高</w:t>
            </w:r>
            <w:r>
              <w:rPr>
                <w:rFonts w:ascii="楷体" w:eastAsia="楷体" w:hAnsi="楷体"/>
                <w:lang w:eastAsia="zh-CN"/>
              </w:rPr>
              <w:t>9.49</w:t>
            </w:r>
            <w:proofErr w:type="gramStart"/>
            <w:r>
              <w:rPr>
                <w:rFonts w:ascii="楷体" w:eastAsia="楷体" w:hAnsi="楷体"/>
                <w:lang w:eastAsia="zh-CN"/>
              </w:rPr>
              <w:t>万亿</w:t>
            </w:r>
            <w:proofErr w:type="gramEnd"/>
            <w:r>
              <w:rPr>
                <w:rFonts w:ascii="楷体" w:eastAsia="楷体" w:hAnsi="楷体"/>
                <w:lang w:eastAsia="zh-CN"/>
              </w:rPr>
              <w:t>美元。美股市场受中东冲突和能源价格波动影响下跌，地缘政治紧张推高通胀预期。</w:t>
            </w:r>
          </w:p>
        </w:tc>
        <w:tc>
          <w:tcPr>
            <w:tcW w:w="1701" w:type="dxa"/>
          </w:tcPr>
          <w:p w:rsidR="00846009" w:rsidRDefault="007B38DC">
            <w:proofErr w:type="spellStart"/>
            <w:r>
              <w:rPr>
                <w:rFonts w:ascii="楷体" w:eastAsia="楷体" w:hAnsi="楷体"/>
              </w:rPr>
              <w:t>美元，美债，美股</w:t>
            </w:r>
            <w:proofErr w:type="spellEnd"/>
          </w:p>
        </w:tc>
      </w:tr>
      <w:tr w:rsidR="00846009">
        <w:trPr>
          <w:jc w:val="center"/>
        </w:trPr>
        <w:tc>
          <w:tcPr>
            <w:tcW w:w="1134" w:type="dxa"/>
          </w:tcPr>
          <w:p w:rsidR="00846009" w:rsidRDefault="007B38DC">
            <w:r>
              <w:rPr>
                <w:rFonts w:ascii="楷体" w:eastAsia="楷体" w:hAnsi="楷体"/>
              </w:rPr>
              <w:t>欧元区</w:t>
            </w:r>
          </w:p>
        </w:tc>
        <w:tc>
          <w:tcPr>
            <w:tcW w:w="5783" w:type="dxa"/>
          </w:tcPr>
          <w:p w:rsidR="00846009" w:rsidRDefault="007B38DC">
            <w:pPr>
              <w:rPr>
                <w:lang w:eastAsia="zh-CN"/>
              </w:rPr>
            </w:pPr>
            <w:r>
              <w:rPr>
                <w:rFonts w:ascii="楷体" w:eastAsia="楷体" w:hAnsi="楷体"/>
                <w:lang w:eastAsia="zh-CN"/>
              </w:rPr>
              <w:t>欧洲权益市场普遍下跌，德国和法国市场表现疲软；俄罗斯总统特别代表警告欧盟面临油价和天然气价格大幅上涨风险，因中东局势升级和反俄政策，可能导致欧元区通胀压力加剧，影响欧元汇率和债券市场稳定性。</w:t>
            </w:r>
          </w:p>
        </w:tc>
        <w:tc>
          <w:tcPr>
            <w:tcW w:w="1701" w:type="dxa"/>
          </w:tcPr>
          <w:p w:rsidR="00846009" w:rsidRDefault="007B38DC">
            <w:pPr>
              <w:rPr>
                <w:lang w:eastAsia="zh-CN"/>
              </w:rPr>
            </w:pPr>
            <w:r>
              <w:rPr>
                <w:rFonts w:ascii="楷体" w:eastAsia="楷体" w:hAnsi="楷体"/>
                <w:lang w:eastAsia="zh-CN"/>
              </w:rPr>
              <w:t>欧元，欧债，德国权益，法国权益</w:t>
            </w:r>
          </w:p>
        </w:tc>
      </w:tr>
    </w:tbl>
    <w:p w:rsidR="00846009" w:rsidRDefault="007B38DC">
      <w:pPr>
        <w:pStyle w:val="Source"/>
        <w:rPr>
          <w:lang w:eastAsia="zh-CN"/>
        </w:rPr>
      </w:pPr>
      <w:r>
        <w:rPr>
          <w:lang w:eastAsia="zh-CN"/>
        </w:rPr>
        <w:t>数据来源：</w:t>
      </w:r>
      <w:r>
        <w:rPr>
          <w:lang w:eastAsia="zh-CN"/>
        </w:rPr>
        <w:t>Wind</w:t>
      </w:r>
      <w:r>
        <w:rPr>
          <w:lang w:eastAsia="zh-CN"/>
        </w:rPr>
        <w:t>，华安基金，截至</w:t>
      </w:r>
      <w:r>
        <w:rPr>
          <w:lang w:eastAsia="zh-CN"/>
        </w:rPr>
        <w:t>2026-04-24</w:t>
      </w:r>
    </w:p>
    <w:p w:rsidR="00846009" w:rsidRDefault="007B38DC">
      <w:pPr>
        <w:rPr>
          <w:lang w:eastAsia="zh-CN"/>
        </w:rPr>
      </w:pPr>
      <w:r>
        <w:rPr>
          <w:lang w:eastAsia="zh-CN"/>
        </w:rPr>
        <w:br w:type="page"/>
      </w:r>
    </w:p>
    <w:p w:rsidR="00846009" w:rsidRDefault="007B38DC">
      <w:pPr>
        <w:pStyle w:val="Head"/>
        <w:rPr>
          <w:lang w:eastAsia="zh-CN"/>
        </w:rPr>
      </w:pPr>
      <w:r>
        <w:rPr>
          <w:lang w:eastAsia="zh-CN"/>
        </w:rPr>
        <w:lastRenderedPageBreak/>
        <w:t xml:space="preserve">■ </w:t>
      </w:r>
      <w:r>
        <w:rPr>
          <w:lang w:eastAsia="zh-CN"/>
        </w:rPr>
        <w:t>大宗商品</w:t>
      </w:r>
    </w:p>
    <w:p w:rsidR="00846009" w:rsidRDefault="007B38DC">
      <w:pPr>
        <w:pStyle w:val="Sub"/>
        <w:rPr>
          <w:lang w:eastAsia="zh-CN"/>
        </w:rPr>
      </w:pPr>
      <w:r>
        <w:rPr>
          <w:lang w:eastAsia="zh-CN"/>
        </w:rPr>
        <w:t xml:space="preserve">※※ </w:t>
      </w:r>
      <w:r>
        <w:rPr>
          <w:lang w:eastAsia="zh-CN"/>
        </w:rPr>
        <w:t>黄金</w:t>
      </w:r>
    </w:p>
    <w:p w:rsidR="00846009" w:rsidRDefault="007B38DC">
      <w:pPr>
        <w:pStyle w:val="Para"/>
        <w:rPr>
          <w:lang w:eastAsia="zh-CN"/>
        </w:rPr>
      </w:pPr>
      <w:r>
        <w:rPr>
          <w:lang w:eastAsia="zh-CN"/>
        </w:rPr>
        <w:t>截止本周，伦敦现货黄金收于</w:t>
      </w:r>
      <w:r>
        <w:rPr>
          <w:lang w:eastAsia="zh-CN"/>
        </w:rPr>
        <w:t>4704.74</w:t>
      </w:r>
      <w:r>
        <w:rPr>
          <w:lang w:eastAsia="zh-CN"/>
        </w:rPr>
        <w:t>美元</w:t>
      </w:r>
      <w:r>
        <w:rPr>
          <w:lang w:eastAsia="zh-CN"/>
        </w:rPr>
        <w:t>/</w:t>
      </w:r>
      <w:r>
        <w:rPr>
          <w:lang w:eastAsia="zh-CN"/>
        </w:rPr>
        <w:t>盎司（周环比</w:t>
      </w:r>
      <w:r>
        <w:rPr>
          <w:lang w:eastAsia="zh-CN"/>
        </w:rPr>
        <w:t>-2.74%</w:t>
      </w:r>
      <w:r>
        <w:rPr>
          <w:lang w:eastAsia="zh-CN"/>
        </w:rPr>
        <w:t>），国内</w:t>
      </w:r>
      <w:r>
        <w:rPr>
          <w:lang w:eastAsia="zh-CN"/>
        </w:rPr>
        <w:t>AU9999</w:t>
      </w:r>
      <w:r>
        <w:rPr>
          <w:lang w:eastAsia="zh-CN"/>
        </w:rPr>
        <w:t>黄金收于</w:t>
      </w:r>
      <w:r>
        <w:rPr>
          <w:lang w:eastAsia="zh-CN"/>
        </w:rPr>
        <w:t>1033.25</w:t>
      </w:r>
      <w:r>
        <w:rPr>
          <w:lang w:eastAsia="zh-CN"/>
        </w:rPr>
        <w:t>元</w:t>
      </w:r>
      <w:r>
        <w:rPr>
          <w:lang w:eastAsia="zh-CN"/>
        </w:rPr>
        <w:t>/</w:t>
      </w:r>
      <w:r>
        <w:rPr>
          <w:lang w:eastAsia="zh-CN"/>
        </w:rPr>
        <w:t>克（周环比</w:t>
      </w:r>
      <w:r>
        <w:rPr>
          <w:lang w:eastAsia="zh-CN"/>
        </w:rPr>
        <w:t>-1.75%</w:t>
      </w:r>
      <w:r>
        <w:rPr>
          <w:lang w:eastAsia="zh-CN"/>
        </w:rPr>
        <w:t>）。</w:t>
      </w:r>
    </w:p>
    <w:p w:rsidR="00846009" w:rsidRDefault="007B38DC">
      <w:pPr>
        <w:pStyle w:val="Cap"/>
        <w:rPr>
          <w:lang w:eastAsia="zh-CN"/>
        </w:rPr>
      </w:pPr>
      <w:r>
        <w:rPr>
          <w:lang w:eastAsia="zh-CN"/>
        </w:rPr>
        <w:t>图一：黄金</w:t>
      </w:r>
      <w:r>
        <w:rPr>
          <w:lang w:eastAsia="zh-CN"/>
        </w:rPr>
        <w:t>Au9999</w:t>
      </w:r>
      <w:r>
        <w:rPr>
          <w:lang w:eastAsia="zh-CN"/>
        </w:rPr>
        <w:t>和伦敦金价格</w:t>
      </w:r>
    </w:p>
    <w:p w:rsidR="00846009" w:rsidRDefault="007B38DC">
      <w:pPr>
        <w:jc w:val="center"/>
      </w:pPr>
      <w:r>
        <w:rPr>
          <w:noProof/>
          <w:lang w:eastAsia="zh-CN"/>
        </w:rPr>
        <w:drawing>
          <wp:inline distT="0" distB="0" distL="0" distR="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黄金.png"/>
                    <pic:cNvPicPr/>
                  </pic:nvPicPr>
                  <pic:blipFill>
                    <a:blip r:embed="rId9"/>
                    <a:stretch>
                      <a:fillRect/>
                    </a:stretch>
                  </pic:blipFill>
                  <pic:spPr>
                    <a:xfrm>
                      <a:off x="0" y="0"/>
                      <a:ext cx="4572000" cy="2743200"/>
                    </a:xfrm>
                    <a:prstGeom prst="rect">
                      <a:avLst/>
                    </a:prstGeom>
                  </pic:spPr>
                </pic:pic>
              </a:graphicData>
            </a:graphic>
          </wp:inline>
        </w:drawing>
      </w:r>
    </w:p>
    <w:p w:rsidR="00846009" w:rsidRDefault="007B38DC">
      <w:pPr>
        <w:pStyle w:val="Source"/>
        <w:rPr>
          <w:lang w:eastAsia="zh-CN"/>
        </w:rPr>
      </w:pPr>
      <w:r>
        <w:rPr>
          <w:lang w:eastAsia="zh-CN"/>
        </w:rPr>
        <w:t>数据来源：</w:t>
      </w:r>
      <w:r>
        <w:rPr>
          <w:lang w:eastAsia="zh-CN"/>
        </w:rPr>
        <w:t>Wind</w:t>
      </w:r>
      <w:r>
        <w:rPr>
          <w:lang w:eastAsia="zh-CN"/>
        </w:rPr>
        <w:t>，华安基金，截至</w:t>
      </w:r>
      <w:r>
        <w:rPr>
          <w:lang w:eastAsia="zh-CN"/>
        </w:rPr>
        <w:t>2026-04-24</w:t>
      </w:r>
    </w:p>
    <w:p w:rsidR="00846009" w:rsidRDefault="007B38DC" w:rsidP="001928A4">
      <w:pPr>
        <w:pStyle w:val="Para"/>
        <w:rPr>
          <w:lang w:eastAsia="zh-CN"/>
        </w:rPr>
      </w:pPr>
      <w:r>
        <w:rPr>
          <w:lang w:eastAsia="zh-CN"/>
        </w:rPr>
        <w:t>近期黄金价格受多重因素影响：美联储加息预期基本充分定价，中期维持利率</w:t>
      </w:r>
      <w:proofErr w:type="gramStart"/>
      <w:r>
        <w:rPr>
          <w:lang w:eastAsia="zh-CN"/>
        </w:rPr>
        <w:t>不</w:t>
      </w:r>
      <w:proofErr w:type="gramEnd"/>
      <w:r>
        <w:rPr>
          <w:lang w:eastAsia="zh-CN"/>
        </w:rPr>
        <w:t>变为大概率，短期利空出尽推动金价上涨至新高；地缘政治冲突如中东战争推升油价与避险需求，但战争升级引发市场流动性收紧和</w:t>
      </w:r>
      <w:r>
        <w:rPr>
          <w:lang w:eastAsia="zh-CN"/>
        </w:rPr>
        <w:t>风险偏好回落，导致金价阶段性调整跌破</w:t>
      </w:r>
      <w:r>
        <w:rPr>
          <w:lang w:eastAsia="zh-CN"/>
        </w:rPr>
        <w:t>4500</w:t>
      </w:r>
      <w:r>
        <w:rPr>
          <w:lang w:eastAsia="zh-CN"/>
        </w:rPr>
        <w:t>美元；资金行为分化方面，价格</w:t>
      </w:r>
      <w:proofErr w:type="gramStart"/>
      <w:r>
        <w:rPr>
          <w:lang w:eastAsia="zh-CN"/>
        </w:rPr>
        <w:t>敏感型资金</w:t>
      </w:r>
      <w:proofErr w:type="gramEnd"/>
      <w:r>
        <w:rPr>
          <w:lang w:eastAsia="zh-CN"/>
        </w:rPr>
        <w:t>如期货交易主导短期波动，而长线配置力量如央行购金行为和私人投资者增加黄金敞口增强，高盛表示央行购</w:t>
      </w:r>
      <w:proofErr w:type="gramStart"/>
      <w:r>
        <w:rPr>
          <w:lang w:eastAsia="zh-CN"/>
        </w:rPr>
        <w:t>金推动</w:t>
      </w:r>
      <w:proofErr w:type="gramEnd"/>
      <w:r>
        <w:rPr>
          <w:lang w:eastAsia="zh-CN"/>
        </w:rPr>
        <w:t>金价攀升；短期或维持高波动，但长期结构性支撑逻辑未改变，抗通</w:t>
      </w:r>
      <w:r w:rsidR="001928A4">
        <w:rPr>
          <w:lang w:eastAsia="zh-CN"/>
        </w:rPr>
        <w:t>胀属性在通胀中枢上行环境下凸显，</w:t>
      </w:r>
      <w:proofErr w:type="gramStart"/>
      <w:r w:rsidR="001928A4">
        <w:rPr>
          <w:lang w:eastAsia="zh-CN"/>
        </w:rPr>
        <w:t>去美元</w:t>
      </w:r>
      <w:proofErr w:type="gramEnd"/>
      <w:r w:rsidR="001928A4">
        <w:rPr>
          <w:lang w:eastAsia="zh-CN"/>
        </w:rPr>
        <w:t>化和全球储备多元化趋势下</w:t>
      </w:r>
      <w:r>
        <w:rPr>
          <w:lang w:eastAsia="zh-CN"/>
        </w:rPr>
        <w:t>，高</w:t>
      </w:r>
      <w:proofErr w:type="gramStart"/>
      <w:r>
        <w:rPr>
          <w:lang w:eastAsia="zh-CN"/>
        </w:rPr>
        <w:t>盛预测</w:t>
      </w:r>
      <w:proofErr w:type="gramEnd"/>
      <w:r>
        <w:rPr>
          <w:lang w:eastAsia="zh-CN"/>
        </w:rPr>
        <w:t>2026</w:t>
      </w:r>
      <w:r>
        <w:rPr>
          <w:lang w:eastAsia="zh-CN"/>
        </w:rPr>
        <w:t>年底金价</w:t>
      </w:r>
      <w:r>
        <w:rPr>
          <w:lang w:eastAsia="zh-CN"/>
        </w:rPr>
        <w:t>5400</w:t>
      </w:r>
      <w:r>
        <w:rPr>
          <w:lang w:eastAsia="zh-CN"/>
        </w:rPr>
        <w:t>美元，富国银行预测</w:t>
      </w:r>
      <w:r>
        <w:rPr>
          <w:lang w:eastAsia="zh-CN"/>
        </w:rPr>
        <w:t>2027</w:t>
      </w:r>
      <w:r>
        <w:rPr>
          <w:lang w:eastAsia="zh-CN"/>
        </w:rPr>
        <w:t>年可能飙升至</w:t>
      </w:r>
      <w:r>
        <w:rPr>
          <w:lang w:eastAsia="zh-CN"/>
        </w:rPr>
        <w:t>8000</w:t>
      </w:r>
      <w:r>
        <w:rPr>
          <w:lang w:eastAsia="zh-CN"/>
        </w:rPr>
        <w:t>美元。</w:t>
      </w:r>
      <w:r w:rsidR="001928A4">
        <w:rPr>
          <w:rFonts w:hint="eastAsia"/>
          <w:lang w:eastAsia="zh-CN"/>
        </w:rPr>
        <w:t>以上仅为第三方机构对行业预测，不构成对相关行业的投资建议。</w:t>
      </w:r>
    </w:p>
    <w:p w:rsidR="00846009"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4323"/>
        <w:gridCol w:w="4323"/>
      </w:tblGrid>
      <w:tr w:rsidR="00846009">
        <w:trPr>
          <w:jc w:val="center"/>
        </w:trPr>
        <w:tc>
          <w:tcPr>
            <w:tcW w:w="4323" w:type="dxa"/>
          </w:tcPr>
          <w:p w:rsidR="00846009" w:rsidRDefault="007B38DC">
            <w:proofErr w:type="spellStart"/>
            <w:r>
              <w:rPr>
                <w:rFonts w:ascii="楷体" w:eastAsia="楷体" w:hAnsi="楷体"/>
                <w:b/>
              </w:rPr>
              <w:t>相关产品</w:t>
            </w:r>
            <w:proofErr w:type="spellEnd"/>
          </w:p>
        </w:tc>
        <w:tc>
          <w:tcPr>
            <w:tcW w:w="4323" w:type="dxa"/>
          </w:tcPr>
          <w:p w:rsidR="00846009" w:rsidRDefault="007B38DC">
            <w:r>
              <w:rPr>
                <w:rFonts w:ascii="楷体" w:eastAsia="楷体" w:hAnsi="楷体"/>
                <w:b/>
              </w:rPr>
              <w:t>相关产品</w:t>
            </w:r>
          </w:p>
        </w:tc>
      </w:tr>
      <w:tr w:rsidR="00846009">
        <w:trPr>
          <w:jc w:val="center"/>
        </w:trPr>
        <w:tc>
          <w:tcPr>
            <w:tcW w:w="4323" w:type="dxa"/>
          </w:tcPr>
          <w:p w:rsidR="00846009" w:rsidRDefault="007B38DC">
            <w:r>
              <w:rPr>
                <w:rFonts w:ascii="楷体" w:eastAsia="楷体" w:hAnsi="楷体"/>
              </w:rPr>
              <w:t>黄金</w:t>
            </w:r>
            <w:r>
              <w:rPr>
                <w:rFonts w:ascii="楷体" w:eastAsia="楷体" w:hAnsi="楷体"/>
              </w:rPr>
              <w:t>ETF</w:t>
            </w:r>
            <w:r>
              <w:rPr>
                <w:rFonts w:ascii="楷体" w:eastAsia="楷体" w:hAnsi="楷体"/>
              </w:rPr>
              <w:t>华安</w:t>
            </w:r>
            <w:r>
              <w:rPr>
                <w:rFonts w:ascii="楷体" w:eastAsia="楷体" w:hAnsi="楷体"/>
              </w:rPr>
              <w:t>(518880.SH)</w:t>
            </w:r>
          </w:p>
        </w:tc>
        <w:tc>
          <w:tcPr>
            <w:tcW w:w="4323" w:type="dxa"/>
          </w:tcPr>
          <w:p w:rsidR="00846009" w:rsidRDefault="007B38DC">
            <w:pPr>
              <w:rPr>
                <w:lang w:eastAsia="zh-CN"/>
              </w:rPr>
            </w:pPr>
            <w:r>
              <w:rPr>
                <w:rFonts w:ascii="楷体" w:eastAsia="楷体" w:hAnsi="楷体"/>
                <w:lang w:eastAsia="zh-CN"/>
              </w:rPr>
              <w:t>黄金股</w:t>
            </w:r>
            <w:r>
              <w:rPr>
                <w:rFonts w:ascii="楷体" w:eastAsia="楷体" w:hAnsi="楷体"/>
                <w:lang w:eastAsia="zh-CN"/>
              </w:rPr>
              <w:t>ETF</w:t>
            </w:r>
            <w:r>
              <w:rPr>
                <w:rFonts w:ascii="楷体" w:eastAsia="楷体" w:hAnsi="楷体"/>
                <w:lang w:eastAsia="zh-CN"/>
              </w:rPr>
              <w:t>华安</w:t>
            </w:r>
            <w:r>
              <w:rPr>
                <w:rFonts w:ascii="楷体" w:eastAsia="楷体" w:hAnsi="楷体"/>
                <w:lang w:eastAsia="zh-CN"/>
              </w:rPr>
              <w:t>(159321.SZ)</w:t>
            </w:r>
          </w:p>
        </w:tc>
      </w:tr>
    </w:tbl>
    <w:p w:rsidR="00846009" w:rsidRDefault="007B38DC">
      <w:pPr>
        <w:rPr>
          <w:lang w:eastAsia="zh-CN"/>
        </w:rPr>
      </w:pPr>
      <w:r>
        <w:rPr>
          <w:lang w:eastAsia="zh-CN"/>
        </w:rPr>
        <w:br w:type="page"/>
      </w:r>
    </w:p>
    <w:p w:rsidR="00846009" w:rsidRDefault="007B38DC">
      <w:pPr>
        <w:pStyle w:val="Sub"/>
        <w:rPr>
          <w:lang w:eastAsia="zh-CN"/>
        </w:rPr>
      </w:pPr>
      <w:r>
        <w:rPr>
          <w:lang w:eastAsia="zh-CN"/>
        </w:rPr>
        <w:lastRenderedPageBreak/>
        <w:t xml:space="preserve">※※ </w:t>
      </w:r>
      <w:r>
        <w:rPr>
          <w:lang w:eastAsia="zh-CN"/>
        </w:rPr>
        <w:t>石油</w:t>
      </w:r>
    </w:p>
    <w:p w:rsidR="00846009" w:rsidRDefault="007B38DC">
      <w:pPr>
        <w:pStyle w:val="Para"/>
        <w:rPr>
          <w:lang w:eastAsia="zh-CN"/>
        </w:rPr>
      </w:pPr>
      <w:r>
        <w:rPr>
          <w:lang w:eastAsia="zh-CN"/>
        </w:rPr>
        <w:t>截至本周，布伦</w:t>
      </w:r>
      <w:proofErr w:type="gramStart"/>
      <w:r>
        <w:rPr>
          <w:lang w:eastAsia="zh-CN"/>
        </w:rPr>
        <w:t>特</w:t>
      </w:r>
      <w:proofErr w:type="gramEnd"/>
      <w:r>
        <w:rPr>
          <w:lang w:eastAsia="zh-CN"/>
        </w:rPr>
        <w:t>原油</w:t>
      </w:r>
      <w:proofErr w:type="gramStart"/>
      <w:r>
        <w:rPr>
          <w:lang w:eastAsia="zh-CN"/>
        </w:rPr>
        <w:t>期货周均价</w:t>
      </w:r>
      <w:proofErr w:type="gramEnd"/>
      <w:r>
        <w:rPr>
          <w:lang w:eastAsia="zh-CN"/>
        </w:rPr>
        <w:t>为</w:t>
      </w:r>
      <w:r>
        <w:rPr>
          <w:lang w:eastAsia="zh-CN"/>
        </w:rPr>
        <w:t>106.01</w:t>
      </w:r>
      <w:r>
        <w:rPr>
          <w:lang w:eastAsia="zh-CN"/>
        </w:rPr>
        <w:t>美元</w:t>
      </w:r>
      <w:r>
        <w:rPr>
          <w:lang w:eastAsia="zh-CN"/>
        </w:rPr>
        <w:t>/</w:t>
      </w:r>
      <w:r>
        <w:rPr>
          <w:lang w:eastAsia="zh-CN"/>
        </w:rPr>
        <w:t>桶，较上周五涨</w:t>
      </w:r>
      <w:r>
        <w:rPr>
          <w:lang w:eastAsia="zh-CN"/>
        </w:rPr>
        <w:t>13.59</w:t>
      </w:r>
      <w:r>
        <w:rPr>
          <w:lang w:eastAsia="zh-CN"/>
        </w:rPr>
        <w:t>美元</w:t>
      </w:r>
      <w:r>
        <w:rPr>
          <w:lang w:eastAsia="zh-CN"/>
        </w:rPr>
        <w:t>/</w:t>
      </w:r>
      <w:r>
        <w:rPr>
          <w:lang w:eastAsia="zh-CN"/>
        </w:rPr>
        <w:t>桶；</w:t>
      </w:r>
      <w:r>
        <w:rPr>
          <w:lang w:eastAsia="zh-CN"/>
        </w:rPr>
        <w:t>WTI</w:t>
      </w:r>
      <w:r>
        <w:rPr>
          <w:lang w:eastAsia="zh-CN"/>
        </w:rPr>
        <w:t>原油</w:t>
      </w:r>
      <w:proofErr w:type="gramStart"/>
      <w:r>
        <w:rPr>
          <w:lang w:eastAsia="zh-CN"/>
        </w:rPr>
        <w:t>期货周均价</w:t>
      </w:r>
      <w:proofErr w:type="gramEnd"/>
      <w:r>
        <w:rPr>
          <w:lang w:eastAsia="zh-CN"/>
        </w:rPr>
        <w:t>为</w:t>
      </w:r>
      <w:r>
        <w:rPr>
          <w:lang w:eastAsia="zh-CN"/>
        </w:rPr>
        <w:t>97.0</w:t>
      </w:r>
      <w:r>
        <w:rPr>
          <w:lang w:eastAsia="zh-CN"/>
        </w:rPr>
        <w:t>美元</w:t>
      </w:r>
      <w:r>
        <w:rPr>
          <w:lang w:eastAsia="zh-CN"/>
        </w:rPr>
        <w:t>/</w:t>
      </w:r>
      <w:r>
        <w:rPr>
          <w:lang w:eastAsia="zh-CN"/>
        </w:rPr>
        <w:t>桶，较上周五涨</w:t>
      </w:r>
      <w:r>
        <w:rPr>
          <w:lang w:eastAsia="zh-CN"/>
        </w:rPr>
        <w:t>13.0</w:t>
      </w:r>
      <w:r>
        <w:rPr>
          <w:lang w:eastAsia="zh-CN"/>
        </w:rPr>
        <w:t>美元</w:t>
      </w:r>
      <w:r>
        <w:rPr>
          <w:lang w:eastAsia="zh-CN"/>
        </w:rPr>
        <w:t>/</w:t>
      </w:r>
      <w:r>
        <w:rPr>
          <w:lang w:eastAsia="zh-CN"/>
        </w:rPr>
        <w:t>桶。和周初相比主要油品涨跌幅分别为：布伦</w:t>
      </w:r>
      <w:proofErr w:type="gramStart"/>
      <w:r>
        <w:rPr>
          <w:lang w:eastAsia="zh-CN"/>
        </w:rPr>
        <w:t>特</w:t>
      </w:r>
      <w:proofErr w:type="gramEnd"/>
      <w:r>
        <w:rPr>
          <w:lang w:eastAsia="zh-CN"/>
        </w:rPr>
        <w:t>原油（</w:t>
      </w:r>
      <w:r>
        <w:rPr>
          <w:lang w:eastAsia="zh-CN"/>
        </w:rPr>
        <w:t>17.29%</w:t>
      </w:r>
      <w:r>
        <w:rPr>
          <w:lang w:eastAsia="zh-CN"/>
        </w:rPr>
        <w:t>）、</w:t>
      </w:r>
      <w:r>
        <w:rPr>
          <w:lang w:eastAsia="zh-CN"/>
        </w:rPr>
        <w:t>WTI</w:t>
      </w:r>
      <w:r>
        <w:rPr>
          <w:lang w:eastAsia="zh-CN"/>
        </w:rPr>
        <w:t>原油（</w:t>
      </w:r>
      <w:r>
        <w:rPr>
          <w:lang w:eastAsia="zh-CN"/>
        </w:rPr>
        <w:t>17.45%</w:t>
      </w:r>
      <w:r>
        <w:rPr>
          <w:lang w:eastAsia="zh-CN"/>
        </w:rPr>
        <w:t>）。</w:t>
      </w:r>
    </w:p>
    <w:p w:rsidR="00846009" w:rsidRDefault="007B38DC">
      <w:pPr>
        <w:pStyle w:val="Cap"/>
        <w:rPr>
          <w:lang w:eastAsia="zh-CN"/>
        </w:rPr>
      </w:pPr>
      <w:r>
        <w:rPr>
          <w:lang w:eastAsia="zh-CN"/>
        </w:rPr>
        <w:t>图二：</w:t>
      </w:r>
      <w:r>
        <w:rPr>
          <w:lang w:eastAsia="zh-CN"/>
        </w:rPr>
        <w:t>WTI</w:t>
      </w:r>
      <w:r>
        <w:rPr>
          <w:lang w:eastAsia="zh-CN"/>
        </w:rPr>
        <w:t>原油现货价和布伦</w:t>
      </w:r>
      <w:proofErr w:type="gramStart"/>
      <w:r>
        <w:rPr>
          <w:lang w:eastAsia="zh-CN"/>
        </w:rPr>
        <w:t>特</w:t>
      </w:r>
      <w:proofErr w:type="gramEnd"/>
      <w:r>
        <w:rPr>
          <w:lang w:eastAsia="zh-CN"/>
        </w:rPr>
        <w:t>原油现货价</w:t>
      </w:r>
    </w:p>
    <w:p w:rsidR="00846009" w:rsidRDefault="007B38DC">
      <w:pPr>
        <w:jc w:val="center"/>
      </w:pPr>
      <w:r>
        <w:rPr>
          <w:noProof/>
          <w:lang w:eastAsia="zh-CN"/>
        </w:rPr>
        <w:drawing>
          <wp:inline distT="0" distB="0" distL="0" distR="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原油.png"/>
                    <pic:cNvPicPr/>
                  </pic:nvPicPr>
                  <pic:blipFill>
                    <a:blip r:embed="rId10"/>
                    <a:stretch>
                      <a:fillRect/>
                    </a:stretch>
                  </pic:blipFill>
                  <pic:spPr>
                    <a:xfrm>
                      <a:off x="0" y="0"/>
                      <a:ext cx="4572000" cy="2743200"/>
                    </a:xfrm>
                    <a:prstGeom prst="rect">
                      <a:avLst/>
                    </a:prstGeom>
                  </pic:spPr>
                </pic:pic>
              </a:graphicData>
            </a:graphic>
          </wp:inline>
        </w:drawing>
      </w:r>
    </w:p>
    <w:p w:rsidR="00846009" w:rsidRDefault="007B38DC">
      <w:pPr>
        <w:pStyle w:val="Source"/>
        <w:rPr>
          <w:lang w:eastAsia="zh-CN"/>
        </w:rPr>
      </w:pPr>
      <w:r>
        <w:rPr>
          <w:lang w:eastAsia="zh-CN"/>
        </w:rPr>
        <w:t>数据来源：</w:t>
      </w:r>
      <w:r>
        <w:rPr>
          <w:lang w:eastAsia="zh-CN"/>
        </w:rPr>
        <w:t>Wind</w:t>
      </w:r>
      <w:r>
        <w:rPr>
          <w:lang w:eastAsia="zh-CN"/>
        </w:rPr>
        <w:t>，华安基金，截至</w:t>
      </w:r>
      <w:r>
        <w:rPr>
          <w:lang w:eastAsia="zh-CN"/>
        </w:rPr>
        <w:t>2026-04-24</w:t>
      </w:r>
    </w:p>
    <w:p w:rsidR="00846009" w:rsidRDefault="007B38DC">
      <w:pPr>
        <w:pStyle w:val="Para"/>
        <w:rPr>
          <w:lang w:eastAsia="zh-CN"/>
        </w:rPr>
      </w:pPr>
      <w:r>
        <w:rPr>
          <w:lang w:eastAsia="zh-CN"/>
        </w:rPr>
        <w:t>本周原油市场价格上涨，呈现宽幅震荡趋势，</w:t>
      </w:r>
      <w:r>
        <w:rPr>
          <w:lang w:eastAsia="zh-CN"/>
        </w:rPr>
        <w:t>WTI</w:t>
      </w:r>
      <w:r>
        <w:rPr>
          <w:lang w:eastAsia="zh-CN"/>
        </w:rPr>
        <w:t>原油价格触及</w:t>
      </w:r>
      <w:r>
        <w:rPr>
          <w:lang w:eastAsia="zh-CN"/>
        </w:rPr>
        <w:t>110</w:t>
      </w:r>
      <w:r>
        <w:rPr>
          <w:lang w:eastAsia="zh-CN"/>
        </w:rPr>
        <w:t>美元以上，布伦</w:t>
      </w:r>
      <w:proofErr w:type="gramStart"/>
      <w:r>
        <w:rPr>
          <w:lang w:eastAsia="zh-CN"/>
        </w:rPr>
        <w:t>特</w:t>
      </w:r>
      <w:proofErr w:type="gramEnd"/>
      <w:r>
        <w:rPr>
          <w:lang w:eastAsia="zh-CN"/>
        </w:rPr>
        <w:t>原油价格超过</w:t>
      </w:r>
      <w:r>
        <w:rPr>
          <w:lang w:eastAsia="zh-CN"/>
        </w:rPr>
        <w:t>110</w:t>
      </w:r>
      <w:r>
        <w:rPr>
          <w:lang w:eastAsia="zh-CN"/>
        </w:rPr>
        <w:t>美元。从供给</w:t>
      </w:r>
      <w:r>
        <w:rPr>
          <w:lang w:eastAsia="zh-CN"/>
        </w:rPr>
        <w:t>端来看，霍尔木兹海峡可能关闭导致每天</w:t>
      </w:r>
      <w:r>
        <w:rPr>
          <w:lang w:eastAsia="zh-CN"/>
        </w:rPr>
        <w:t>2000</w:t>
      </w:r>
      <w:r>
        <w:rPr>
          <w:lang w:eastAsia="zh-CN"/>
        </w:rPr>
        <w:t>万桶原油运输受阻，预计全球面临</w:t>
      </w:r>
      <w:r>
        <w:rPr>
          <w:lang w:eastAsia="zh-CN"/>
        </w:rPr>
        <w:t>1500</w:t>
      </w:r>
      <w:r>
        <w:rPr>
          <w:lang w:eastAsia="zh-CN"/>
        </w:rPr>
        <w:t>万桶供应缺口（分析人士称）；美伊战火造成全球减少</w:t>
      </w:r>
      <w:r>
        <w:rPr>
          <w:lang w:eastAsia="zh-CN"/>
        </w:rPr>
        <w:t>5</w:t>
      </w:r>
      <w:r>
        <w:rPr>
          <w:lang w:eastAsia="zh-CN"/>
        </w:rPr>
        <w:t>亿桶原油供应（机构</w:t>
      </w:r>
      <w:proofErr w:type="spellStart"/>
      <w:r>
        <w:rPr>
          <w:lang w:eastAsia="zh-CN"/>
        </w:rPr>
        <w:t>Kpler</w:t>
      </w:r>
      <w:proofErr w:type="spellEnd"/>
      <w:r>
        <w:rPr>
          <w:lang w:eastAsia="zh-CN"/>
        </w:rPr>
        <w:t>数据）；国际能源署开始投放</w:t>
      </w:r>
      <w:r>
        <w:rPr>
          <w:lang w:eastAsia="zh-CN"/>
        </w:rPr>
        <w:t>4</w:t>
      </w:r>
      <w:r>
        <w:rPr>
          <w:lang w:eastAsia="zh-CN"/>
        </w:rPr>
        <w:t>亿桶战略石油储备（国际能源</w:t>
      </w:r>
      <w:proofErr w:type="gramStart"/>
      <w:r>
        <w:rPr>
          <w:lang w:eastAsia="zh-CN"/>
        </w:rPr>
        <w:t>署称</w:t>
      </w:r>
      <w:proofErr w:type="gramEnd"/>
      <w:r>
        <w:rPr>
          <w:lang w:eastAsia="zh-CN"/>
        </w:rPr>
        <w:t>）。从需求端来看，原油供应中断相当于全球航空需求缩减</w:t>
      </w:r>
      <w:r>
        <w:rPr>
          <w:lang w:eastAsia="zh-CN"/>
        </w:rPr>
        <w:t>10</w:t>
      </w:r>
      <w:r>
        <w:rPr>
          <w:lang w:eastAsia="zh-CN"/>
        </w:rPr>
        <w:t>周（伍德麦肯兹分析师称）；需求格局受地缘局势和供需因素影响；日本政府考虑释放国家石油储备应对供应压力，释放量相当于</w:t>
      </w:r>
      <w:r>
        <w:rPr>
          <w:lang w:eastAsia="zh-CN"/>
        </w:rPr>
        <w:t>20</w:t>
      </w:r>
      <w:r>
        <w:rPr>
          <w:lang w:eastAsia="zh-CN"/>
        </w:rPr>
        <w:t>天用量（日本政府称）。全球机构判断油价可能飙升至三位数水平（分析人士称），</w:t>
      </w:r>
      <w:r>
        <w:rPr>
          <w:lang w:eastAsia="zh-CN"/>
        </w:rPr>
        <w:t>OPEC</w:t>
      </w:r>
      <w:r>
        <w:rPr>
          <w:lang w:eastAsia="zh-CN"/>
        </w:rPr>
        <w:t>增产措施被视为杯水车薪（分析人士称）。</w:t>
      </w:r>
      <w:r>
        <w:rPr>
          <w:lang w:eastAsia="zh-CN"/>
        </w:rPr>
        <w:t>全球地缘冲突包括中东局势持续紧张引发供应风险；美伊战火加剧原油贸易</w:t>
      </w:r>
      <w:r w:rsidR="001928A4">
        <w:rPr>
          <w:lang w:eastAsia="zh-CN"/>
        </w:rPr>
        <w:t>中断。展望后市，原油价格短期波动存在较大不确定性，</w:t>
      </w:r>
      <w:r>
        <w:rPr>
          <w:lang w:eastAsia="zh-CN"/>
        </w:rPr>
        <w:t>供应缺口和地缘风险</w:t>
      </w:r>
      <w:r w:rsidR="001928A4">
        <w:rPr>
          <w:rFonts w:hint="eastAsia"/>
          <w:lang w:eastAsia="zh-CN"/>
        </w:rPr>
        <w:t>或</w:t>
      </w:r>
      <w:r w:rsidR="001928A4">
        <w:rPr>
          <w:lang w:eastAsia="zh-CN"/>
        </w:rPr>
        <w:t>支撑油价</w:t>
      </w:r>
      <w:r>
        <w:rPr>
          <w:lang w:eastAsia="zh-CN"/>
        </w:rPr>
        <w:t>，但战略储备投放可能部分缓解压力。</w:t>
      </w:r>
    </w:p>
    <w:p w:rsidR="00846009" w:rsidRPr="001928A4" w:rsidRDefault="00846009">
      <w:pPr>
        <w:spacing w:after="0" w:line="240" w:lineRule="auto"/>
        <w:rPr>
          <w:lang w:eastAsia="zh-CN"/>
        </w:rPr>
      </w:pPr>
    </w:p>
    <w:tbl>
      <w:tblPr>
        <w:tblStyle w:val="aff1"/>
        <w:tblW w:w="0" w:type="auto"/>
        <w:jc w:val="center"/>
        <w:tblLook w:val="04A0" w:firstRow="1" w:lastRow="0" w:firstColumn="1" w:lastColumn="0" w:noHBand="0" w:noVBand="1"/>
      </w:tblPr>
      <w:tblGrid>
        <w:gridCol w:w="8646"/>
      </w:tblGrid>
      <w:tr w:rsidR="00846009">
        <w:trPr>
          <w:jc w:val="center"/>
        </w:trPr>
        <w:tc>
          <w:tcPr>
            <w:tcW w:w="8646" w:type="dxa"/>
          </w:tcPr>
          <w:p w:rsidR="00846009" w:rsidRDefault="007B38DC">
            <w:proofErr w:type="spellStart"/>
            <w:r>
              <w:rPr>
                <w:rFonts w:ascii="楷体" w:eastAsia="楷体" w:hAnsi="楷体"/>
                <w:b/>
              </w:rPr>
              <w:t>相关产品</w:t>
            </w:r>
            <w:proofErr w:type="spellEnd"/>
          </w:p>
        </w:tc>
      </w:tr>
      <w:tr w:rsidR="00846009">
        <w:trPr>
          <w:jc w:val="center"/>
        </w:trPr>
        <w:tc>
          <w:tcPr>
            <w:tcW w:w="8646" w:type="dxa"/>
          </w:tcPr>
          <w:p w:rsidR="00846009" w:rsidRDefault="007B38DC">
            <w:r>
              <w:rPr>
                <w:rFonts w:ascii="楷体" w:eastAsia="楷体" w:hAnsi="楷体"/>
              </w:rPr>
              <w:t>石油基金</w:t>
            </w:r>
            <w:r>
              <w:rPr>
                <w:rFonts w:ascii="楷体" w:eastAsia="楷体" w:hAnsi="楷体"/>
              </w:rPr>
              <w:t>LOF(160416.SZ)</w:t>
            </w:r>
          </w:p>
        </w:tc>
      </w:tr>
    </w:tbl>
    <w:p w:rsidR="00846009" w:rsidRDefault="007B38DC">
      <w:r>
        <w:br w:type="page"/>
      </w:r>
    </w:p>
    <w:p w:rsidR="00846009" w:rsidRDefault="007B38DC">
      <w:pPr>
        <w:pStyle w:val="Head"/>
      </w:pPr>
      <w:r>
        <w:lastRenderedPageBreak/>
        <w:t xml:space="preserve">■ </w:t>
      </w:r>
      <w:r>
        <w:t>下周全球投资日历</w:t>
      </w:r>
    </w:p>
    <w:tbl>
      <w:tblPr>
        <w:tblStyle w:val="aff1"/>
        <w:tblW w:w="0" w:type="auto"/>
        <w:jc w:val="center"/>
        <w:tblLook w:val="04A0" w:firstRow="1" w:lastRow="0" w:firstColumn="1" w:lastColumn="0" w:noHBand="0" w:noVBand="1"/>
      </w:tblPr>
      <w:tblGrid>
        <w:gridCol w:w="1417"/>
        <w:gridCol w:w="1247"/>
        <w:gridCol w:w="5953"/>
      </w:tblGrid>
      <w:tr w:rsidR="00846009">
        <w:trPr>
          <w:jc w:val="center"/>
        </w:trPr>
        <w:tc>
          <w:tcPr>
            <w:tcW w:w="1417" w:type="dxa"/>
          </w:tcPr>
          <w:p w:rsidR="00846009" w:rsidRDefault="007B38DC">
            <w:r>
              <w:rPr>
                <w:rFonts w:ascii="楷体" w:eastAsia="楷体" w:hAnsi="楷体"/>
                <w:b/>
              </w:rPr>
              <w:t>日期</w:t>
            </w:r>
          </w:p>
        </w:tc>
        <w:tc>
          <w:tcPr>
            <w:tcW w:w="1247" w:type="dxa"/>
          </w:tcPr>
          <w:p w:rsidR="00846009" w:rsidRDefault="007B38DC">
            <w:r>
              <w:rPr>
                <w:rFonts w:ascii="楷体" w:eastAsia="楷体" w:hAnsi="楷体"/>
                <w:b/>
              </w:rPr>
              <w:t>国家</w:t>
            </w:r>
            <w:r>
              <w:rPr>
                <w:rFonts w:ascii="楷体" w:eastAsia="楷体" w:hAnsi="楷体"/>
                <w:b/>
              </w:rPr>
              <w:t>/</w:t>
            </w:r>
            <w:r>
              <w:rPr>
                <w:rFonts w:ascii="楷体" w:eastAsia="楷体" w:hAnsi="楷体"/>
                <w:b/>
              </w:rPr>
              <w:t>地区</w:t>
            </w:r>
          </w:p>
        </w:tc>
        <w:tc>
          <w:tcPr>
            <w:tcW w:w="5953" w:type="dxa"/>
          </w:tcPr>
          <w:p w:rsidR="00846009" w:rsidRDefault="007B38DC">
            <w:r>
              <w:rPr>
                <w:rFonts w:ascii="楷体" w:eastAsia="楷体" w:hAnsi="楷体"/>
                <w:b/>
              </w:rPr>
              <w:t>指标名称</w:t>
            </w:r>
          </w:p>
        </w:tc>
      </w:tr>
      <w:tr w:rsidR="00846009">
        <w:trPr>
          <w:jc w:val="center"/>
        </w:trPr>
        <w:tc>
          <w:tcPr>
            <w:tcW w:w="1417" w:type="dxa"/>
          </w:tcPr>
          <w:p w:rsidR="00846009" w:rsidRDefault="007B38DC">
            <w:r>
              <w:rPr>
                <w:rFonts w:ascii="楷体" w:eastAsia="楷体" w:hAnsi="楷体"/>
                <w:b/>
              </w:rPr>
              <w:t>2026-04-28</w:t>
            </w:r>
          </w:p>
        </w:tc>
        <w:tc>
          <w:tcPr>
            <w:tcW w:w="1247" w:type="dxa"/>
          </w:tcPr>
          <w:p w:rsidR="00846009" w:rsidRDefault="007B38DC">
            <w:r>
              <w:rPr>
                <w:rFonts w:ascii="楷体" w:eastAsia="楷体" w:hAnsi="楷体"/>
                <w:b/>
              </w:rPr>
              <w:t>日本</w:t>
            </w:r>
          </w:p>
        </w:tc>
        <w:tc>
          <w:tcPr>
            <w:tcW w:w="5953" w:type="dxa"/>
          </w:tcPr>
          <w:p w:rsidR="00846009" w:rsidRDefault="007B38DC">
            <w:r>
              <w:rPr>
                <w:rFonts w:ascii="楷体" w:eastAsia="楷体" w:hAnsi="楷体"/>
                <w:b/>
              </w:rPr>
              <w:t>3</w:t>
            </w:r>
            <w:r>
              <w:rPr>
                <w:rFonts w:ascii="楷体" w:eastAsia="楷体" w:hAnsi="楷体"/>
                <w:b/>
              </w:rPr>
              <w:t>月失业率</w:t>
            </w:r>
            <w:r>
              <w:rPr>
                <w:rFonts w:ascii="楷体" w:eastAsia="楷体" w:hAnsi="楷体"/>
                <w:b/>
              </w:rPr>
              <w:t>:</w:t>
            </w:r>
            <w:r>
              <w:rPr>
                <w:rFonts w:ascii="楷体" w:eastAsia="楷体" w:hAnsi="楷体"/>
                <w:b/>
              </w:rPr>
              <w:t>季调</w:t>
            </w:r>
            <w:r>
              <w:rPr>
                <w:rFonts w:ascii="楷体" w:eastAsia="楷体" w:hAnsi="楷体"/>
                <w:b/>
              </w:rPr>
              <w:t>(%)</w:t>
            </w:r>
          </w:p>
        </w:tc>
      </w:tr>
      <w:tr w:rsidR="00846009">
        <w:trPr>
          <w:jc w:val="center"/>
        </w:trPr>
        <w:tc>
          <w:tcPr>
            <w:tcW w:w="1417" w:type="dxa"/>
          </w:tcPr>
          <w:p w:rsidR="00846009" w:rsidRDefault="007B38DC">
            <w:r>
              <w:rPr>
                <w:rFonts w:ascii="楷体" w:eastAsia="楷体" w:hAnsi="楷体"/>
                <w:b/>
              </w:rPr>
              <w:t>2026-04-28</w:t>
            </w:r>
          </w:p>
        </w:tc>
        <w:tc>
          <w:tcPr>
            <w:tcW w:w="1247" w:type="dxa"/>
          </w:tcPr>
          <w:p w:rsidR="00846009" w:rsidRDefault="007B38DC">
            <w:r>
              <w:rPr>
                <w:rFonts w:ascii="楷体" w:eastAsia="楷体" w:hAnsi="楷体"/>
                <w:b/>
              </w:rPr>
              <w:t>日本</w:t>
            </w:r>
          </w:p>
        </w:tc>
        <w:tc>
          <w:tcPr>
            <w:tcW w:w="5953" w:type="dxa"/>
          </w:tcPr>
          <w:p w:rsidR="00846009" w:rsidRDefault="007B38DC">
            <w:pPr>
              <w:rPr>
                <w:lang w:eastAsia="zh-CN"/>
              </w:rPr>
            </w:pPr>
            <w:r>
              <w:rPr>
                <w:rFonts w:ascii="楷体" w:eastAsia="楷体" w:hAnsi="楷体"/>
                <w:b/>
                <w:lang w:eastAsia="zh-CN"/>
              </w:rPr>
              <w:t>3</w:t>
            </w:r>
            <w:r>
              <w:rPr>
                <w:rFonts w:ascii="楷体" w:eastAsia="楷体" w:hAnsi="楷体"/>
                <w:b/>
                <w:lang w:eastAsia="zh-CN"/>
              </w:rPr>
              <w:t>月有效求人倍率</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proofErr w:type="gramStart"/>
            <w:r>
              <w:rPr>
                <w:rFonts w:ascii="楷体" w:eastAsia="楷体" w:hAnsi="楷体"/>
                <w:b/>
                <w:lang w:eastAsia="zh-CN"/>
              </w:rPr>
              <w:t>倍</w:t>
            </w:r>
            <w:proofErr w:type="gramEnd"/>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r>
              <w:rPr>
                <w:rFonts w:ascii="楷体" w:eastAsia="楷体" w:hAnsi="楷体"/>
                <w:b/>
              </w:rPr>
              <w:t>联邦基金目标利率</w:t>
            </w:r>
            <w:r>
              <w:rPr>
                <w:rFonts w:ascii="楷体" w:eastAsia="楷体" w:hAnsi="楷体"/>
                <w:b/>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中国</w:t>
            </w:r>
          </w:p>
        </w:tc>
        <w:tc>
          <w:tcPr>
            <w:tcW w:w="5953" w:type="dxa"/>
          </w:tcPr>
          <w:p w:rsidR="00846009" w:rsidRDefault="007B38DC">
            <w:r>
              <w:rPr>
                <w:rFonts w:ascii="楷体" w:eastAsia="楷体" w:hAnsi="楷体"/>
                <w:b/>
              </w:rPr>
              <w:t>4</w:t>
            </w:r>
            <w:r>
              <w:rPr>
                <w:rFonts w:ascii="楷体" w:eastAsia="楷体" w:hAnsi="楷体"/>
                <w:b/>
              </w:rPr>
              <w:t>月官方制造业</w:t>
            </w:r>
            <w:r>
              <w:rPr>
                <w:rFonts w:ascii="楷体" w:eastAsia="楷体" w:hAnsi="楷体"/>
                <w:b/>
              </w:rPr>
              <w:t>PMI(%)</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:CPI:</w:t>
            </w:r>
            <w:r>
              <w:rPr>
                <w:rFonts w:ascii="楷体" w:eastAsia="楷体" w:hAnsi="楷体"/>
                <w:b/>
                <w:lang w:eastAsia="zh-CN"/>
              </w:rPr>
              <w:t>环比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:CPI:</w:t>
            </w:r>
            <w:r>
              <w:rPr>
                <w:rFonts w:ascii="楷体" w:eastAsia="楷体" w:hAnsi="楷体"/>
                <w:b/>
                <w:lang w:eastAsia="zh-CN"/>
              </w:rPr>
              <w:t>同比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核心</w:t>
            </w:r>
            <w:r>
              <w:rPr>
                <w:rFonts w:ascii="楷体" w:eastAsia="楷体" w:hAnsi="楷体"/>
                <w:b/>
                <w:lang w:eastAsia="zh-CN"/>
              </w:rPr>
              <w:t>CPI:</w:t>
            </w:r>
            <w:r>
              <w:rPr>
                <w:rFonts w:ascii="楷体" w:eastAsia="楷体" w:hAnsi="楷体"/>
                <w:b/>
                <w:lang w:eastAsia="zh-CN"/>
              </w:rPr>
              <w:t>同比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第一季度欧盟</w:t>
            </w:r>
            <w:r>
              <w:rPr>
                <w:rFonts w:ascii="楷体" w:eastAsia="楷体" w:hAnsi="楷体"/>
                <w:b/>
                <w:lang w:eastAsia="zh-CN"/>
              </w:rPr>
              <w:t>:</w:t>
            </w:r>
            <w:r>
              <w:rPr>
                <w:rFonts w:ascii="楷体" w:eastAsia="楷体" w:hAnsi="楷体"/>
                <w:b/>
                <w:lang w:eastAsia="zh-CN"/>
              </w:rPr>
              <w:t>实际</w:t>
            </w:r>
            <w:r>
              <w:rPr>
                <w:rFonts w:ascii="楷体" w:eastAsia="楷体" w:hAnsi="楷体"/>
                <w:b/>
                <w:lang w:eastAsia="zh-CN"/>
              </w:rPr>
              <w:t>GDP:</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同比</w:t>
            </w:r>
            <w:r>
              <w:rPr>
                <w:rFonts w:ascii="楷体" w:eastAsia="楷体" w:hAnsi="楷体"/>
                <w:b/>
                <w:lang w:eastAsia="zh-CN"/>
              </w:rPr>
              <w:t>(</w:t>
            </w:r>
            <w:r>
              <w:rPr>
                <w:rFonts w:ascii="楷体" w:eastAsia="楷体" w:hAnsi="楷体"/>
                <w:b/>
                <w:lang w:eastAsia="zh-CN"/>
              </w:rPr>
              <w:t>终值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第一季度欧元区</w:t>
            </w:r>
            <w:r>
              <w:rPr>
                <w:rFonts w:ascii="楷体" w:eastAsia="楷体" w:hAnsi="楷体"/>
                <w:b/>
                <w:lang w:eastAsia="zh-CN"/>
              </w:rPr>
              <w:t>:</w:t>
            </w:r>
            <w:r>
              <w:rPr>
                <w:rFonts w:ascii="楷体" w:eastAsia="楷体" w:hAnsi="楷体"/>
                <w:b/>
                <w:lang w:eastAsia="zh-CN"/>
              </w:rPr>
              <w:t>实际</w:t>
            </w:r>
            <w:r>
              <w:rPr>
                <w:rFonts w:ascii="楷体" w:eastAsia="楷体" w:hAnsi="楷体"/>
                <w:b/>
                <w:lang w:eastAsia="zh-CN"/>
              </w:rPr>
              <w:t>GDP:</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环比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第一季度欧元区</w:t>
            </w:r>
            <w:r>
              <w:rPr>
                <w:rFonts w:ascii="楷体" w:eastAsia="楷体" w:hAnsi="楷体"/>
                <w:b/>
                <w:lang w:eastAsia="zh-CN"/>
              </w:rPr>
              <w:t>:</w:t>
            </w:r>
            <w:r>
              <w:rPr>
                <w:rFonts w:ascii="楷体" w:eastAsia="楷体" w:hAnsi="楷体"/>
                <w:b/>
                <w:lang w:eastAsia="zh-CN"/>
              </w:rPr>
              <w:t>实际</w:t>
            </w:r>
            <w:r>
              <w:rPr>
                <w:rFonts w:ascii="楷体" w:eastAsia="楷体" w:hAnsi="楷体"/>
                <w:b/>
                <w:lang w:eastAsia="zh-CN"/>
              </w:rPr>
              <w:t>GDP:</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同比</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r>
              <w:rPr>
                <w:rFonts w:ascii="楷体" w:eastAsia="楷体" w:hAnsi="楷体"/>
                <w:b/>
              </w:rPr>
              <w:t>3</w:t>
            </w:r>
            <w:r>
              <w:rPr>
                <w:rFonts w:ascii="楷体" w:eastAsia="楷体" w:hAnsi="楷体"/>
                <w:b/>
              </w:rPr>
              <w:t>月欧盟</w:t>
            </w:r>
            <w:r>
              <w:rPr>
                <w:rFonts w:ascii="楷体" w:eastAsia="楷体" w:hAnsi="楷体"/>
                <w:b/>
              </w:rPr>
              <w:t>:</w:t>
            </w:r>
            <w:r>
              <w:rPr>
                <w:rFonts w:ascii="楷体" w:eastAsia="楷体" w:hAnsi="楷体"/>
                <w:b/>
              </w:rPr>
              <w:t>失业率</w:t>
            </w:r>
            <w:r>
              <w:rPr>
                <w:rFonts w:ascii="楷体" w:eastAsia="楷体" w:hAnsi="楷体"/>
                <w:b/>
              </w:rPr>
              <w:t>:</w:t>
            </w:r>
            <w:r>
              <w:rPr>
                <w:rFonts w:ascii="楷体" w:eastAsia="楷体" w:hAnsi="楷体"/>
                <w:b/>
              </w:rPr>
              <w:t>季调</w:t>
            </w:r>
            <w:r>
              <w:rPr>
                <w:rFonts w:ascii="楷体" w:eastAsia="楷体" w:hAnsi="楷体"/>
                <w:b/>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r>
              <w:rPr>
                <w:rFonts w:ascii="楷体" w:eastAsia="楷体" w:hAnsi="楷体"/>
                <w:b/>
              </w:rPr>
              <w:t>3</w:t>
            </w:r>
            <w:r>
              <w:rPr>
                <w:rFonts w:ascii="楷体" w:eastAsia="楷体" w:hAnsi="楷体"/>
                <w:b/>
              </w:rPr>
              <w:t>月欧元区</w:t>
            </w:r>
            <w:r>
              <w:rPr>
                <w:rFonts w:ascii="楷体" w:eastAsia="楷体" w:hAnsi="楷体"/>
                <w:b/>
              </w:rPr>
              <w:t>:</w:t>
            </w:r>
            <w:r>
              <w:rPr>
                <w:rFonts w:ascii="楷体" w:eastAsia="楷体" w:hAnsi="楷体"/>
                <w:b/>
              </w:rPr>
              <w:t>失业率</w:t>
            </w:r>
            <w:r>
              <w:rPr>
                <w:rFonts w:ascii="楷体" w:eastAsia="楷体" w:hAnsi="楷体"/>
                <w:b/>
              </w:rPr>
              <w:t>:</w:t>
            </w:r>
            <w:r>
              <w:rPr>
                <w:rFonts w:ascii="楷体" w:eastAsia="楷体" w:hAnsi="楷体"/>
                <w:b/>
              </w:rPr>
              <w:t>季调</w:t>
            </w:r>
            <w:r>
              <w:rPr>
                <w:rFonts w:ascii="楷体" w:eastAsia="楷体" w:hAnsi="楷体"/>
                <w:b/>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基准利率</w:t>
            </w:r>
            <w:r>
              <w:rPr>
                <w:rFonts w:ascii="楷体" w:eastAsia="楷体" w:hAnsi="楷体"/>
                <w:b/>
                <w:lang w:eastAsia="zh-CN"/>
              </w:rPr>
              <w:t>(</w:t>
            </w:r>
            <w:r>
              <w:rPr>
                <w:rFonts w:ascii="楷体" w:eastAsia="楷体" w:hAnsi="楷体"/>
                <w:b/>
                <w:lang w:eastAsia="zh-CN"/>
              </w:rPr>
              <w:t>主要再融资利率</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存款便利利率</w:t>
            </w:r>
            <w:r>
              <w:rPr>
                <w:rFonts w:ascii="楷体" w:eastAsia="楷体" w:hAnsi="楷体"/>
                <w:b/>
                <w:lang w:eastAsia="zh-CN"/>
              </w:rPr>
              <w:t>(</w:t>
            </w:r>
            <w:r>
              <w:rPr>
                <w:rFonts w:ascii="楷体" w:eastAsia="楷体" w:hAnsi="楷体"/>
                <w:b/>
                <w:lang w:eastAsia="zh-CN"/>
              </w:rPr>
              <w:t>隔夜存款利率</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欧盟</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月欧元区</w:t>
            </w:r>
            <w:r>
              <w:rPr>
                <w:rFonts w:ascii="楷体" w:eastAsia="楷体" w:hAnsi="楷体"/>
                <w:b/>
                <w:lang w:eastAsia="zh-CN"/>
              </w:rPr>
              <w:t>:</w:t>
            </w:r>
            <w:r>
              <w:rPr>
                <w:rFonts w:ascii="楷体" w:eastAsia="楷体" w:hAnsi="楷体"/>
                <w:b/>
                <w:lang w:eastAsia="zh-CN"/>
              </w:rPr>
              <w:t>边际贷款便利利率</w:t>
            </w:r>
            <w:r>
              <w:rPr>
                <w:rFonts w:ascii="楷体" w:eastAsia="楷体" w:hAnsi="楷体"/>
                <w:b/>
                <w:lang w:eastAsia="zh-CN"/>
              </w:rPr>
              <w:t>(</w:t>
            </w:r>
            <w:r>
              <w:rPr>
                <w:rFonts w:ascii="楷体" w:eastAsia="楷体" w:hAnsi="楷体"/>
                <w:b/>
                <w:lang w:eastAsia="zh-CN"/>
              </w:rPr>
              <w:t>隔夜贷款利率</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4</w:t>
            </w:r>
            <w:r>
              <w:rPr>
                <w:rFonts w:ascii="楷体" w:eastAsia="楷体" w:hAnsi="楷体"/>
                <w:b/>
                <w:lang w:eastAsia="zh-CN"/>
              </w:rPr>
              <w:t>月</w:t>
            </w:r>
            <w:r>
              <w:rPr>
                <w:rFonts w:ascii="楷体" w:eastAsia="楷体" w:hAnsi="楷体"/>
                <w:b/>
                <w:lang w:eastAsia="zh-CN"/>
              </w:rPr>
              <w:t>25</w:t>
            </w:r>
            <w:r>
              <w:rPr>
                <w:rFonts w:ascii="楷体" w:eastAsia="楷体" w:hAnsi="楷体"/>
                <w:b/>
                <w:lang w:eastAsia="zh-CN"/>
              </w:rPr>
              <w:t>日初请失业</w:t>
            </w:r>
            <w:proofErr w:type="gramStart"/>
            <w:r>
              <w:rPr>
                <w:rFonts w:ascii="楷体" w:eastAsia="楷体" w:hAnsi="楷体"/>
                <w:b/>
                <w:lang w:eastAsia="zh-CN"/>
              </w:rPr>
              <w:t>金人数</w:t>
            </w:r>
            <w:proofErr w:type="gramEnd"/>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人</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第一季度实际</w:t>
            </w:r>
            <w:r>
              <w:rPr>
                <w:rFonts w:ascii="楷体" w:eastAsia="楷体" w:hAnsi="楷体"/>
                <w:b/>
                <w:lang w:eastAsia="zh-CN"/>
              </w:rPr>
              <w:t>GDP:</w:t>
            </w:r>
            <w:proofErr w:type="gramStart"/>
            <w:r>
              <w:rPr>
                <w:rFonts w:ascii="楷体" w:eastAsia="楷体" w:hAnsi="楷体"/>
                <w:b/>
                <w:lang w:eastAsia="zh-CN"/>
              </w:rPr>
              <w:t>季调</w:t>
            </w:r>
            <w:proofErr w:type="gramEnd"/>
            <w:r>
              <w:rPr>
                <w:rFonts w:ascii="楷体" w:eastAsia="楷体" w:hAnsi="楷体"/>
                <w:b/>
                <w:lang w:eastAsia="zh-CN"/>
              </w:rPr>
              <w:t>:</w:t>
            </w:r>
            <w:proofErr w:type="gramStart"/>
            <w:r>
              <w:rPr>
                <w:rFonts w:ascii="楷体" w:eastAsia="楷体" w:hAnsi="楷体"/>
                <w:b/>
                <w:lang w:eastAsia="zh-CN"/>
              </w:rPr>
              <w:t>环比折年率</w:t>
            </w:r>
            <w:proofErr w:type="gramEnd"/>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w:t>
            </w:r>
            <w:r>
              <w:rPr>
                <w:rFonts w:ascii="楷体" w:eastAsia="楷体" w:hAnsi="楷体"/>
                <w:b/>
                <w:lang w:eastAsia="zh-CN"/>
              </w:rPr>
              <w:t>GDP</w:t>
            </w:r>
            <w:r>
              <w:rPr>
                <w:rFonts w:ascii="楷体" w:eastAsia="楷体" w:hAnsi="楷体"/>
                <w:b/>
                <w:lang w:eastAsia="zh-CN"/>
              </w:rPr>
              <w:t>价格指数</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(2017</w:t>
            </w:r>
            <w:r>
              <w:rPr>
                <w:rFonts w:ascii="楷体" w:eastAsia="楷体" w:hAnsi="楷体"/>
                <w:b/>
                <w:lang w:eastAsia="zh-CN"/>
              </w:rPr>
              <w:t>年</w:t>
            </w:r>
            <w:r>
              <w:rPr>
                <w:rFonts w:ascii="楷体" w:eastAsia="楷体" w:hAnsi="楷体"/>
                <w:b/>
                <w:lang w:eastAsia="zh-CN"/>
              </w:rPr>
              <w:t>=100)</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w:t>
            </w:r>
            <w:r>
              <w:rPr>
                <w:rFonts w:ascii="楷体" w:eastAsia="楷体" w:hAnsi="楷体"/>
                <w:b/>
                <w:lang w:eastAsia="zh-CN"/>
              </w:rPr>
              <w:t>GDP:</w:t>
            </w:r>
            <w:r>
              <w:rPr>
                <w:rFonts w:ascii="楷体" w:eastAsia="楷体" w:hAnsi="楷体"/>
                <w:b/>
                <w:lang w:eastAsia="zh-CN"/>
              </w:rPr>
              <w:t>现价</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折年数</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r>
              <w:rPr>
                <w:rFonts w:ascii="楷体" w:eastAsia="楷体" w:hAnsi="楷体"/>
                <w:b/>
                <w:lang w:eastAsia="zh-CN"/>
              </w:rPr>
              <w:t>十亿美元</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第一季度实际</w:t>
            </w:r>
            <w:r>
              <w:rPr>
                <w:rFonts w:ascii="楷体" w:eastAsia="楷体" w:hAnsi="楷体"/>
                <w:b/>
                <w:lang w:eastAsia="zh-CN"/>
              </w:rPr>
              <w:t>GDP:</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折年数</w:t>
            </w:r>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r>
              <w:rPr>
                <w:rFonts w:ascii="楷体" w:eastAsia="楷体" w:hAnsi="楷体"/>
                <w:b/>
                <w:lang w:eastAsia="zh-CN"/>
              </w:rPr>
              <w:t>十亿美元</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w:t>
            </w:r>
            <w:r>
              <w:rPr>
                <w:rFonts w:ascii="楷体" w:eastAsia="楷体" w:hAnsi="楷体"/>
                <w:b/>
                <w:lang w:eastAsia="zh-CN"/>
              </w:rPr>
              <w:t>GDP:</w:t>
            </w:r>
            <w:r>
              <w:rPr>
                <w:rFonts w:ascii="楷体" w:eastAsia="楷体" w:hAnsi="楷体"/>
                <w:b/>
                <w:lang w:eastAsia="zh-CN"/>
              </w:rPr>
              <w:t>现价</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proofErr w:type="gramStart"/>
            <w:r>
              <w:rPr>
                <w:rFonts w:ascii="楷体" w:eastAsia="楷体" w:hAnsi="楷体"/>
                <w:b/>
                <w:lang w:eastAsia="zh-CN"/>
              </w:rPr>
              <w:t>环比折年率</w:t>
            </w:r>
            <w:proofErr w:type="gramEnd"/>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w:t>
            </w:r>
            <w:r>
              <w:rPr>
                <w:rFonts w:ascii="楷体" w:eastAsia="楷体" w:hAnsi="楷体"/>
                <w:b/>
                <w:lang w:eastAsia="zh-CN"/>
              </w:rPr>
              <w:t>PCE</w:t>
            </w:r>
            <w:r>
              <w:rPr>
                <w:rFonts w:ascii="楷体" w:eastAsia="楷体" w:hAnsi="楷体"/>
                <w:b/>
                <w:lang w:eastAsia="zh-CN"/>
              </w:rPr>
              <w:t>价格指数</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)(2017</w:t>
            </w:r>
            <w:r>
              <w:rPr>
                <w:rFonts w:ascii="楷体" w:eastAsia="楷体" w:hAnsi="楷体"/>
                <w:b/>
                <w:lang w:eastAsia="zh-CN"/>
              </w:rPr>
              <w:t>年</w:t>
            </w:r>
            <w:r>
              <w:rPr>
                <w:rFonts w:ascii="楷体" w:eastAsia="楷体" w:hAnsi="楷体"/>
                <w:b/>
                <w:lang w:eastAsia="zh-CN"/>
              </w:rPr>
              <w:t>=100)</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第一季度核心</w:t>
            </w:r>
            <w:r>
              <w:rPr>
                <w:rFonts w:ascii="楷体" w:eastAsia="楷体" w:hAnsi="楷体"/>
                <w:b/>
                <w:lang w:eastAsia="zh-CN"/>
              </w:rPr>
              <w:t>PCE</w:t>
            </w:r>
            <w:r>
              <w:rPr>
                <w:rFonts w:ascii="楷体" w:eastAsia="楷体" w:hAnsi="楷体"/>
                <w:b/>
                <w:lang w:eastAsia="zh-CN"/>
              </w:rPr>
              <w:t>价格指数</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)(2017</w:t>
            </w:r>
            <w:r>
              <w:rPr>
                <w:rFonts w:ascii="楷体" w:eastAsia="楷体" w:hAnsi="楷体"/>
                <w:b/>
                <w:lang w:eastAsia="zh-CN"/>
              </w:rPr>
              <w:t>年</w:t>
            </w:r>
            <w:r>
              <w:rPr>
                <w:rFonts w:ascii="楷体" w:eastAsia="楷体" w:hAnsi="楷体"/>
                <w:b/>
                <w:lang w:eastAsia="zh-CN"/>
              </w:rPr>
              <w:t>=100)</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第一季度核心</w:t>
            </w:r>
            <w:r>
              <w:rPr>
                <w:rFonts w:ascii="楷体" w:eastAsia="楷体" w:hAnsi="楷体"/>
                <w:b/>
                <w:lang w:eastAsia="zh-CN"/>
              </w:rPr>
              <w:t>PCE</w:t>
            </w:r>
            <w:r>
              <w:rPr>
                <w:rFonts w:ascii="楷体" w:eastAsia="楷体" w:hAnsi="楷体"/>
                <w:b/>
                <w:lang w:eastAsia="zh-CN"/>
              </w:rPr>
              <w:t>价格指数</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proofErr w:type="gramStart"/>
            <w:r>
              <w:rPr>
                <w:rFonts w:ascii="楷体" w:eastAsia="楷体" w:hAnsi="楷体"/>
                <w:b/>
                <w:lang w:eastAsia="zh-CN"/>
              </w:rPr>
              <w:t>环比折年率</w:t>
            </w:r>
            <w:proofErr w:type="gramEnd"/>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第一季度实际个人消费支出</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proofErr w:type="gramStart"/>
            <w:r>
              <w:rPr>
                <w:rFonts w:ascii="楷体" w:eastAsia="楷体" w:hAnsi="楷体"/>
                <w:b/>
                <w:lang w:eastAsia="zh-CN"/>
              </w:rPr>
              <w:t>环比折年率</w:t>
            </w:r>
            <w:proofErr w:type="gramEnd"/>
            <w:r>
              <w:rPr>
                <w:rFonts w:ascii="楷体" w:eastAsia="楷体" w:hAnsi="楷体"/>
                <w:b/>
                <w:lang w:eastAsia="zh-CN"/>
              </w:rPr>
              <w:t>(</w:t>
            </w:r>
            <w:r>
              <w:rPr>
                <w:rFonts w:ascii="楷体" w:eastAsia="楷体" w:hAnsi="楷体"/>
                <w:b/>
                <w:lang w:eastAsia="zh-CN"/>
              </w:rPr>
              <w:t>初值</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3</w:t>
            </w:r>
            <w:r>
              <w:rPr>
                <w:rFonts w:ascii="楷体" w:eastAsia="楷体" w:hAnsi="楷体"/>
                <w:b/>
                <w:lang w:eastAsia="zh-CN"/>
              </w:rPr>
              <w:t>月个人消费支出</w:t>
            </w:r>
            <w:r>
              <w:rPr>
                <w:rFonts w:ascii="楷体" w:eastAsia="楷体" w:hAnsi="楷体"/>
                <w:b/>
                <w:lang w:eastAsia="zh-CN"/>
              </w:rPr>
              <w:t>:</w:t>
            </w:r>
            <w:proofErr w:type="gramStart"/>
            <w:r>
              <w:rPr>
                <w:rFonts w:ascii="楷体" w:eastAsia="楷体" w:hAnsi="楷体"/>
                <w:b/>
                <w:lang w:eastAsia="zh-CN"/>
              </w:rPr>
              <w:t>季调</w:t>
            </w:r>
            <w:proofErr w:type="gramEnd"/>
            <w:r>
              <w:rPr>
                <w:rFonts w:ascii="楷体" w:eastAsia="楷体" w:hAnsi="楷体"/>
                <w:b/>
                <w:lang w:eastAsia="zh-CN"/>
              </w:rPr>
              <w:t>(</w:t>
            </w:r>
            <w:r>
              <w:rPr>
                <w:rFonts w:ascii="楷体" w:eastAsia="楷体" w:hAnsi="楷体"/>
                <w:b/>
                <w:lang w:eastAsia="zh-CN"/>
              </w:rPr>
              <w:t>十亿美元</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3</w:t>
            </w:r>
            <w:r>
              <w:rPr>
                <w:rFonts w:ascii="楷体" w:eastAsia="楷体" w:hAnsi="楷体"/>
                <w:b/>
                <w:lang w:eastAsia="zh-CN"/>
              </w:rPr>
              <w:t>月核心</w:t>
            </w:r>
            <w:r>
              <w:rPr>
                <w:rFonts w:ascii="楷体" w:eastAsia="楷体" w:hAnsi="楷体"/>
                <w:b/>
                <w:lang w:eastAsia="zh-CN"/>
              </w:rPr>
              <w:t>PCE</w:t>
            </w:r>
            <w:r>
              <w:rPr>
                <w:rFonts w:ascii="楷体" w:eastAsia="楷体" w:hAnsi="楷体"/>
                <w:b/>
                <w:lang w:eastAsia="zh-CN"/>
              </w:rPr>
              <w:t>物价指数</w:t>
            </w:r>
            <w:r>
              <w:rPr>
                <w:rFonts w:ascii="楷体" w:eastAsia="楷体" w:hAnsi="楷体"/>
                <w:b/>
                <w:lang w:eastAsia="zh-CN"/>
              </w:rPr>
              <w:t>:</w:t>
            </w:r>
            <w:r>
              <w:rPr>
                <w:rFonts w:ascii="楷体" w:eastAsia="楷体" w:hAnsi="楷体"/>
                <w:b/>
                <w:lang w:eastAsia="zh-CN"/>
              </w:rPr>
              <w:t>环比</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3</w:t>
            </w:r>
            <w:r>
              <w:rPr>
                <w:rFonts w:ascii="楷体" w:eastAsia="楷体" w:hAnsi="楷体"/>
                <w:b/>
                <w:lang w:eastAsia="zh-CN"/>
              </w:rPr>
              <w:t>月</w:t>
            </w:r>
            <w:r>
              <w:rPr>
                <w:rFonts w:ascii="楷体" w:eastAsia="楷体" w:hAnsi="楷体"/>
                <w:b/>
                <w:lang w:eastAsia="zh-CN"/>
              </w:rPr>
              <w:t>PCE</w:t>
            </w:r>
            <w:r>
              <w:rPr>
                <w:rFonts w:ascii="楷体" w:eastAsia="楷体" w:hAnsi="楷体"/>
                <w:b/>
                <w:lang w:eastAsia="zh-CN"/>
              </w:rPr>
              <w:t>物价指数</w:t>
            </w:r>
            <w:r>
              <w:rPr>
                <w:rFonts w:ascii="楷体" w:eastAsia="楷体" w:hAnsi="楷体"/>
                <w:b/>
                <w:lang w:eastAsia="zh-CN"/>
              </w:rPr>
              <w:t>:</w:t>
            </w:r>
            <w:r>
              <w:rPr>
                <w:rFonts w:ascii="楷体" w:eastAsia="楷体" w:hAnsi="楷体"/>
                <w:b/>
                <w:lang w:eastAsia="zh-CN"/>
              </w:rPr>
              <w:t>同比</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3</w:t>
            </w:r>
            <w:r>
              <w:rPr>
                <w:rFonts w:ascii="楷体" w:eastAsia="楷体" w:hAnsi="楷体"/>
                <w:b/>
                <w:lang w:eastAsia="zh-CN"/>
              </w:rPr>
              <w:t>月</w:t>
            </w:r>
            <w:r>
              <w:rPr>
                <w:rFonts w:ascii="楷体" w:eastAsia="楷体" w:hAnsi="楷体"/>
                <w:b/>
                <w:lang w:eastAsia="zh-CN"/>
              </w:rPr>
              <w:t>PCE</w:t>
            </w:r>
            <w:r>
              <w:rPr>
                <w:rFonts w:ascii="楷体" w:eastAsia="楷体" w:hAnsi="楷体"/>
                <w:b/>
                <w:lang w:eastAsia="zh-CN"/>
              </w:rPr>
              <w:t>物价指数</w:t>
            </w:r>
            <w:r>
              <w:rPr>
                <w:rFonts w:ascii="楷体" w:eastAsia="楷体" w:hAnsi="楷体"/>
                <w:b/>
                <w:lang w:eastAsia="zh-CN"/>
              </w:rPr>
              <w:t>:</w:t>
            </w:r>
            <w:r>
              <w:rPr>
                <w:rFonts w:ascii="楷体" w:eastAsia="楷体" w:hAnsi="楷体"/>
                <w:b/>
                <w:lang w:eastAsia="zh-CN"/>
              </w:rPr>
              <w:t>环比</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2026-04-30</w:t>
            </w:r>
          </w:p>
        </w:tc>
        <w:tc>
          <w:tcPr>
            <w:tcW w:w="1247" w:type="dxa"/>
          </w:tcPr>
          <w:p w:rsidR="00846009" w:rsidRDefault="007B38DC">
            <w:r>
              <w:rPr>
                <w:rFonts w:ascii="楷体" w:eastAsia="楷体" w:hAnsi="楷体"/>
                <w:b/>
              </w:rPr>
              <w:t>美国</w:t>
            </w:r>
          </w:p>
        </w:tc>
        <w:tc>
          <w:tcPr>
            <w:tcW w:w="5953" w:type="dxa"/>
          </w:tcPr>
          <w:p w:rsidR="00846009" w:rsidRDefault="007B38DC">
            <w:pPr>
              <w:rPr>
                <w:lang w:eastAsia="zh-CN"/>
              </w:rPr>
            </w:pPr>
            <w:r>
              <w:rPr>
                <w:rFonts w:ascii="楷体" w:eastAsia="楷体" w:hAnsi="楷体"/>
                <w:b/>
                <w:lang w:eastAsia="zh-CN"/>
              </w:rPr>
              <w:t>3</w:t>
            </w:r>
            <w:r>
              <w:rPr>
                <w:rFonts w:ascii="楷体" w:eastAsia="楷体" w:hAnsi="楷体"/>
                <w:b/>
                <w:lang w:eastAsia="zh-CN"/>
              </w:rPr>
              <w:t>月核心</w:t>
            </w:r>
            <w:r>
              <w:rPr>
                <w:rFonts w:ascii="楷体" w:eastAsia="楷体" w:hAnsi="楷体"/>
                <w:b/>
                <w:lang w:eastAsia="zh-CN"/>
              </w:rPr>
              <w:t>PCE</w:t>
            </w:r>
            <w:r>
              <w:rPr>
                <w:rFonts w:ascii="楷体" w:eastAsia="楷体" w:hAnsi="楷体"/>
                <w:b/>
                <w:lang w:eastAsia="zh-CN"/>
              </w:rPr>
              <w:t>物价指数</w:t>
            </w:r>
            <w:r>
              <w:rPr>
                <w:rFonts w:ascii="楷体" w:eastAsia="楷体" w:hAnsi="楷体"/>
                <w:b/>
                <w:lang w:eastAsia="zh-CN"/>
              </w:rPr>
              <w:t>:</w:t>
            </w:r>
            <w:r>
              <w:rPr>
                <w:rFonts w:ascii="楷体" w:eastAsia="楷体" w:hAnsi="楷体"/>
                <w:b/>
                <w:lang w:eastAsia="zh-CN"/>
              </w:rPr>
              <w:t>同比</w:t>
            </w:r>
            <w:r>
              <w:rPr>
                <w:rFonts w:ascii="楷体" w:eastAsia="楷体" w:hAnsi="楷体"/>
                <w:b/>
                <w:lang w:eastAsia="zh-CN"/>
              </w:rPr>
              <w:t>(%)</w:t>
            </w:r>
          </w:p>
        </w:tc>
      </w:tr>
      <w:tr w:rsidR="00846009">
        <w:trPr>
          <w:jc w:val="center"/>
        </w:trPr>
        <w:tc>
          <w:tcPr>
            <w:tcW w:w="1417" w:type="dxa"/>
          </w:tcPr>
          <w:p w:rsidR="00846009" w:rsidRDefault="007B38DC">
            <w:r>
              <w:rPr>
                <w:rFonts w:ascii="楷体" w:eastAsia="楷体" w:hAnsi="楷体"/>
                <w:b/>
              </w:rPr>
              <w:t>2026-05-01</w:t>
            </w:r>
          </w:p>
        </w:tc>
        <w:tc>
          <w:tcPr>
            <w:tcW w:w="1247" w:type="dxa"/>
          </w:tcPr>
          <w:p w:rsidR="00846009" w:rsidRDefault="007B38DC">
            <w:r>
              <w:rPr>
                <w:rFonts w:ascii="楷体" w:eastAsia="楷体" w:hAnsi="楷体"/>
                <w:b/>
              </w:rPr>
              <w:t>美国</w:t>
            </w:r>
          </w:p>
        </w:tc>
        <w:tc>
          <w:tcPr>
            <w:tcW w:w="5953" w:type="dxa"/>
          </w:tcPr>
          <w:p w:rsidR="00846009" w:rsidRDefault="007B38DC">
            <w:r>
              <w:rPr>
                <w:rFonts w:ascii="楷体" w:eastAsia="楷体" w:hAnsi="楷体"/>
                <w:b/>
              </w:rPr>
              <w:t>4</w:t>
            </w:r>
            <w:r>
              <w:rPr>
                <w:rFonts w:ascii="楷体" w:eastAsia="楷体" w:hAnsi="楷体"/>
                <w:b/>
              </w:rPr>
              <w:t>月</w:t>
            </w:r>
            <w:r>
              <w:rPr>
                <w:rFonts w:ascii="楷体" w:eastAsia="楷体" w:hAnsi="楷体"/>
                <w:b/>
              </w:rPr>
              <w:t>ISM</w:t>
            </w:r>
            <w:r>
              <w:rPr>
                <w:rFonts w:ascii="楷体" w:eastAsia="楷体" w:hAnsi="楷体"/>
                <w:b/>
              </w:rPr>
              <w:t>制造业</w:t>
            </w:r>
            <w:r>
              <w:rPr>
                <w:rFonts w:ascii="楷体" w:eastAsia="楷体" w:hAnsi="楷体"/>
                <w:b/>
              </w:rPr>
              <w:t>PMI</w:t>
            </w:r>
          </w:p>
        </w:tc>
      </w:tr>
    </w:tbl>
    <w:p w:rsidR="00846009" w:rsidRDefault="007B38DC">
      <w:pPr>
        <w:pStyle w:val="Source"/>
        <w:rPr>
          <w:lang w:eastAsia="zh-CN"/>
        </w:rPr>
      </w:pPr>
      <w:r>
        <w:rPr>
          <w:lang w:eastAsia="zh-CN"/>
        </w:rPr>
        <w:t>数据来源：</w:t>
      </w:r>
      <w:r>
        <w:rPr>
          <w:lang w:eastAsia="zh-CN"/>
        </w:rPr>
        <w:t>Wind</w:t>
      </w:r>
      <w:r>
        <w:rPr>
          <w:lang w:eastAsia="zh-CN"/>
        </w:rPr>
        <w:t>，华安基金，截至</w:t>
      </w:r>
      <w:r>
        <w:rPr>
          <w:lang w:eastAsia="zh-CN"/>
        </w:rPr>
        <w:t>2026-04-24</w:t>
      </w:r>
    </w:p>
    <w:p w:rsidR="00846009" w:rsidRDefault="00846009">
      <w:pPr>
        <w:spacing w:after="0" w:line="240" w:lineRule="auto"/>
        <w:rPr>
          <w:lang w:eastAsia="zh-CN"/>
        </w:rPr>
      </w:pPr>
    </w:p>
    <w:p w:rsidR="00846009" w:rsidRDefault="007B38DC">
      <w:pPr>
        <w:pStyle w:val="Source"/>
        <w:rPr>
          <w:lang w:eastAsia="zh-CN"/>
        </w:rPr>
      </w:pPr>
      <w:r>
        <w:rPr>
          <w:lang w:eastAsia="zh-CN"/>
        </w:rPr>
        <w:t>风险提示：本报告所载信息或所表达的意见仅为提供参考之目的，并不构成对买入或卖出此报告中所提及的任何证券的建议。</w:t>
      </w:r>
    </w:p>
    <w:p w:rsidR="00846009" w:rsidRDefault="007B38DC">
      <w:pPr>
        <w:pStyle w:val="Source"/>
      </w:pPr>
      <w:r>
        <w:rPr>
          <w:lang w:eastAsia="zh-CN"/>
        </w:rPr>
        <w:t>本报告并非基金宣传推介资料，亦不构成任何法律文件，仅</w:t>
      </w:r>
      <w:proofErr w:type="gramStart"/>
      <w:r>
        <w:rPr>
          <w:lang w:eastAsia="zh-CN"/>
        </w:rPr>
        <w:t>供渠道</w:t>
      </w:r>
      <w:proofErr w:type="gramEnd"/>
      <w:r>
        <w:rPr>
          <w:lang w:eastAsia="zh-CN"/>
        </w:rPr>
        <w:t>交流使用，不得以任何方式提供给任何投资者。本</w:t>
      </w:r>
      <w:proofErr w:type="gramStart"/>
      <w:r>
        <w:rPr>
          <w:lang w:eastAsia="zh-CN"/>
        </w:rPr>
        <w:t>报告非</w:t>
      </w:r>
      <w:proofErr w:type="gramEnd"/>
      <w:r>
        <w:rPr>
          <w:lang w:eastAsia="zh-CN"/>
        </w:rPr>
        <w:t>为对相关证券或市场的完整表述或概括，有关数据仅供参考，本公司不对其中的任何错漏和疏忽承担法律责任。投资</w:t>
      </w:r>
      <w:r>
        <w:rPr>
          <w:lang w:eastAsia="zh-CN"/>
        </w:rPr>
        <w:lastRenderedPageBreak/>
        <w:t>者购买本公司</w:t>
      </w:r>
      <w:r>
        <w:rPr>
          <w:lang w:eastAsia="zh-CN"/>
        </w:rPr>
        <w:t>旗下的产品时，应认真阅读相关法律文件。基金有风险，投资需谨慎。黄金</w:t>
      </w:r>
      <w:r>
        <w:rPr>
          <w:lang w:eastAsia="zh-CN"/>
        </w:rPr>
        <w:t>ETF,</w:t>
      </w:r>
      <w:r>
        <w:rPr>
          <w:lang w:eastAsia="zh-CN"/>
        </w:rPr>
        <w:t>其风险收益特征与国内黄金现货价格的风险收益特征相似</w:t>
      </w:r>
      <w:r>
        <w:rPr>
          <w:lang w:eastAsia="zh-CN"/>
        </w:rPr>
        <w:t>,</w:t>
      </w:r>
      <w:r>
        <w:rPr>
          <w:lang w:eastAsia="zh-CN"/>
        </w:rPr>
        <w:t>不同于股票基金、混合基金、债券基金和货币市场基金。其联接基金主要通过投资目标</w:t>
      </w:r>
      <w:r>
        <w:rPr>
          <w:lang w:eastAsia="zh-CN"/>
        </w:rPr>
        <w:t>ETF</w:t>
      </w:r>
      <w:r>
        <w:rPr>
          <w:lang w:eastAsia="zh-CN"/>
        </w:rPr>
        <w:t>紧密跟踪标的指数的表现。对于境外基金产品，投资者应认真阅读基金招募说明书的风险揭示章节以更好的了解海外资产的投资风险。</w:t>
      </w:r>
      <w:proofErr w:type="spellStart"/>
      <w:r>
        <w:t>基金有风险，投资需谨慎</w:t>
      </w:r>
      <w:proofErr w:type="spellEnd"/>
      <w:r>
        <w:t>。</w:t>
      </w:r>
    </w:p>
    <w:sectPr w:rsidR="00846009" w:rsidSect="00034616">
      <w:headerReference w:type="default" r:id="rId11"/>
      <w:pgSz w:w="12240" w:h="15840"/>
      <w:pgMar w:top="2835" w:right="1797" w:bottom="1440" w:left="1797"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8DC" w:rsidRDefault="007B38DC">
      <w:pPr>
        <w:spacing w:after="0" w:line="240" w:lineRule="auto"/>
      </w:pPr>
      <w:r>
        <w:separator/>
      </w:r>
    </w:p>
  </w:endnote>
  <w:endnote w:type="continuationSeparator" w:id="0">
    <w:p w:rsidR="007B38DC" w:rsidRDefault="007B3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8DC" w:rsidRDefault="007B38DC">
      <w:pPr>
        <w:spacing w:after="0" w:line="240" w:lineRule="auto"/>
      </w:pPr>
      <w:r>
        <w:separator/>
      </w:r>
    </w:p>
  </w:footnote>
  <w:footnote w:type="continuationSeparator" w:id="0">
    <w:p w:rsidR="007B38DC" w:rsidRDefault="007B3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6009" w:rsidRDefault="007B38DC">
    <w:pPr>
      <w:pStyle w:val="a5"/>
      <w:spacing w:after="283"/>
      <w:ind w:left="-1797"/>
    </w:pPr>
    <w:r>
      <w:rPr>
        <w:noProof/>
        <w:lang w:eastAsia="zh-CN"/>
      </w:rPr>
      <w:drawing>
        <wp:inline distT="0" distB="0" distL="0" distR="0">
          <wp:extent cx="7772400" cy="171590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周报页眉.png"/>
                  <pic:cNvPicPr/>
                </pic:nvPicPr>
                <pic:blipFill>
                  <a:blip r:embed="rId1"/>
                  <a:stretch>
                    <a:fillRect/>
                  </a:stretch>
                </pic:blipFill>
                <pic:spPr>
                  <a:xfrm>
                    <a:off x="0" y="0"/>
                    <a:ext cx="7772400" cy="17159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8A4"/>
    <w:rsid w:val="0029639D"/>
    <w:rsid w:val="00326F90"/>
    <w:rsid w:val="00546273"/>
    <w:rsid w:val="007B38DC"/>
    <w:rsid w:val="008460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38EBA8"/>
  <w14:defaultImageDpi w14:val="300"/>
  <w15:docId w15:val="{EC7F2A01-1370-4B93-8BD9-7E163DA3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pPr>
      <w:spacing w:after="0"/>
      <w:ind w:firstLine="420"/>
      <w:jc w:val="both"/>
    </w:pPr>
    <w:rPr>
      <w:rFonts w:ascii="楷体" w:eastAsia="楷体" w:hAnsi="楷体"/>
      <w:b/>
      <w:color w:val="8CCCDC"/>
      <w:sz w:val="32"/>
    </w:rPr>
  </w:style>
  <w:style w:type="paragraph" w:customStyle="1" w:styleId="Sub">
    <w:name w:val="Sub"/>
    <w:pPr>
      <w:spacing w:after="0"/>
      <w:ind w:firstLine="420"/>
      <w:jc w:val="both"/>
    </w:pPr>
    <w:rPr>
      <w:rFonts w:ascii="楷体" w:eastAsia="楷体" w:hAnsi="楷体"/>
      <w:b/>
      <w:color w:val="8CCCDC"/>
      <w:sz w:val="24"/>
    </w:rPr>
  </w:style>
  <w:style w:type="paragraph" w:customStyle="1" w:styleId="Para">
    <w:name w:val="Para"/>
    <w:pPr>
      <w:spacing w:after="0"/>
      <w:ind w:firstLine="420"/>
      <w:jc w:val="both"/>
    </w:pPr>
    <w:rPr>
      <w:rFonts w:ascii="楷体" w:eastAsia="楷体" w:hAnsi="楷体"/>
      <w:color w:val="000000"/>
    </w:rPr>
  </w:style>
  <w:style w:type="paragraph" w:customStyle="1" w:styleId="Cap">
    <w:name w:val="Cap"/>
    <w:pPr>
      <w:spacing w:after="0"/>
      <w:ind w:firstLine="420"/>
      <w:jc w:val="both"/>
    </w:pPr>
    <w:rPr>
      <w:rFonts w:ascii="楷体" w:eastAsia="楷体" w:hAnsi="楷体"/>
      <w:b/>
      <w:color w:val="000000"/>
    </w:rPr>
  </w:style>
  <w:style w:type="paragraph" w:customStyle="1" w:styleId="Source">
    <w:name w:val="Source"/>
    <w:pPr>
      <w:spacing w:after="0"/>
      <w:ind w:firstLine="420"/>
      <w:jc w:val="both"/>
    </w:pPr>
    <w:rPr>
      <w:rFonts w:ascii="楷体" w:eastAsia="楷体" w:hAnsi="楷体"/>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rojects\&#21608;&#25253;\&#25968;&#25454;\&#21608;&#25253;&#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申万一级行业指数!$M$1</c:f>
              <c:strCache>
                <c:ptCount val="1"/>
                <c:pt idx="0">
                  <c:v>周涨跌幅</c:v>
                </c:pt>
              </c:strCache>
            </c:strRef>
          </c:tx>
          <c:spPr>
            <a:solidFill>
              <a:schemeClr val="accent1"/>
            </a:solidFill>
            <a:ln>
              <a:noFill/>
            </a:ln>
            <a:effectLst/>
          </c:spPr>
          <c:invertIfNegative val="0"/>
          <c:cat>
            <c:strRef>
              <c:f>申万一级行业指数!$L$2:$L$32</c:f>
              <c:strCache>
                <c:ptCount val="31"/>
                <c:pt idx="0">
                  <c:v>煤炭</c:v>
                </c:pt>
                <c:pt idx="1">
                  <c:v>电子</c:v>
                </c:pt>
                <c:pt idx="2">
                  <c:v>石油石化</c:v>
                </c:pt>
                <c:pt idx="3">
                  <c:v>公用事业</c:v>
                </c:pt>
                <c:pt idx="4">
                  <c:v>食品饮料</c:v>
                </c:pt>
                <c:pt idx="5">
                  <c:v>美容护理</c:v>
                </c:pt>
                <c:pt idx="6">
                  <c:v>国防军工</c:v>
                </c:pt>
                <c:pt idx="7">
                  <c:v>基础化工</c:v>
                </c:pt>
                <c:pt idx="8">
                  <c:v>家用电器</c:v>
                </c:pt>
                <c:pt idx="9">
                  <c:v>银行</c:v>
                </c:pt>
                <c:pt idx="10">
                  <c:v>电力设备</c:v>
                </c:pt>
                <c:pt idx="11">
                  <c:v>纺织服饰</c:v>
                </c:pt>
                <c:pt idx="12">
                  <c:v>环保</c:v>
                </c:pt>
                <c:pt idx="13">
                  <c:v>通信</c:v>
                </c:pt>
                <c:pt idx="14">
                  <c:v>计算机</c:v>
                </c:pt>
                <c:pt idx="15">
                  <c:v>轻工制造</c:v>
                </c:pt>
                <c:pt idx="16">
                  <c:v>建筑材料</c:v>
                </c:pt>
                <c:pt idx="17">
                  <c:v>商贸零售</c:v>
                </c:pt>
                <c:pt idx="18">
                  <c:v>交通运输</c:v>
                </c:pt>
                <c:pt idx="19">
                  <c:v>房地产</c:v>
                </c:pt>
                <c:pt idx="20">
                  <c:v>机械设备</c:v>
                </c:pt>
                <c:pt idx="21">
                  <c:v>汽车</c:v>
                </c:pt>
                <c:pt idx="22">
                  <c:v>医药生物</c:v>
                </c:pt>
                <c:pt idx="23">
                  <c:v>建筑装饰</c:v>
                </c:pt>
                <c:pt idx="24">
                  <c:v>非银金融</c:v>
                </c:pt>
                <c:pt idx="25">
                  <c:v>有色金属</c:v>
                </c:pt>
                <c:pt idx="26">
                  <c:v>社会服务</c:v>
                </c:pt>
                <c:pt idx="27">
                  <c:v>钢铁</c:v>
                </c:pt>
                <c:pt idx="28">
                  <c:v>传媒</c:v>
                </c:pt>
                <c:pt idx="29">
                  <c:v>综合</c:v>
                </c:pt>
                <c:pt idx="30">
                  <c:v>农林牧渔</c:v>
                </c:pt>
              </c:strCache>
            </c:strRef>
          </c:cat>
          <c:val>
            <c:numRef>
              <c:f>申万一级行业指数!$M$2:$M$32</c:f>
              <c:numCache>
                <c:formatCode>0.00%</c:formatCode>
                <c:ptCount val="31"/>
                <c:pt idx="0">
                  <c:v>3.9312997726947518E-2</c:v>
                </c:pt>
                <c:pt idx="1">
                  <c:v>3.105590558629534E-2</c:v>
                </c:pt>
                <c:pt idx="2">
                  <c:v>2.6579110012360907E-2</c:v>
                </c:pt>
                <c:pt idx="3">
                  <c:v>2.3440386036202687E-2</c:v>
                </c:pt>
                <c:pt idx="4">
                  <c:v>1.7984272216396091E-2</c:v>
                </c:pt>
                <c:pt idx="5">
                  <c:v>1.414429429127928E-2</c:v>
                </c:pt>
                <c:pt idx="6">
                  <c:v>1.3114391440752993E-2</c:v>
                </c:pt>
                <c:pt idx="7">
                  <c:v>1.2215095330723402E-2</c:v>
                </c:pt>
                <c:pt idx="8">
                  <c:v>1.0311198163428292E-2</c:v>
                </c:pt>
                <c:pt idx="9">
                  <c:v>8.3395113019508749E-3</c:v>
                </c:pt>
                <c:pt idx="10">
                  <c:v>2.851179975771112E-3</c:v>
                </c:pt>
                <c:pt idx="11">
                  <c:v>1.6165437904800406E-3</c:v>
                </c:pt>
                <c:pt idx="12">
                  <c:v>-3.845188167792557E-4</c:v>
                </c:pt>
                <c:pt idx="13">
                  <c:v>-8.8336721384019157E-4</c:v>
                </c:pt>
                <c:pt idx="14">
                  <c:v>-2.6915405690850491E-3</c:v>
                </c:pt>
                <c:pt idx="15">
                  <c:v>-3.832476478836111E-3</c:v>
                </c:pt>
                <c:pt idx="16">
                  <c:v>-6.7304402893998416E-3</c:v>
                </c:pt>
                <c:pt idx="17">
                  <c:v>-8.0939154381216571E-3</c:v>
                </c:pt>
                <c:pt idx="18">
                  <c:v>-8.7836689418268055E-3</c:v>
                </c:pt>
                <c:pt idx="19">
                  <c:v>-9.8260700922865318E-3</c:v>
                </c:pt>
                <c:pt idx="20">
                  <c:v>-1.0821080526585702E-2</c:v>
                </c:pt>
                <c:pt idx="21">
                  <c:v>-1.1612468094112538E-2</c:v>
                </c:pt>
                <c:pt idx="22">
                  <c:v>-1.247585694836717E-2</c:v>
                </c:pt>
                <c:pt idx="23">
                  <c:v>-1.3418161805173412E-2</c:v>
                </c:pt>
                <c:pt idx="24">
                  <c:v>-1.3921553500776951E-2</c:v>
                </c:pt>
                <c:pt idx="25">
                  <c:v>-1.4222921584054582E-2</c:v>
                </c:pt>
                <c:pt idx="26">
                  <c:v>-1.7303857593520933E-2</c:v>
                </c:pt>
                <c:pt idx="27">
                  <c:v>-2.1597314609063223E-2</c:v>
                </c:pt>
                <c:pt idx="28">
                  <c:v>-2.6922983153326641E-2</c:v>
                </c:pt>
                <c:pt idx="29">
                  <c:v>-2.9966611018363842E-2</c:v>
                </c:pt>
                <c:pt idx="30">
                  <c:v>-3.1502524592563197E-2</c:v>
                </c:pt>
              </c:numCache>
            </c:numRef>
          </c:val>
          <c:extLst>
            <c:ext xmlns:c16="http://schemas.microsoft.com/office/drawing/2014/chart" uri="{C3380CC4-5D6E-409C-BE32-E72D297353CC}">
              <c16:uniqueId val="{00000000-31B7-4D40-92F9-CDB03582DE92}"/>
            </c:ext>
          </c:extLst>
        </c:ser>
        <c:dLbls>
          <c:showLegendKey val="0"/>
          <c:showVal val="0"/>
          <c:showCatName val="0"/>
          <c:showSerName val="0"/>
          <c:showPercent val="0"/>
          <c:showBubbleSize val="0"/>
        </c:dLbls>
        <c:gapWidth val="219"/>
        <c:overlap val="-27"/>
        <c:axId val="937073416"/>
        <c:axId val="937066856"/>
      </c:barChart>
      <c:catAx>
        <c:axId val="9370734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vert="eaVert" wrap="square" anchor="ctr" anchorCtr="1"/>
          <a:lstStyle/>
          <a:p>
            <a:pPr>
              <a:defRPr lang="zh-CN" sz="900" b="0" i="0" u="none" strike="noStrike" kern="1200" baseline="0">
                <a:solidFill>
                  <a:schemeClr val="tx1"/>
                </a:solidFill>
                <a:latin typeface="+mn-lt"/>
                <a:ea typeface="+mn-ea"/>
                <a:cs typeface="+mn-cs"/>
              </a:defRPr>
            </a:pPr>
            <a:endParaRPr lang="zh-CN"/>
          </a:p>
        </c:txPr>
        <c:crossAx val="937066856"/>
        <c:crosses val="autoZero"/>
        <c:auto val="1"/>
        <c:lblAlgn val="ctr"/>
        <c:lblOffset val="100"/>
        <c:noMultiLvlLbl val="0"/>
      </c:catAx>
      <c:valAx>
        <c:axId val="937066856"/>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93707341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lang="zh-CN" sz="900">
          <a:solidFill>
            <a:schemeClr val="tx1"/>
          </a:solidFill>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自定义 1">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3207A-E949-4A85-80C7-8805997A1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黄泳嘉</cp:lastModifiedBy>
  <cp:revision>3</cp:revision>
  <dcterms:created xsi:type="dcterms:W3CDTF">2013-12-23T23:15:00Z</dcterms:created>
  <dcterms:modified xsi:type="dcterms:W3CDTF">2026-04-24T08:52:00Z</dcterms:modified>
  <cp:category/>
</cp:coreProperties>
</file>