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37C0" w:rsidRDefault="001B7363">
      <w:pPr>
        <w:pStyle w:val="Head"/>
        <w:rPr>
          <w:lang w:eastAsia="zh-CN"/>
        </w:rPr>
      </w:pPr>
      <w:r>
        <w:rPr>
          <w:lang w:eastAsia="zh-CN"/>
        </w:rPr>
        <w:t>■ A股市场回顾</w:t>
      </w:r>
    </w:p>
    <w:p w:rsidR="006E37C0" w:rsidRDefault="007D0CAE">
      <w:pPr>
        <w:pStyle w:val="Para"/>
        <w:rPr>
          <w:lang w:eastAsia="zh-CN"/>
        </w:rPr>
      </w:pPr>
      <w:r>
        <w:rPr>
          <w:noProof/>
          <w:lang w:eastAsia="zh-CN"/>
        </w:rPr>
        <w:drawing>
          <wp:anchor distT="0" distB="0" distL="114300" distR="114300" simplePos="0" relativeHeight="251657216" behindDoc="0" locked="0" layoutInCell="1" allowOverlap="1" wp14:anchorId="700596AF" wp14:editId="2172A02D">
            <wp:simplePos x="0" y="0"/>
            <wp:positionH relativeFrom="column">
              <wp:posOffset>1905</wp:posOffset>
            </wp:positionH>
            <wp:positionV relativeFrom="paragraph">
              <wp:posOffset>1670050</wp:posOffset>
            </wp:positionV>
            <wp:extent cx="5490210" cy="1798320"/>
            <wp:effectExtent l="0" t="0" r="0" b="0"/>
            <wp:wrapTopAndBottom/>
            <wp:docPr id="4" name="图表 4">
              <a:extLst xmlns:a="http://schemas.openxmlformats.org/drawingml/2006/main">
                <a:ext uri="{FF2B5EF4-FFF2-40B4-BE49-F238E27FC236}">
                  <a16:creationId xmlns:a16="http://schemas.microsoft.com/office/drawing/2014/main" id="{46CFC74C-408B-4AD8-87FA-BF433390E6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r w:rsidR="001B7363">
        <w:rPr>
          <w:lang w:eastAsia="zh-CN"/>
        </w:rPr>
        <w:t>本周A股市场整体呈现上涨趋势，主要指数普遍上涨：沪深300涨1.99%，中证500涨3.07%，中证1000涨3.87%，创业板50涨7.51%，</w:t>
      </w:r>
      <w:proofErr w:type="gramStart"/>
      <w:r w:rsidR="001B7363">
        <w:rPr>
          <w:lang w:eastAsia="zh-CN"/>
        </w:rPr>
        <w:t>科创</w:t>
      </w:r>
      <w:proofErr w:type="gramEnd"/>
      <w:r w:rsidR="001B7363">
        <w:rPr>
          <w:lang w:eastAsia="zh-CN"/>
        </w:rPr>
        <w:t>50涨4.31%。交易面，A股市场本周日均成交额在2.3</w:t>
      </w:r>
      <w:proofErr w:type="gramStart"/>
      <w:r w:rsidR="001B7363">
        <w:rPr>
          <w:lang w:eastAsia="zh-CN"/>
        </w:rPr>
        <w:t>万亿</w:t>
      </w:r>
      <w:proofErr w:type="gramEnd"/>
      <w:r w:rsidR="001B7363">
        <w:rPr>
          <w:lang w:eastAsia="zh-CN"/>
        </w:rPr>
        <w:t>左右，市场投资热情高涨。本周市场热点依次为人工智能、先进制造、化工、PCB、锂电池、</w:t>
      </w:r>
      <w:proofErr w:type="gramStart"/>
      <w:r w:rsidR="001B7363">
        <w:rPr>
          <w:lang w:eastAsia="zh-CN"/>
        </w:rPr>
        <w:t>算力租赁</w:t>
      </w:r>
      <w:proofErr w:type="gramEnd"/>
      <w:r w:rsidR="001B7363">
        <w:rPr>
          <w:lang w:eastAsia="zh-CN"/>
        </w:rPr>
        <w:t>、存储产业链和体育概念，板块呈现快速轮动特征，活跃板块如人工智能</w:t>
      </w:r>
      <w:proofErr w:type="gramStart"/>
      <w:r w:rsidR="001B7363">
        <w:rPr>
          <w:lang w:eastAsia="zh-CN"/>
        </w:rPr>
        <w:t>和算力租赁</w:t>
      </w:r>
      <w:proofErr w:type="gramEnd"/>
      <w:r w:rsidR="001B7363">
        <w:rPr>
          <w:lang w:eastAsia="zh-CN"/>
        </w:rPr>
        <w:t>反复领涨，</w:t>
      </w:r>
      <w:proofErr w:type="gramStart"/>
      <w:r w:rsidR="001B7363">
        <w:rPr>
          <w:lang w:eastAsia="zh-CN"/>
        </w:rPr>
        <w:t>低迷板块</w:t>
      </w:r>
      <w:proofErr w:type="gramEnd"/>
      <w:r w:rsidR="001B7363">
        <w:rPr>
          <w:lang w:eastAsia="zh-CN"/>
        </w:rPr>
        <w:t>较少提及。人工智能领域融资总额约47.08亿元位居前列，先进制造融资约34.18亿元最高，锂电池景气度持续验证，建议关注景气度支撑的成长板块，如人工智能和先进制造。</w:t>
      </w:r>
    </w:p>
    <w:p w:rsidR="007D0CAE" w:rsidRDefault="001B7363" w:rsidP="007D0CAE">
      <w:pPr>
        <w:pStyle w:val="Cap"/>
        <w:rPr>
          <w:lang w:eastAsia="zh-CN"/>
        </w:rPr>
      </w:pPr>
      <w:r>
        <w:rPr>
          <w:lang w:eastAsia="zh-CN"/>
        </w:rPr>
        <w:t>图1：</w:t>
      </w:r>
      <w:proofErr w:type="gramStart"/>
      <w:r>
        <w:rPr>
          <w:lang w:eastAsia="zh-CN"/>
        </w:rPr>
        <w:t>申万一级</w:t>
      </w:r>
      <w:proofErr w:type="gramEnd"/>
      <w:r>
        <w:rPr>
          <w:lang w:eastAsia="zh-CN"/>
        </w:rPr>
        <w:t>各板块表现</w:t>
      </w:r>
    </w:p>
    <w:p w:rsidR="006E37C0" w:rsidRDefault="001B7363">
      <w:pPr>
        <w:pStyle w:val="Source"/>
        <w:rPr>
          <w:lang w:eastAsia="zh-CN"/>
        </w:rPr>
      </w:pPr>
      <w:r>
        <w:rPr>
          <w:lang w:eastAsia="zh-CN"/>
        </w:rPr>
        <w:t>数据来源：Wind，华安基金，2026-04-13至2026-04-17</w:t>
      </w:r>
    </w:p>
    <w:p w:rsidR="006E37C0" w:rsidRDefault="006E37C0">
      <w:pPr>
        <w:spacing w:after="0" w:line="240" w:lineRule="auto"/>
        <w:rPr>
          <w:lang w:eastAsia="zh-CN"/>
        </w:rPr>
      </w:pPr>
    </w:p>
    <w:p w:rsidR="006E37C0" w:rsidRDefault="001B7363">
      <w:pPr>
        <w:pStyle w:val="Para"/>
        <w:rPr>
          <w:lang w:eastAsia="zh-CN"/>
        </w:rPr>
      </w:pPr>
      <w:r>
        <w:rPr>
          <w:lang w:eastAsia="zh-CN"/>
        </w:rPr>
        <w:t>近期中国宏观经济数据显示，CPI、PPI实现双回升，反映当前经济企稳回升。货币政策方面，</w:t>
      </w:r>
      <w:proofErr w:type="gramStart"/>
      <w:r>
        <w:rPr>
          <w:lang w:eastAsia="zh-CN"/>
        </w:rPr>
        <w:t>国家发改委</w:t>
      </w:r>
      <w:proofErr w:type="gramEnd"/>
      <w:r>
        <w:rPr>
          <w:lang w:eastAsia="zh-CN"/>
        </w:rPr>
        <w:t>表示要实施更加积极的财政政策和适度宽松的货币政策，把促进物价回升作为重要</w:t>
      </w:r>
      <w:proofErr w:type="gramStart"/>
      <w:r>
        <w:rPr>
          <w:lang w:eastAsia="zh-CN"/>
        </w:rPr>
        <w:t>考量</w:t>
      </w:r>
      <w:proofErr w:type="gramEnd"/>
      <w:r>
        <w:rPr>
          <w:lang w:eastAsia="zh-CN"/>
        </w:rPr>
        <w:t>；央行行长称今年将继续实施适度宽松货币政策，灵活高效</w:t>
      </w:r>
      <w:proofErr w:type="gramStart"/>
      <w:r>
        <w:rPr>
          <w:lang w:eastAsia="zh-CN"/>
        </w:rPr>
        <w:t>运用降准降息</w:t>
      </w:r>
      <w:proofErr w:type="gramEnd"/>
      <w:r>
        <w:rPr>
          <w:lang w:eastAsia="zh-CN"/>
        </w:rPr>
        <w:t>等多种工具，未来逐步淡化数量型中介目标。财政政策方面，2026年将继续安排超长期特别国债用于“两重”建设和“两新”工作，完善专项债券项目管理；财政部表示中央财政安排1000亿元支持财政金融协同促内需，可惠及万亿级信贷，全国科学技术支出安排近1.3</w:t>
      </w:r>
      <w:proofErr w:type="gramStart"/>
      <w:r>
        <w:rPr>
          <w:lang w:eastAsia="zh-CN"/>
        </w:rPr>
        <w:t>万亿</w:t>
      </w:r>
      <w:proofErr w:type="gramEnd"/>
      <w:r>
        <w:rPr>
          <w:lang w:eastAsia="zh-CN"/>
        </w:rPr>
        <w:t>元，增长7.1%，教育等四项支出合计超12.4</w:t>
      </w:r>
      <w:proofErr w:type="gramStart"/>
      <w:r>
        <w:rPr>
          <w:lang w:eastAsia="zh-CN"/>
        </w:rPr>
        <w:t>万亿</w:t>
      </w:r>
      <w:proofErr w:type="gramEnd"/>
      <w:r>
        <w:rPr>
          <w:lang w:eastAsia="zh-CN"/>
        </w:rPr>
        <w:t>元。产业政策方面，国家</w:t>
      </w:r>
      <w:proofErr w:type="gramStart"/>
      <w:r>
        <w:rPr>
          <w:lang w:eastAsia="zh-CN"/>
        </w:rPr>
        <w:t>发改委强调</w:t>
      </w:r>
      <w:proofErr w:type="gramEnd"/>
      <w:r>
        <w:rPr>
          <w:lang w:eastAsia="zh-CN"/>
        </w:rPr>
        <w:t>全链条推动集成电路、工业母机、高端仪器、基础软件、先进材料、生物制造等重点领域关键核心技术攻关取得决定性突破，培育壮大海洋生物医药等新兴产业，推进万兆光网部署应用和5G-A移动通信网络规模商用，构建全国一体化</w:t>
      </w:r>
      <w:proofErr w:type="gramStart"/>
      <w:r>
        <w:rPr>
          <w:lang w:eastAsia="zh-CN"/>
        </w:rPr>
        <w:t>算力网</w:t>
      </w:r>
      <w:proofErr w:type="gramEnd"/>
      <w:r>
        <w:rPr>
          <w:lang w:eastAsia="zh-CN"/>
        </w:rPr>
        <w:t>。就业政策方面，研究</w:t>
      </w:r>
      <w:proofErr w:type="gramStart"/>
      <w:r>
        <w:rPr>
          <w:lang w:eastAsia="zh-CN"/>
        </w:rPr>
        <w:t>制定稳岗扩容</w:t>
      </w:r>
      <w:proofErr w:type="gramEnd"/>
      <w:r>
        <w:rPr>
          <w:lang w:eastAsia="zh-CN"/>
        </w:rPr>
        <w:t>体制行动和城乡居民增收计划，以增强居民消费能力。整体来看，短期经济企稳回升，中长期通过政策协同和创新驱动推动内需增长。</w:t>
      </w:r>
    </w:p>
    <w:p w:rsidR="006E37C0" w:rsidRDefault="006E37C0">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6E37C0">
        <w:trPr>
          <w:jc w:val="center"/>
        </w:trPr>
        <w:tc>
          <w:tcPr>
            <w:tcW w:w="4323" w:type="dxa"/>
          </w:tcPr>
          <w:p w:rsidR="006E37C0" w:rsidRDefault="001B7363">
            <w:proofErr w:type="spellStart"/>
            <w:r>
              <w:rPr>
                <w:rFonts w:ascii="楷体" w:eastAsia="楷体" w:hAnsi="楷体"/>
                <w:b/>
              </w:rPr>
              <w:t>相关产品</w:t>
            </w:r>
            <w:proofErr w:type="spellEnd"/>
          </w:p>
        </w:tc>
        <w:tc>
          <w:tcPr>
            <w:tcW w:w="4323" w:type="dxa"/>
          </w:tcPr>
          <w:p w:rsidR="006E37C0" w:rsidRDefault="001B7363">
            <w:r>
              <w:rPr>
                <w:rFonts w:ascii="楷体" w:eastAsia="楷体" w:hAnsi="楷体"/>
                <w:b/>
              </w:rPr>
              <w:t>相关产品</w:t>
            </w:r>
          </w:p>
        </w:tc>
      </w:tr>
      <w:tr w:rsidR="006E37C0">
        <w:trPr>
          <w:jc w:val="center"/>
        </w:trPr>
        <w:tc>
          <w:tcPr>
            <w:tcW w:w="4323" w:type="dxa"/>
          </w:tcPr>
          <w:p w:rsidR="006E37C0" w:rsidRDefault="001B7363">
            <w:pPr>
              <w:rPr>
                <w:lang w:eastAsia="zh-CN"/>
              </w:rPr>
            </w:pPr>
            <w:r>
              <w:rPr>
                <w:rFonts w:ascii="楷体" w:eastAsia="楷体" w:hAnsi="楷体"/>
                <w:lang w:eastAsia="zh-CN"/>
              </w:rPr>
              <w:t>创业板50ETF华安(159949.SZ)</w:t>
            </w:r>
          </w:p>
        </w:tc>
        <w:tc>
          <w:tcPr>
            <w:tcW w:w="4323" w:type="dxa"/>
          </w:tcPr>
          <w:p w:rsidR="006E37C0" w:rsidRDefault="001B7363">
            <w:r>
              <w:rPr>
                <w:rFonts w:ascii="楷体" w:eastAsia="楷体" w:hAnsi="楷体"/>
              </w:rPr>
              <w:t>上证180ETF华安(510180.SH)</w:t>
            </w:r>
          </w:p>
        </w:tc>
      </w:tr>
      <w:tr w:rsidR="006E37C0">
        <w:trPr>
          <w:jc w:val="center"/>
        </w:trPr>
        <w:tc>
          <w:tcPr>
            <w:tcW w:w="4323" w:type="dxa"/>
          </w:tcPr>
          <w:p w:rsidR="006E37C0" w:rsidRDefault="001B7363">
            <w:r>
              <w:rPr>
                <w:rFonts w:ascii="楷体" w:eastAsia="楷体" w:hAnsi="楷体"/>
              </w:rPr>
              <w:lastRenderedPageBreak/>
              <w:t>科创50ETF华安(588280.SH)</w:t>
            </w:r>
          </w:p>
        </w:tc>
        <w:tc>
          <w:tcPr>
            <w:tcW w:w="4323" w:type="dxa"/>
          </w:tcPr>
          <w:p w:rsidR="006E37C0" w:rsidRDefault="001B7363">
            <w:r>
              <w:rPr>
                <w:rFonts w:ascii="楷体" w:eastAsia="楷体" w:hAnsi="楷体"/>
              </w:rPr>
              <w:t>上证50ETF华安(510190.SH)</w:t>
            </w:r>
          </w:p>
        </w:tc>
      </w:tr>
      <w:tr w:rsidR="006E37C0">
        <w:trPr>
          <w:jc w:val="center"/>
        </w:trPr>
        <w:tc>
          <w:tcPr>
            <w:tcW w:w="4323" w:type="dxa"/>
          </w:tcPr>
          <w:p w:rsidR="006E37C0" w:rsidRDefault="001B7363">
            <w:r>
              <w:rPr>
                <w:rFonts w:ascii="楷体" w:eastAsia="楷体" w:hAnsi="楷体"/>
              </w:rPr>
              <w:t>沪深300ETF华安(515390.SH)</w:t>
            </w:r>
          </w:p>
        </w:tc>
        <w:tc>
          <w:tcPr>
            <w:tcW w:w="4323" w:type="dxa"/>
          </w:tcPr>
          <w:p w:rsidR="006E37C0" w:rsidRDefault="001B7363">
            <w:r>
              <w:rPr>
                <w:rFonts w:ascii="楷体" w:eastAsia="楷体" w:hAnsi="楷体"/>
              </w:rPr>
              <w:t>A500ETF华安(159359.SZ)</w:t>
            </w:r>
          </w:p>
        </w:tc>
      </w:tr>
    </w:tbl>
    <w:p w:rsidR="006E37C0" w:rsidRDefault="001B7363">
      <w:r>
        <w:br w:type="page"/>
      </w:r>
    </w:p>
    <w:p w:rsidR="006E37C0" w:rsidRDefault="001B7363">
      <w:pPr>
        <w:pStyle w:val="Head"/>
      </w:pPr>
      <w:r>
        <w:lastRenderedPageBreak/>
        <w:t>■ 行业点评</w:t>
      </w:r>
    </w:p>
    <w:p w:rsidR="006E37C0" w:rsidRDefault="001B7363">
      <w:pPr>
        <w:pStyle w:val="Sub"/>
      </w:pPr>
      <w:r>
        <w:t>※※ 人工智能</w:t>
      </w:r>
    </w:p>
    <w:p w:rsidR="006E37C0" w:rsidRDefault="001B7363">
      <w:pPr>
        <w:pStyle w:val="Para"/>
        <w:rPr>
          <w:lang w:eastAsia="zh-CN"/>
        </w:rPr>
      </w:pPr>
      <w:r>
        <w:rPr>
          <w:lang w:eastAsia="zh-CN"/>
        </w:rPr>
        <w:t>人工智能行业近期热点集中在融资活动</w:t>
      </w:r>
      <w:proofErr w:type="gramStart"/>
      <w:r>
        <w:rPr>
          <w:lang w:eastAsia="zh-CN"/>
        </w:rPr>
        <w:t>与算力基础</w:t>
      </w:r>
      <w:proofErr w:type="gramEnd"/>
      <w:r>
        <w:rPr>
          <w:lang w:eastAsia="zh-CN"/>
        </w:rPr>
        <w:t>设施建设。全球人工智能相关新闻包括Reflection AI以逾200亿美元估值吸引投资者并寻求融资至少20亿美元，</w:t>
      </w:r>
      <w:proofErr w:type="spellStart"/>
      <w:r>
        <w:rPr>
          <w:lang w:eastAsia="zh-CN"/>
        </w:rPr>
        <w:t>OpenAI</w:t>
      </w:r>
      <w:proofErr w:type="spellEnd"/>
      <w:r>
        <w:rPr>
          <w:lang w:eastAsia="zh-CN"/>
        </w:rPr>
        <w:t>完成1220亿美元史上最大规模融资估值达8520亿美元，</w:t>
      </w:r>
      <w:proofErr w:type="gramStart"/>
      <w:r>
        <w:rPr>
          <w:lang w:eastAsia="zh-CN"/>
        </w:rPr>
        <w:t>英伟达</w:t>
      </w:r>
      <w:proofErr w:type="gramEnd"/>
      <w:r>
        <w:rPr>
          <w:lang w:eastAsia="zh-CN"/>
        </w:rPr>
        <w:t>向两家开发数据中心光学技术的企业总计投资40亿美元以支持AI</w:t>
      </w:r>
      <w:proofErr w:type="gramStart"/>
      <w:r>
        <w:rPr>
          <w:lang w:eastAsia="zh-CN"/>
        </w:rPr>
        <w:t>算力生态</w:t>
      </w:r>
      <w:proofErr w:type="gramEnd"/>
      <w:r>
        <w:rPr>
          <w:lang w:eastAsia="zh-CN"/>
        </w:rPr>
        <w:t>。产业层面，AI产业从技术研发向商业化落地加速转型，</w:t>
      </w:r>
      <w:proofErr w:type="gramStart"/>
      <w:r>
        <w:rPr>
          <w:lang w:eastAsia="zh-CN"/>
        </w:rPr>
        <w:t>算力产业链持续</w:t>
      </w:r>
      <w:proofErr w:type="gramEnd"/>
      <w:r>
        <w:rPr>
          <w:lang w:eastAsia="zh-CN"/>
        </w:rPr>
        <w:t>高景气，云厂商投入强度提升，芯片供给紧张格局短期内难以缓解；机构观点预计今年科技板块盈利增速有望达到20%～25%，显示行业增长前景良好。技术层面，模型推理能力升级带来企业级Agentic AI加速落地，下一代硬件平台带动token和推理成本下降，硬件入口形态日趋多元涵盖汽车和机器人等终端，有望进一步加速应用渗透。政策层面，商务部等部门对头部企业研发及“人工智能+”模式进行扶持，促进技术与产业深度融合。</w:t>
      </w:r>
    </w:p>
    <w:p w:rsidR="006E37C0" w:rsidRDefault="006E37C0">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6E37C0">
        <w:trPr>
          <w:jc w:val="center"/>
        </w:trPr>
        <w:tc>
          <w:tcPr>
            <w:tcW w:w="4323" w:type="dxa"/>
          </w:tcPr>
          <w:p w:rsidR="006E37C0" w:rsidRDefault="001B7363">
            <w:proofErr w:type="spellStart"/>
            <w:r>
              <w:rPr>
                <w:rFonts w:ascii="楷体" w:eastAsia="楷体" w:hAnsi="楷体"/>
                <w:b/>
              </w:rPr>
              <w:t>相关产品</w:t>
            </w:r>
            <w:proofErr w:type="spellEnd"/>
          </w:p>
        </w:tc>
        <w:tc>
          <w:tcPr>
            <w:tcW w:w="4323" w:type="dxa"/>
          </w:tcPr>
          <w:p w:rsidR="006E37C0" w:rsidRDefault="001B7363">
            <w:r>
              <w:rPr>
                <w:rFonts w:ascii="楷体" w:eastAsia="楷体" w:hAnsi="楷体"/>
                <w:b/>
              </w:rPr>
              <w:t>相关产品</w:t>
            </w:r>
          </w:p>
        </w:tc>
      </w:tr>
      <w:tr w:rsidR="006E37C0">
        <w:trPr>
          <w:jc w:val="center"/>
        </w:trPr>
        <w:tc>
          <w:tcPr>
            <w:tcW w:w="4323" w:type="dxa"/>
          </w:tcPr>
          <w:p w:rsidR="006E37C0" w:rsidRDefault="001B7363">
            <w:pPr>
              <w:rPr>
                <w:lang w:eastAsia="zh-CN"/>
              </w:rPr>
            </w:pPr>
            <w:r>
              <w:rPr>
                <w:rFonts w:ascii="楷体" w:eastAsia="楷体" w:hAnsi="楷体"/>
                <w:lang w:eastAsia="zh-CN"/>
              </w:rPr>
              <w:t>创业板人工智能ETF华安(159279.SZ)</w:t>
            </w:r>
          </w:p>
        </w:tc>
        <w:tc>
          <w:tcPr>
            <w:tcW w:w="4323" w:type="dxa"/>
          </w:tcPr>
          <w:p w:rsidR="006E37C0" w:rsidRDefault="001B7363">
            <w:pPr>
              <w:rPr>
                <w:lang w:eastAsia="zh-CN"/>
              </w:rPr>
            </w:pPr>
            <w:r>
              <w:rPr>
                <w:rFonts w:ascii="楷体" w:eastAsia="楷体" w:hAnsi="楷体"/>
                <w:lang w:eastAsia="zh-CN"/>
              </w:rPr>
              <w:t>创业板50ETF华安(159949.SZ)</w:t>
            </w:r>
          </w:p>
        </w:tc>
      </w:tr>
      <w:tr w:rsidR="006E37C0">
        <w:trPr>
          <w:jc w:val="center"/>
        </w:trPr>
        <w:tc>
          <w:tcPr>
            <w:tcW w:w="4323" w:type="dxa"/>
          </w:tcPr>
          <w:p w:rsidR="006E37C0" w:rsidRDefault="001B7363">
            <w:proofErr w:type="spellStart"/>
            <w:r>
              <w:rPr>
                <w:rFonts w:ascii="楷体" w:eastAsia="楷体" w:hAnsi="楷体"/>
              </w:rPr>
              <w:t>软件ETF华安</w:t>
            </w:r>
            <w:proofErr w:type="spellEnd"/>
            <w:r>
              <w:rPr>
                <w:rFonts w:ascii="楷体" w:eastAsia="楷体" w:hAnsi="楷体"/>
              </w:rPr>
              <w:t>(561010.SH)</w:t>
            </w:r>
          </w:p>
        </w:tc>
        <w:tc>
          <w:tcPr>
            <w:tcW w:w="4323" w:type="dxa"/>
          </w:tcPr>
          <w:p w:rsidR="006E37C0" w:rsidRDefault="001B7363">
            <w:pPr>
              <w:rPr>
                <w:lang w:eastAsia="zh-CN"/>
              </w:rPr>
            </w:pPr>
            <w:r>
              <w:rPr>
                <w:rFonts w:ascii="楷体" w:eastAsia="楷体" w:hAnsi="楷体"/>
                <w:lang w:eastAsia="zh-CN"/>
              </w:rPr>
              <w:t>数字经济ETF华安(159658.SZ)</w:t>
            </w:r>
          </w:p>
        </w:tc>
      </w:tr>
      <w:tr w:rsidR="006E37C0">
        <w:trPr>
          <w:jc w:val="center"/>
        </w:trPr>
        <w:tc>
          <w:tcPr>
            <w:tcW w:w="4323" w:type="dxa"/>
          </w:tcPr>
          <w:p w:rsidR="006E37C0" w:rsidRDefault="001B7363">
            <w:proofErr w:type="spellStart"/>
            <w:r>
              <w:rPr>
                <w:rFonts w:ascii="楷体" w:eastAsia="楷体" w:hAnsi="楷体"/>
              </w:rPr>
              <w:t>港股通恒生科技ETF华安</w:t>
            </w:r>
            <w:proofErr w:type="spellEnd"/>
            <w:r>
              <w:rPr>
                <w:rFonts w:ascii="楷体" w:eastAsia="楷体" w:hAnsi="楷体"/>
              </w:rPr>
              <w:t>(520840.SH)</w:t>
            </w:r>
          </w:p>
        </w:tc>
        <w:tc>
          <w:tcPr>
            <w:tcW w:w="4323" w:type="dxa"/>
          </w:tcPr>
          <w:p w:rsidR="006E37C0" w:rsidRDefault="001B7363">
            <w:r>
              <w:rPr>
                <w:rFonts w:ascii="楷体" w:eastAsia="楷体" w:hAnsi="楷体"/>
              </w:rPr>
              <w:t>恒生科技ETF华安(513580.SH)</w:t>
            </w:r>
          </w:p>
        </w:tc>
      </w:tr>
    </w:tbl>
    <w:p w:rsidR="006E37C0" w:rsidRDefault="006E37C0">
      <w:pPr>
        <w:spacing w:after="0" w:line="240" w:lineRule="auto"/>
      </w:pPr>
    </w:p>
    <w:p w:rsidR="006E37C0" w:rsidRDefault="001B7363">
      <w:pPr>
        <w:pStyle w:val="Sub"/>
      </w:pPr>
      <w:r>
        <w:t>※※ 电子</w:t>
      </w:r>
    </w:p>
    <w:p w:rsidR="006E37C0" w:rsidRDefault="001B7363">
      <w:pPr>
        <w:pStyle w:val="Para"/>
        <w:rPr>
          <w:lang w:eastAsia="zh-CN"/>
        </w:rPr>
      </w:pPr>
      <w:r>
        <w:rPr>
          <w:lang w:eastAsia="zh-CN"/>
        </w:rPr>
        <w:t>电子行业近期热点集中在存储、</w:t>
      </w:r>
      <w:proofErr w:type="gramStart"/>
      <w:r>
        <w:rPr>
          <w:lang w:eastAsia="zh-CN"/>
        </w:rPr>
        <w:t>封测方向</w:t>
      </w:r>
      <w:proofErr w:type="gramEnd"/>
      <w:r>
        <w:rPr>
          <w:lang w:eastAsia="zh-CN"/>
        </w:rPr>
        <w:t>及AI驱动领域。全球电子相关新闻包括内存芯片短缺状况持续高端半导体供应紧张；美银预计到2030年半导体市场规模达2</w:t>
      </w:r>
      <w:proofErr w:type="gramStart"/>
      <w:r>
        <w:rPr>
          <w:lang w:eastAsia="zh-CN"/>
        </w:rPr>
        <w:t>万亿</w:t>
      </w:r>
      <w:proofErr w:type="gramEnd"/>
      <w:r>
        <w:rPr>
          <w:lang w:eastAsia="zh-CN"/>
        </w:rPr>
        <w:t>美元年复合增长率20%；</w:t>
      </w:r>
      <w:proofErr w:type="spellStart"/>
      <w:r>
        <w:rPr>
          <w:lang w:eastAsia="zh-CN"/>
        </w:rPr>
        <w:t>TrendForce</w:t>
      </w:r>
      <w:proofErr w:type="spellEnd"/>
      <w:r>
        <w:rPr>
          <w:lang w:eastAsia="zh-CN"/>
        </w:rPr>
        <w:t>集</w:t>
      </w:r>
      <w:proofErr w:type="gramStart"/>
      <w:r>
        <w:rPr>
          <w:lang w:eastAsia="zh-CN"/>
        </w:rPr>
        <w:t>邦</w:t>
      </w:r>
      <w:proofErr w:type="gramEnd"/>
      <w:r>
        <w:rPr>
          <w:lang w:eastAsia="zh-CN"/>
        </w:rPr>
        <w:t>咨询预计2026年LED市场产值达121.76亿美元Micro/</w:t>
      </w:r>
      <w:proofErr w:type="spellStart"/>
      <w:r>
        <w:rPr>
          <w:lang w:eastAsia="zh-CN"/>
        </w:rPr>
        <w:t>MiniLED</w:t>
      </w:r>
      <w:proofErr w:type="spellEnd"/>
      <w:r>
        <w:rPr>
          <w:lang w:eastAsia="zh-CN"/>
        </w:rPr>
        <w:t>等应用带来成长动能。产业层面半导体行业呈现结构性增长景气度高电子封装材料满产满</w:t>
      </w:r>
      <w:proofErr w:type="gramStart"/>
      <w:r>
        <w:rPr>
          <w:lang w:eastAsia="zh-CN"/>
        </w:rPr>
        <w:t>销电子</w:t>
      </w:r>
      <w:proofErr w:type="gramEnd"/>
      <w:r>
        <w:rPr>
          <w:lang w:eastAsia="zh-CN"/>
        </w:rPr>
        <w:t>气体市场2026年有望同比+8%至68亿美元存储芯片涨价幅度超出市场预期多家芯片公司发布涨价通知幅度15%-50%韩国半导体出口额增长70.2%；这反映供需缺口扩大与需求强劲支撑产业持续复苏。技术层面先进封装技术重要性凸显成为</w:t>
      </w:r>
      <w:proofErr w:type="gramStart"/>
      <w:r>
        <w:rPr>
          <w:lang w:eastAsia="zh-CN"/>
        </w:rPr>
        <w:t>提升算力关键</w:t>
      </w:r>
      <w:proofErr w:type="gramEnd"/>
      <w:r>
        <w:rPr>
          <w:lang w:eastAsia="zh-CN"/>
        </w:rPr>
        <w:t>环节；技术发展推动性能优化。政策</w:t>
      </w:r>
      <w:proofErr w:type="gramStart"/>
      <w:r>
        <w:rPr>
          <w:lang w:eastAsia="zh-CN"/>
        </w:rPr>
        <w:t>层面工</w:t>
      </w:r>
      <w:proofErr w:type="gramEnd"/>
      <w:r>
        <w:rPr>
          <w:lang w:eastAsia="zh-CN"/>
        </w:rPr>
        <w:t>信部公开征求半导体器件国家标准意见；政策引导行业标准化进程。</w:t>
      </w:r>
    </w:p>
    <w:p w:rsidR="006E37C0" w:rsidRDefault="006E37C0">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6E37C0">
        <w:trPr>
          <w:jc w:val="center"/>
        </w:trPr>
        <w:tc>
          <w:tcPr>
            <w:tcW w:w="4323" w:type="dxa"/>
          </w:tcPr>
          <w:p w:rsidR="006E37C0" w:rsidRDefault="001B7363">
            <w:proofErr w:type="spellStart"/>
            <w:r>
              <w:rPr>
                <w:rFonts w:ascii="楷体" w:eastAsia="楷体" w:hAnsi="楷体"/>
                <w:b/>
              </w:rPr>
              <w:t>相关产品</w:t>
            </w:r>
            <w:proofErr w:type="spellEnd"/>
          </w:p>
        </w:tc>
        <w:tc>
          <w:tcPr>
            <w:tcW w:w="4323" w:type="dxa"/>
          </w:tcPr>
          <w:p w:rsidR="006E37C0" w:rsidRDefault="001B7363">
            <w:r>
              <w:rPr>
                <w:rFonts w:ascii="楷体" w:eastAsia="楷体" w:hAnsi="楷体"/>
                <w:b/>
              </w:rPr>
              <w:t>相关产品</w:t>
            </w:r>
          </w:p>
        </w:tc>
      </w:tr>
      <w:tr w:rsidR="006E37C0">
        <w:trPr>
          <w:jc w:val="center"/>
        </w:trPr>
        <w:tc>
          <w:tcPr>
            <w:tcW w:w="4323" w:type="dxa"/>
          </w:tcPr>
          <w:p w:rsidR="006E37C0" w:rsidRDefault="001B7363">
            <w:pPr>
              <w:rPr>
                <w:lang w:eastAsia="zh-CN"/>
              </w:rPr>
            </w:pPr>
            <w:proofErr w:type="gramStart"/>
            <w:r>
              <w:rPr>
                <w:rFonts w:ascii="楷体" w:eastAsia="楷体" w:hAnsi="楷体"/>
                <w:lang w:eastAsia="zh-CN"/>
              </w:rPr>
              <w:t>科创芯片</w:t>
            </w:r>
            <w:proofErr w:type="gramEnd"/>
            <w:r>
              <w:rPr>
                <w:rFonts w:ascii="楷体" w:eastAsia="楷体" w:hAnsi="楷体"/>
                <w:lang w:eastAsia="zh-CN"/>
              </w:rPr>
              <w:t>ETF华安(588290.SH)</w:t>
            </w:r>
          </w:p>
        </w:tc>
        <w:tc>
          <w:tcPr>
            <w:tcW w:w="4323" w:type="dxa"/>
          </w:tcPr>
          <w:p w:rsidR="006E37C0" w:rsidRDefault="001B7363">
            <w:r>
              <w:rPr>
                <w:rFonts w:ascii="楷体" w:eastAsia="楷体" w:hAnsi="楷体"/>
              </w:rPr>
              <w:t>电子50ETF华安(515320.SH)</w:t>
            </w:r>
          </w:p>
        </w:tc>
      </w:tr>
      <w:tr w:rsidR="006E37C0">
        <w:trPr>
          <w:jc w:val="center"/>
        </w:trPr>
        <w:tc>
          <w:tcPr>
            <w:tcW w:w="4323" w:type="dxa"/>
          </w:tcPr>
          <w:p w:rsidR="006E37C0" w:rsidRDefault="001B7363">
            <w:r>
              <w:rPr>
                <w:rFonts w:ascii="楷体" w:eastAsia="楷体" w:hAnsi="楷体"/>
              </w:rPr>
              <w:t>科创50ETF华安(588280.SH)</w:t>
            </w:r>
          </w:p>
        </w:tc>
        <w:tc>
          <w:tcPr>
            <w:tcW w:w="4323" w:type="dxa"/>
          </w:tcPr>
          <w:p w:rsidR="006E37C0" w:rsidRDefault="001B7363">
            <w:pPr>
              <w:rPr>
                <w:lang w:eastAsia="zh-CN"/>
              </w:rPr>
            </w:pPr>
            <w:proofErr w:type="gramStart"/>
            <w:r>
              <w:rPr>
                <w:rFonts w:ascii="楷体" w:eastAsia="楷体" w:hAnsi="楷体"/>
                <w:lang w:eastAsia="zh-CN"/>
              </w:rPr>
              <w:t>科创信息</w:t>
            </w:r>
            <w:proofErr w:type="gramEnd"/>
            <w:r>
              <w:rPr>
                <w:rFonts w:ascii="楷体" w:eastAsia="楷体" w:hAnsi="楷体"/>
                <w:lang w:eastAsia="zh-CN"/>
              </w:rPr>
              <w:t>ETF华安(588260.SH)</w:t>
            </w:r>
          </w:p>
        </w:tc>
      </w:tr>
    </w:tbl>
    <w:p w:rsidR="006E37C0" w:rsidRDefault="006E37C0">
      <w:pPr>
        <w:spacing w:after="0" w:line="240" w:lineRule="auto"/>
        <w:rPr>
          <w:lang w:eastAsia="zh-CN"/>
        </w:rPr>
      </w:pPr>
    </w:p>
    <w:p w:rsidR="006E37C0" w:rsidRDefault="001B7363">
      <w:pPr>
        <w:pStyle w:val="Sub"/>
        <w:rPr>
          <w:lang w:eastAsia="zh-CN"/>
        </w:rPr>
      </w:pPr>
      <w:r>
        <w:rPr>
          <w:lang w:eastAsia="zh-CN"/>
        </w:rPr>
        <w:t>※※ 航天</w:t>
      </w:r>
    </w:p>
    <w:p w:rsidR="006E37C0" w:rsidRDefault="001B7363">
      <w:pPr>
        <w:pStyle w:val="Para"/>
        <w:rPr>
          <w:lang w:eastAsia="zh-CN"/>
        </w:rPr>
      </w:pPr>
      <w:r>
        <w:rPr>
          <w:lang w:eastAsia="zh-CN"/>
        </w:rPr>
        <w:lastRenderedPageBreak/>
        <w:t>航天行业近期热点集中在商业航天方向。2025年商业航天发射50次占比我国全年宇航发射总数54%（国家航天局消息），2026年市场规模预计达3.5</w:t>
      </w:r>
      <w:proofErr w:type="gramStart"/>
      <w:r>
        <w:rPr>
          <w:lang w:eastAsia="zh-CN"/>
        </w:rPr>
        <w:t>万亿</w:t>
      </w:r>
      <w:proofErr w:type="gramEnd"/>
      <w:r>
        <w:rPr>
          <w:lang w:eastAsia="zh-CN"/>
        </w:rPr>
        <w:t>元同比增长持续超过20%（赛</w:t>
      </w:r>
      <w:proofErr w:type="gramStart"/>
      <w:r>
        <w:rPr>
          <w:lang w:eastAsia="zh-CN"/>
        </w:rPr>
        <w:t>迪智库</w:t>
      </w:r>
      <w:proofErr w:type="gramEnd"/>
      <w:r>
        <w:rPr>
          <w:lang w:eastAsia="zh-CN"/>
        </w:rPr>
        <w:t>报告），朱雀三号重复使用火箭完成首飞验证核心技术（新闻）。产业层面，商业航天核心产业规模2025年增至1.01</w:t>
      </w:r>
      <w:proofErr w:type="gramStart"/>
      <w:r>
        <w:rPr>
          <w:lang w:eastAsia="zh-CN"/>
        </w:rPr>
        <w:t>万亿</w:t>
      </w:r>
      <w:proofErr w:type="gramEnd"/>
      <w:r>
        <w:rPr>
          <w:lang w:eastAsia="zh-CN"/>
        </w:rPr>
        <w:t>元同比增长近7%，企业</w:t>
      </w:r>
      <w:proofErr w:type="gramStart"/>
      <w:r>
        <w:rPr>
          <w:lang w:eastAsia="zh-CN"/>
        </w:rPr>
        <w:t>数量超</w:t>
      </w:r>
      <w:proofErr w:type="gramEnd"/>
      <w:r>
        <w:rPr>
          <w:lang w:eastAsia="zh-CN"/>
        </w:rPr>
        <w:t>600家同比增长20%以上（赛</w:t>
      </w:r>
      <w:proofErr w:type="gramStart"/>
      <w:r>
        <w:rPr>
          <w:lang w:eastAsia="zh-CN"/>
        </w:rPr>
        <w:t>迪</w:t>
      </w:r>
      <w:proofErr w:type="gramEnd"/>
      <w:r>
        <w:rPr>
          <w:lang w:eastAsia="zh-CN"/>
        </w:rPr>
        <w:t>论坛），预示产业规模将持续扩张。技术层面，可重复使用运载火箭技术加速突破，实现二子级入轨和一子级再入返回验证（新闻），这将推动发射成本降低和效率提升。政策层面，北京市支持拓展星箭制造等业务，对商业航天投保企业给予保费补贴（北京市人民政府办公厅措施），表明政策扶持力度加大，有望加速产业商业化进程。</w:t>
      </w:r>
    </w:p>
    <w:p w:rsidR="006E37C0" w:rsidRDefault="006E37C0">
      <w:pPr>
        <w:spacing w:after="0" w:line="240" w:lineRule="auto"/>
        <w:rPr>
          <w:lang w:eastAsia="zh-CN"/>
        </w:rPr>
      </w:pPr>
    </w:p>
    <w:tbl>
      <w:tblPr>
        <w:tblStyle w:val="aff1"/>
        <w:tblW w:w="0" w:type="auto"/>
        <w:jc w:val="center"/>
        <w:tblLook w:val="04A0" w:firstRow="1" w:lastRow="0" w:firstColumn="1" w:lastColumn="0" w:noHBand="0" w:noVBand="1"/>
      </w:tblPr>
      <w:tblGrid>
        <w:gridCol w:w="8646"/>
      </w:tblGrid>
      <w:tr w:rsidR="006E37C0">
        <w:trPr>
          <w:jc w:val="center"/>
        </w:trPr>
        <w:tc>
          <w:tcPr>
            <w:tcW w:w="8646" w:type="dxa"/>
          </w:tcPr>
          <w:p w:rsidR="006E37C0" w:rsidRDefault="001B7363">
            <w:proofErr w:type="spellStart"/>
            <w:r>
              <w:rPr>
                <w:rFonts w:ascii="楷体" w:eastAsia="楷体" w:hAnsi="楷体"/>
                <w:b/>
              </w:rPr>
              <w:t>相关产品</w:t>
            </w:r>
            <w:proofErr w:type="spellEnd"/>
          </w:p>
        </w:tc>
      </w:tr>
      <w:tr w:rsidR="006E37C0">
        <w:trPr>
          <w:jc w:val="center"/>
        </w:trPr>
        <w:tc>
          <w:tcPr>
            <w:tcW w:w="8646" w:type="dxa"/>
          </w:tcPr>
          <w:p w:rsidR="006E37C0" w:rsidRDefault="001B7363">
            <w:r>
              <w:rPr>
                <w:rFonts w:ascii="楷体" w:eastAsia="楷体" w:hAnsi="楷体"/>
              </w:rPr>
              <w:t>航天ETF华安(159267.SZ)</w:t>
            </w:r>
          </w:p>
        </w:tc>
      </w:tr>
    </w:tbl>
    <w:p w:rsidR="006E37C0" w:rsidRDefault="006E37C0">
      <w:pPr>
        <w:spacing w:after="0" w:line="240" w:lineRule="auto"/>
      </w:pPr>
    </w:p>
    <w:p w:rsidR="006E37C0" w:rsidRDefault="001B7363">
      <w:pPr>
        <w:pStyle w:val="Sub"/>
      </w:pPr>
      <w:r>
        <w:t>※※ 电力设备新能源</w:t>
      </w:r>
    </w:p>
    <w:p w:rsidR="006E37C0" w:rsidRDefault="001B7363">
      <w:pPr>
        <w:pStyle w:val="Para"/>
        <w:rPr>
          <w:lang w:eastAsia="zh-CN"/>
        </w:rPr>
      </w:pPr>
      <w:r>
        <w:rPr>
          <w:lang w:eastAsia="zh-CN"/>
        </w:rPr>
        <w:t>电力设备新能源行业近期热点集中在储能、光伏和</w:t>
      </w:r>
      <w:proofErr w:type="gramStart"/>
      <w:r>
        <w:rPr>
          <w:lang w:eastAsia="zh-CN"/>
        </w:rPr>
        <w:t>锂电</w:t>
      </w:r>
      <w:proofErr w:type="gramEnd"/>
      <w:r>
        <w:rPr>
          <w:lang w:eastAsia="zh-CN"/>
        </w:rPr>
        <w:t>领域。南方电网称南方五省区新能源电力电量创历史新高，最大发电功率突破1亿千瓦，单日发电量达14亿千瓦时占比30%，新能源装机超2.8亿千瓦占总电源装机比重40%；国家统计局显示前两个月储能用锂离子电池产量增长84%；商务部指出电动汽车、锂电池、光伏产品"新三样"出口增长50.7%，对共建"一带一路"国家进出口增长20%。产业层面，新能源发电量同比增长超20%，三月锂电</w:t>
      </w:r>
      <w:proofErr w:type="gramStart"/>
      <w:r>
        <w:rPr>
          <w:lang w:eastAsia="zh-CN"/>
        </w:rPr>
        <w:t>排产环比</w:t>
      </w:r>
      <w:proofErr w:type="gramEnd"/>
      <w:r>
        <w:rPr>
          <w:lang w:eastAsia="zh-CN"/>
        </w:rPr>
        <w:t>增长20%恢复至高点，海上风电明确并网规模目标；储能电池产量高</w:t>
      </w:r>
      <w:proofErr w:type="gramStart"/>
      <w:r>
        <w:rPr>
          <w:lang w:eastAsia="zh-CN"/>
        </w:rPr>
        <w:t>增表明</w:t>
      </w:r>
      <w:proofErr w:type="gramEnd"/>
      <w:r>
        <w:rPr>
          <w:lang w:eastAsia="zh-CN"/>
        </w:rPr>
        <w:t>需求持续旺盛。技术层面，国家数据局提出</w:t>
      </w:r>
      <w:proofErr w:type="gramStart"/>
      <w:r>
        <w:rPr>
          <w:lang w:eastAsia="zh-CN"/>
        </w:rPr>
        <w:t>加快算电协同</w:t>
      </w:r>
      <w:proofErr w:type="gramEnd"/>
      <w:r>
        <w:rPr>
          <w:lang w:eastAsia="zh-CN"/>
        </w:rPr>
        <w:t>工程建设</w:t>
      </w:r>
      <w:proofErr w:type="gramStart"/>
      <w:r>
        <w:rPr>
          <w:lang w:eastAsia="zh-CN"/>
        </w:rPr>
        <w:t>推动绿电应用</w:t>
      </w:r>
      <w:proofErr w:type="gramEnd"/>
      <w:r>
        <w:rPr>
          <w:lang w:eastAsia="zh-CN"/>
        </w:rPr>
        <w:t>。政策层面，国家能源局强调多能融合发展，国家数据局要求枢纽</w:t>
      </w:r>
      <w:proofErr w:type="gramStart"/>
      <w:r>
        <w:rPr>
          <w:lang w:eastAsia="zh-CN"/>
        </w:rPr>
        <w:t>算力设施绿电</w:t>
      </w:r>
      <w:proofErr w:type="gramEnd"/>
      <w:r>
        <w:rPr>
          <w:lang w:eastAsia="zh-CN"/>
        </w:rPr>
        <w:t>使用比例不低于80%，国家电投拟定今年投资规模2000亿元同比增幅17%，国家</w:t>
      </w:r>
      <w:proofErr w:type="gramStart"/>
      <w:r>
        <w:rPr>
          <w:lang w:eastAsia="zh-CN"/>
        </w:rPr>
        <w:t>发改委推动</w:t>
      </w:r>
      <w:proofErr w:type="gramEnd"/>
      <w:r>
        <w:rPr>
          <w:lang w:eastAsia="zh-CN"/>
        </w:rPr>
        <w:t>新增清洁能源发电覆盖全社会新增用电需求；政策密集落地支撑行业高景气发展。</w:t>
      </w:r>
    </w:p>
    <w:p w:rsidR="006E37C0" w:rsidRDefault="006E37C0">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6E37C0">
        <w:trPr>
          <w:jc w:val="center"/>
        </w:trPr>
        <w:tc>
          <w:tcPr>
            <w:tcW w:w="4323" w:type="dxa"/>
          </w:tcPr>
          <w:p w:rsidR="006E37C0" w:rsidRDefault="001B7363">
            <w:proofErr w:type="spellStart"/>
            <w:r>
              <w:rPr>
                <w:rFonts w:ascii="楷体" w:eastAsia="楷体" w:hAnsi="楷体"/>
                <w:b/>
              </w:rPr>
              <w:t>相关产品</w:t>
            </w:r>
            <w:proofErr w:type="spellEnd"/>
          </w:p>
        </w:tc>
        <w:tc>
          <w:tcPr>
            <w:tcW w:w="4323" w:type="dxa"/>
          </w:tcPr>
          <w:p w:rsidR="006E37C0" w:rsidRDefault="001B7363">
            <w:r>
              <w:rPr>
                <w:rFonts w:ascii="楷体" w:eastAsia="楷体" w:hAnsi="楷体"/>
                <w:b/>
              </w:rPr>
              <w:t>相关产品</w:t>
            </w:r>
          </w:p>
        </w:tc>
      </w:tr>
      <w:tr w:rsidR="006E37C0">
        <w:trPr>
          <w:jc w:val="center"/>
        </w:trPr>
        <w:tc>
          <w:tcPr>
            <w:tcW w:w="4323" w:type="dxa"/>
          </w:tcPr>
          <w:p w:rsidR="006E37C0" w:rsidRDefault="001B7363">
            <w:pPr>
              <w:rPr>
                <w:lang w:eastAsia="zh-CN"/>
              </w:rPr>
            </w:pPr>
            <w:r>
              <w:rPr>
                <w:rFonts w:ascii="楷体" w:eastAsia="楷体" w:hAnsi="楷体"/>
                <w:lang w:eastAsia="zh-CN"/>
              </w:rPr>
              <w:t>创业板50ETF华安(159949.SZ)</w:t>
            </w:r>
          </w:p>
        </w:tc>
        <w:tc>
          <w:tcPr>
            <w:tcW w:w="4323" w:type="dxa"/>
          </w:tcPr>
          <w:p w:rsidR="006E37C0" w:rsidRDefault="001B7363">
            <w:r>
              <w:rPr>
                <w:rFonts w:ascii="楷体" w:eastAsia="楷体" w:hAnsi="楷体"/>
              </w:rPr>
              <w:t>新能源50ETF华安(516270.SH)</w:t>
            </w:r>
          </w:p>
        </w:tc>
      </w:tr>
      <w:tr w:rsidR="006E37C0">
        <w:trPr>
          <w:jc w:val="center"/>
        </w:trPr>
        <w:tc>
          <w:tcPr>
            <w:tcW w:w="4323" w:type="dxa"/>
          </w:tcPr>
          <w:p w:rsidR="006E37C0" w:rsidRDefault="001B7363">
            <w:r>
              <w:rPr>
                <w:rFonts w:ascii="楷体" w:eastAsia="楷体" w:hAnsi="楷体"/>
              </w:rPr>
              <w:t>光伏ETF华安(159618.SZ)</w:t>
            </w:r>
          </w:p>
        </w:tc>
        <w:tc>
          <w:tcPr>
            <w:tcW w:w="4323" w:type="dxa"/>
          </w:tcPr>
          <w:p w:rsidR="006E37C0" w:rsidRDefault="001B7363">
            <w:pPr>
              <w:rPr>
                <w:lang w:eastAsia="zh-CN"/>
              </w:rPr>
            </w:pPr>
            <w:r>
              <w:rPr>
                <w:rFonts w:ascii="楷体" w:eastAsia="楷体" w:hAnsi="楷体"/>
                <w:lang w:eastAsia="zh-CN"/>
              </w:rPr>
              <w:t>新能源车ETF华安(516660.SH)</w:t>
            </w:r>
          </w:p>
        </w:tc>
      </w:tr>
    </w:tbl>
    <w:p w:rsidR="006E37C0" w:rsidRDefault="006E37C0">
      <w:pPr>
        <w:spacing w:after="0" w:line="240" w:lineRule="auto"/>
        <w:rPr>
          <w:lang w:eastAsia="zh-CN"/>
        </w:rPr>
      </w:pPr>
    </w:p>
    <w:p w:rsidR="006E37C0" w:rsidRDefault="001B7363">
      <w:pPr>
        <w:pStyle w:val="Sub"/>
        <w:rPr>
          <w:lang w:eastAsia="zh-CN"/>
        </w:rPr>
      </w:pPr>
      <w:r>
        <w:rPr>
          <w:lang w:eastAsia="zh-CN"/>
        </w:rPr>
        <w:t>※※ 消费</w:t>
      </w:r>
    </w:p>
    <w:p w:rsidR="006E37C0" w:rsidRDefault="001B7363">
      <w:pPr>
        <w:pStyle w:val="Para"/>
        <w:rPr>
          <w:lang w:eastAsia="zh-CN"/>
        </w:rPr>
      </w:pPr>
      <w:r>
        <w:rPr>
          <w:lang w:eastAsia="zh-CN"/>
        </w:rPr>
        <w:t>消费行业近期热点集中在服务消费新场景和消费新增长点。中国商业联合会报告指出人工智能加速催生服务消费新场景，推动服务消费向个性化、体验化升级，如零售门店AI视觉秤智能识别商品重量，部分咖啡店推出“AI咖啡工坊”支持语音定制，这反映了技术驱动消费体验持续优化。商务部称将优化实施消费品以旧换新促进汽车、家电、数码等大宗耐用商品消费，并开展汽车流通改革试点释放消费潜力，显示政策刺激大宗需求回升。商务部还推动举办“购在中国”专题活动营造消费氛围，加快国际消费中心城市培育建设</w:t>
      </w:r>
      <w:r>
        <w:rPr>
          <w:lang w:eastAsia="zh-CN"/>
        </w:rPr>
        <w:lastRenderedPageBreak/>
        <w:t>推进消费新业态试点。</w:t>
      </w:r>
      <w:proofErr w:type="gramStart"/>
      <w:r>
        <w:rPr>
          <w:lang w:eastAsia="zh-CN"/>
        </w:rPr>
        <w:t>国家发改委</w:t>
      </w:r>
      <w:proofErr w:type="gramEnd"/>
      <w:r>
        <w:rPr>
          <w:lang w:eastAsia="zh-CN"/>
        </w:rPr>
        <w:t>表示清理消费领域不合理限制措施，建立健全新消费业</w:t>
      </w:r>
      <w:proofErr w:type="gramStart"/>
      <w:r>
        <w:rPr>
          <w:lang w:eastAsia="zh-CN"/>
        </w:rPr>
        <w:t>态管理</w:t>
      </w:r>
      <w:proofErr w:type="gramEnd"/>
      <w:r>
        <w:rPr>
          <w:lang w:eastAsia="zh-CN"/>
        </w:rPr>
        <w:t>模式加快培育新增长点，这有助于打通供需卡点堵点。农行数据显示去年末个人消费贷款新增1196亿元增速9.0%，科技贷款增速20.1%，表明消费信贷扩张支撑创新需求。江苏</w:t>
      </w:r>
      <w:proofErr w:type="gramStart"/>
      <w:r>
        <w:rPr>
          <w:lang w:eastAsia="zh-CN"/>
        </w:rPr>
        <w:t>脑机接口</w:t>
      </w:r>
      <w:proofErr w:type="gramEnd"/>
      <w:r>
        <w:rPr>
          <w:lang w:eastAsia="zh-CN"/>
        </w:rPr>
        <w:t>方案计划到2030年培育不少于30个</w:t>
      </w:r>
      <w:proofErr w:type="gramStart"/>
      <w:r>
        <w:rPr>
          <w:lang w:eastAsia="zh-CN"/>
        </w:rPr>
        <w:t>脑机接口</w:t>
      </w:r>
      <w:proofErr w:type="gramEnd"/>
      <w:r>
        <w:rPr>
          <w:lang w:eastAsia="zh-CN"/>
        </w:rPr>
        <w:t>+消费典型应用场景，多地下场“养龙虾”政策提供</w:t>
      </w:r>
      <w:proofErr w:type="spellStart"/>
      <w:r>
        <w:rPr>
          <w:lang w:eastAsia="zh-CN"/>
        </w:rPr>
        <w:t>OpenClaw</w:t>
      </w:r>
      <w:proofErr w:type="spellEnd"/>
      <w:r>
        <w:rPr>
          <w:lang w:eastAsia="zh-CN"/>
        </w:rPr>
        <w:t>免费部署支持新兴消费场景发展。政策层面，消费政策变化包括放宽准入优化监管、清理不合理限制、实施以旧换新和试点活动推动消费环境改善。</w:t>
      </w:r>
    </w:p>
    <w:p w:rsidR="006E37C0" w:rsidRDefault="006E37C0">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6E37C0">
        <w:trPr>
          <w:jc w:val="center"/>
        </w:trPr>
        <w:tc>
          <w:tcPr>
            <w:tcW w:w="4323" w:type="dxa"/>
          </w:tcPr>
          <w:p w:rsidR="006E37C0" w:rsidRDefault="001B7363">
            <w:proofErr w:type="spellStart"/>
            <w:r>
              <w:rPr>
                <w:rFonts w:ascii="楷体" w:eastAsia="楷体" w:hAnsi="楷体"/>
                <w:b/>
              </w:rPr>
              <w:t>相关产品</w:t>
            </w:r>
            <w:proofErr w:type="spellEnd"/>
          </w:p>
        </w:tc>
        <w:tc>
          <w:tcPr>
            <w:tcW w:w="4323" w:type="dxa"/>
          </w:tcPr>
          <w:p w:rsidR="006E37C0" w:rsidRDefault="001B7363">
            <w:r>
              <w:rPr>
                <w:rFonts w:ascii="楷体" w:eastAsia="楷体" w:hAnsi="楷体"/>
                <w:b/>
              </w:rPr>
              <w:t>相关产品</w:t>
            </w:r>
          </w:p>
        </w:tc>
      </w:tr>
      <w:tr w:rsidR="006E37C0">
        <w:trPr>
          <w:jc w:val="center"/>
        </w:trPr>
        <w:tc>
          <w:tcPr>
            <w:tcW w:w="4323" w:type="dxa"/>
          </w:tcPr>
          <w:p w:rsidR="006E37C0" w:rsidRDefault="001B7363">
            <w:pPr>
              <w:rPr>
                <w:lang w:eastAsia="zh-CN"/>
              </w:rPr>
            </w:pPr>
            <w:r>
              <w:rPr>
                <w:rFonts w:ascii="楷体" w:eastAsia="楷体" w:hAnsi="楷体"/>
                <w:lang w:eastAsia="zh-CN"/>
              </w:rPr>
              <w:t>食品饮料ETF华安(516900.SH)</w:t>
            </w:r>
          </w:p>
        </w:tc>
        <w:tc>
          <w:tcPr>
            <w:tcW w:w="4323" w:type="dxa"/>
          </w:tcPr>
          <w:p w:rsidR="006E37C0" w:rsidRDefault="001B7363">
            <w:pPr>
              <w:rPr>
                <w:lang w:eastAsia="zh-CN"/>
              </w:rPr>
            </w:pPr>
            <w:r>
              <w:rPr>
                <w:rFonts w:ascii="楷体" w:eastAsia="楷体" w:hAnsi="楷体"/>
                <w:lang w:eastAsia="zh-CN"/>
              </w:rPr>
              <w:t>港股</w:t>
            </w:r>
            <w:proofErr w:type="gramStart"/>
            <w:r>
              <w:rPr>
                <w:rFonts w:ascii="楷体" w:eastAsia="楷体" w:hAnsi="楷体"/>
                <w:lang w:eastAsia="zh-CN"/>
              </w:rPr>
              <w:t>通消费</w:t>
            </w:r>
            <w:proofErr w:type="gramEnd"/>
            <w:r>
              <w:rPr>
                <w:rFonts w:ascii="楷体" w:eastAsia="楷体" w:hAnsi="楷体"/>
                <w:lang w:eastAsia="zh-CN"/>
              </w:rPr>
              <w:t>ETF华安(159285.SZ)</w:t>
            </w:r>
          </w:p>
        </w:tc>
      </w:tr>
    </w:tbl>
    <w:p w:rsidR="006E37C0" w:rsidRDefault="006E37C0">
      <w:pPr>
        <w:spacing w:after="0" w:line="240" w:lineRule="auto"/>
        <w:rPr>
          <w:lang w:eastAsia="zh-CN"/>
        </w:rPr>
      </w:pPr>
    </w:p>
    <w:p w:rsidR="006E37C0" w:rsidRDefault="001B7363">
      <w:pPr>
        <w:pStyle w:val="Sub"/>
        <w:rPr>
          <w:lang w:eastAsia="zh-CN"/>
        </w:rPr>
      </w:pPr>
      <w:r>
        <w:rPr>
          <w:lang w:eastAsia="zh-CN"/>
        </w:rPr>
        <w:t>※※ 金融地产</w:t>
      </w:r>
    </w:p>
    <w:p w:rsidR="006E37C0" w:rsidRDefault="001B7363">
      <w:pPr>
        <w:pStyle w:val="Para"/>
        <w:rPr>
          <w:lang w:eastAsia="zh-CN"/>
        </w:rPr>
      </w:pPr>
      <w:r>
        <w:rPr>
          <w:lang w:eastAsia="zh-CN"/>
        </w:rPr>
        <w:t>金融地产行业近期热点集中在政策支持和市场回暖。房地产板块呈现反弹趋势，国家统计局数据显示2025年12月一线城市新建商品住宅价格环比</w:t>
      </w:r>
      <w:proofErr w:type="gramStart"/>
      <w:r>
        <w:rPr>
          <w:lang w:eastAsia="zh-CN"/>
        </w:rPr>
        <w:t>降幅收</w:t>
      </w:r>
      <w:proofErr w:type="gramEnd"/>
      <w:r>
        <w:rPr>
          <w:lang w:eastAsia="zh-CN"/>
        </w:rPr>
        <w:t>窄0.1个百分点至0.3%，其中上海上涨0.2%，表明价格压力缓解。北京楼市新政实施后，中原地产数据显示新房</w:t>
      </w:r>
      <w:proofErr w:type="gramStart"/>
      <w:r>
        <w:rPr>
          <w:lang w:eastAsia="zh-CN"/>
        </w:rPr>
        <w:t>日均网签量环</w:t>
      </w:r>
      <w:proofErr w:type="gramEnd"/>
      <w:r>
        <w:rPr>
          <w:lang w:eastAsia="zh-CN"/>
        </w:rPr>
        <w:t>比增长44.6%，二手房日均成交超过500套，价格跌幅收窄，核心区房源趋稳，反映出需求</w:t>
      </w:r>
      <w:proofErr w:type="gramStart"/>
      <w:r>
        <w:rPr>
          <w:lang w:eastAsia="zh-CN"/>
        </w:rPr>
        <w:t>端活跃</w:t>
      </w:r>
      <w:proofErr w:type="gramEnd"/>
      <w:r>
        <w:rPr>
          <w:lang w:eastAsia="zh-CN"/>
        </w:rPr>
        <w:t>度提升。金融机构针对青年群体推出特色产品和服务，支持安居置业，刺激信贷需求增长。研究机构称银行板块红利属性延续，受资金面和政策驱动，业绩平稳修复，预示行业估值重构潜力。政策层面，国家</w:t>
      </w:r>
      <w:proofErr w:type="gramStart"/>
      <w:r>
        <w:rPr>
          <w:lang w:eastAsia="zh-CN"/>
        </w:rPr>
        <w:t>发改委强调</w:t>
      </w:r>
      <w:proofErr w:type="gramEnd"/>
      <w:r>
        <w:rPr>
          <w:lang w:eastAsia="zh-CN"/>
        </w:rPr>
        <w:t>加强财政政策和金融政策配合联动，形成政策放大效应，促进逆周期调节。金融法草案公开征求意见，支持中长期资金入市以增强资本市场稳定性，并建立金融市场风险快速反应机制，央行可实施逆周期、跨周期宏观调控，应对市场异常波动。</w:t>
      </w:r>
    </w:p>
    <w:p w:rsidR="006E37C0" w:rsidRDefault="006E37C0">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6E37C0">
        <w:trPr>
          <w:jc w:val="center"/>
        </w:trPr>
        <w:tc>
          <w:tcPr>
            <w:tcW w:w="4323" w:type="dxa"/>
          </w:tcPr>
          <w:p w:rsidR="006E37C0" w:rsidRDefault="001B7363">
            <w:proofErr w:type="spellStart"/>
            <w:r>
              <w:rPr>
                <w:rFonts w:ascii="楷体" w:eastAsia="楷体" w:hAnsi="楷体"/>
                <w:b/>
              </w:rPr>
              <w:t>相关产品</w:t>
            </w:r>
            <w:proofErr w:type="spellEnd"/>
          </w:p>
        </w:tc>
        <w:tc>
          <w:tcPr>
            <w:tcW w:w="4323" w:type="dxa"/>
          </w:tcPr>
          <w:p w:rsidR="006E37C0" w:rsidRDefault="001B7363">
            <w:r>
              <w:rPr>
                <w:rFonts w:ascii="楷体" w:eastAsia="楷体" w:hAnsi="楷体"/>
                <w:b/>
              </w:rPr>
              <w:t>相关产品</w:t>
            </w:r>
          </w:p>
        </w:tc>
      </w:tr>
      <w:tr w:rsidR="006E37C0">
        <w:trPr>
          <w:jc w:val="center"/>
        </w:trPr>
        <w:tc>
          <w:tcPr>
            <w:tcW w:w="4323" w:type="dxa"/>
          </w:tcPr>
          <w:p w:rsidR="006E37C0" w:rsidRDefault="001B7363">
            <w:r>
              <w:rPr>
                <w:rFonts w:ascii="楷体" w:eastAsia="楷体" w:hAnsi="楷体"/>
              </w:rPr>
              <w:t>银行ETF华安(516210.SH)</w:t>
            </w:r>
          </w:p>
        </w:tc>
        <w:tc>
          <w:tcPr>
            <w:tcW w:w="4323" w:type="dxa"/>
          </w:tcPr>
          <w:p w:rsidR="006E37C0" w:rsidRDefault="001B7363">
            <w:r>
              <w:rPr>
                <w:rFonts w:ascii="楷体" w:eastAsia="楷体" w:hAnsi="楷体"/>
              </w:rPr>
              <w:t>证券ETF华安(516200.SH)</w:t>
            </w:r>
          </w:p>
        </w:tc>
      </w:tr>
    </w:tbl>
    <w:p w:rsidR="006E37C0" w:rsidRDefault="006E37C0">
      <w:pPr>
        <w:spacing w:after="0" w:line="240" w:lineRule="auto"/>
      </w:pPr>
    </w:p>
    <w:p w:rsidR="006E37C0" w:rsidRDefault="001B7363">
      <w:pPr>
        <w:pStyle w:val="Sub"/>
      </w:pPr>
      <w:r>
        <w:t>※※ 医药生物</w:t>
      </w:r>
    </w:p>
    <w:p w:rsidR="006E37C0" w:rsidRDefault="001B7363">
      <w:pPr>
        <w:pStyle w:val="Para"/>
        <w:rPr>
          <w:lang w:eastAsia="zh-CN"/>
        </w:rPr>
      </w:pPr>
      <w:r>
        <w:rPr>
          <w:lang w:eastAsia="zh-CN"/>
        </w:rPr>
        <w:t>医药生物行业近期热点集中在创新药出海、盈利修复和政策支持。国家药监</w:t>
      </w:r>
      <w:proofErr w:type="gramStart"/>
      <w:r>
        <w:rPr>
          <w:lang w:eastAsia="zh-CN"/>
        </w:rPr>
        <w:t>局数据</w:t>
      </w:r>
      <w:proofErr w:type="gramEnd"/>
      <w:r>
        <w:rPr>
          <w:lang w:eastAsia="zh-CN"/>
        </w:rPr>
        <w:t>显示2026年一季度创新</w:t>
      </w:r>
      <w:proofErr w:type="gramStart"/>
      <w:r>
        <w:rPr>
          <w:lang w:eastAsia="zh-CN"/>
        </w:rPr>
        <w:t>药对外</w:t>
      </w:r>
      <w:proofErr w:type="gramEnd"/>
      <w:r>
        <w:rPr>
          <w:lang w:eastAsia="zh-CN"/>
        </w:rPr>
        <w:t>授权交易总额突破600亿美元，接近2025年全年总额的一半，表明国产创新</w:t>
      </w:r>
      <w:proofErr w:type="gramStart"/>
      <w:r>
        <w:rPr>
          <w:lang w:eastAsia="zh-CN"/>
        </w:rPr>
        <w:t>药全球</w:t>
      </w:r>
      <w:proofErr w:type="gramEnd"/>
      <w:r>
        <w:rPr>
          <w:lang w:eastAsia="zh-CN"/>
        </w:rPr>
        <w:t>竞争力持续提升；2025年约20家公司净利润</w:t>
      </w:r>
      <w:proofErr w:type="gramStart"/>
      <w:r>
        <w:rPr>
          <w:lang w:eastAsia="zh-CN"/>
        </w:rPr>
        <w:t>增速超</w:t>
      </w:r>
      <w:proofErr w:type="gramEnd"/>
      <w:r>
        <w:rPr>
          <w:lang w:eastAsia="zh-CN"/>
        </w:rPr>
        <w:t>100%，龙头跨过盈亏平衡点，显示行业盈利修复显著；2026年政府工作报告首次将生物医药列为国家打造的"新兴支柱产业"，为行业提供强劲政策支撑。产业层面，中国创新药从引进模仿转向创新输出，2025年对外授权交易157笔、总金额1357亿美元，首付款较2024年翻倍，2026年融资额累积突破150亿元，对外授权首付款超20亿美元，产业活力提升。技术层面，国家</w:t>
      </w:r>
      <w:proofErr w:type="gramStart"/>
      <w:r>
        <w:rPr>
          <w:lang w:eastAsia="zh-CN"/>
        </w:rPr>
        <w:t>医</w:t>
      </w:r>
      <w:proofErr w:type="gramEnd"/>
      <w:r>
        <w:rPr>
          <w:lang w:eastAsia="zh-CN"/>
        </w:rPr>
        <w:t>保</w:t>
      </w:r>
      <w:proofErr w:type="gramStart"/>
      <w:r>
        <w:rPr>
          <w:lang w:eastAsia="zh-CN"/>
        </w:rPr>
        <w:t>局推动</w:t>
      </w:r>
      <w:proofErr w:type="gramEnd"/>
      <w:r>
        <w:rPr>
          <w:lang w:eastAsia="zh-CN"/>
        </w:rPr>
        <w:t>全国医疗服务价格项目统一，支持精准医疗和远程医疗等新场景应用，加</w:t>
      </w:r>
      <w:r>
        <w:rPr>
          <w:lang w:eastAsia="zh-CN"/>
        </w:rPr>
        <w:lastRenderedPageBreak/>
        <w:t>快临床转化。政策层面，十四届全国人大四次会议明确生物医药为国家级新兴支柱产业，工信部将其作为</w:t>
      </w:r>
      <w:proofErr w:type="gramStart"/>
      <w:r>
        <w:rPr>
          <w:lang w:eastAsia="zh-CN"/>
        </w:rPr>
        <w:t>十五五</w:t>
      </w:r>
      <w:proofErr w:type="gramEnd"/>
      <w:r>
        <w:rPr>
          <w:lang w:eastAsia="zh-CN"/>
        </w:rPr>
        <w:t>重点任务，</w:t>
      </w:r>
      <w:proofErr w:type="gramStart"/>
      <w:r>
        <w:rPr>
          <w:lang w:eastAsia="zh-CN"/>
        </w:rPr>
        <w:t>医</w:t>
      </w:r>
      <w:proofErr w:type="gramEnd"/>
      <w:r>
        <w:rPr>
          <w:lang w:eastAsia="zh-CN"/>
        </w:rPr>
        <w:t>保</w:t>
      </w:r>
      <w:proofErr w:type="gramStart"/>
      <w:r>
        <w:rPr>
          <w:lang w:eastAsia="zh-CN"/>
        </w:rPr>
        <w:t>局完善</w:t>
      </w:r>
      <w:proofErr w:type="gramEnd"/>
      <w:r>
        <w:rPr>
          <w:lang w:eastAsia="zh-CN"/>
        </w:rPr>
        <w:t>新增价格项目管理，稳定市场预期。</w:t>
      </w:r>
    </w:p>
    <w:p w:rsidR="006E37C0" w:rsidRDefault="006E37C0">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6E37C0">
        <w:trPr>
          <w:jc w:val="center"/>
        </w:trPr>
        <w:tc>
          <w:tcPr>
            <w:tcW w:w="4323" w:type="dxa"/>
          </w:tcPr>
          <w:p w:rsidR="006E37C0" w:rsidRDefault="001B7363">
            <w:proofErr w:type="spellStart"/>
            <w:r>
              <w:rPr>
                <w:rFonts w:ascii="楷体" w:eastAsia="楷体" w:hAnsi="楷体"/>
                <w:b/>
              </w:rPr>
              <w:t>相关产品</w:t>
            </w:r>
            <w:proofErr w:type="spellEnd"/>
          </w:p>
        </w:tc>
        <w:tc>
          <w:tcPr>
            <w:tcW w:w="4323" w:type="dxa"/>
          </w:tcPr>
          <w:p w:rsidR="006E37C0" w:rsidRDefault="001B7363">
            <w:r>
              <w:rPr>
                <w:rFonts w:ascii="楷体" w:eastAsia="楷体" w:hAnsi="楷体"/>
                <w:b/>
              </w:rPr>
              <w:t>相关产品</w:t>
            </w:r>
          </w:p>
        </w:tc>
      </w:tr>
      <w:tr w:rsidR="006E37C0">
        <w:trPr>
          <w:jc w:val="center"/>
        </w:trPr>
        <w:tc>
          <w:tcPr>
            <w:tcW w:w="4323" w:type="dxa"/>
          </w:tcPr>
          <w:p w:rsidR="006E37C0" w:rsidRDefault="001B7363">
            <w:r>
              <w:rPr>
                <w:rFonts w:ascii="楷体" w:eastAsia="楷体" w:hAnsi="楷体"/>
              </w:rPr>
              <w:t>医药ETF华安(512120.SH)</w:t>
            </w:r>
          </w:p>
        </w:tc>
        <w:tc>
          <w:tcPr>
            <w:tcW w:w="4323" w:type="dxa"/>
          </w:tcPr>
          <w:p w:rsidR="006E37C0" w:rsidRDefault="001B7363">
            <w:pPr>
              <w:rPr>
                <w:lang w:eastAsia="zh-CN"/>
              </w:rPr>
            </w:pPr>
            <w:r>
              <w:rPr>
                <w:rFonts w:ascii="楷体" w:eastAsia="楷体" w:hAnsi="楷体"/>
                <w:lang w:eastAsia="zh-CN"/>
              </w:rPr>
              <w:t>生物医药ETF华安(159508.SZ)</w:t>
            </w:r>
          </w:p>
        </w:tc>
      </w:tr>
      <w:tr w:rsidR="006E37C0">
        <w:trPr>
          <w:jc w:val="center"/>
        </w:trPr>
        <w:tc>
          <w:tcPr>
            <w:tcW w:w="4323" w:type="dxa"/>
          </w:tcPr>
          <w:p w:rsidR="006E37C0" w:rsidRDefault="001B7363">
            <w:proofErr w:type="spellStart"/>
            <w:r>
              <w:rPr>
                <w:rFonts w:ascii="楷体" w:eastAsia="楷体" w:hAnsi="楷体"/>
              </w:rPr>
              <w:t>港股通生物科技ETF华安</w:t>
            </w:r>
            <w:proofErr w:type="spellEnd"/>
            <w:r>
              <w:rPr>
                <w:rFonts w:ascii="楷体" w:eastAsia="楷体" w:hAnsi="楷体"/>
              </w:rPr>
              <w:t>(159102.SZ)</w:t>
            </w:r>
          </w:p>
        </w:tc>
        <w:tc>
          <w:tcPr>
            <w:tcW w:w="4323" w:type="dxa"/>
          </w:tcPr>
          <w:p w:rsidR="006E37C0" w:rsidRDefault="006E37C0"/>
        </w:tc>
      </w:tr>
    </w:tbl>
    <w:p w:rsidR="006E37C0" w:rsidRDefault="006E37C0">
      <w:pPr>
        <w:spacing w:after="0" w:line="240" w:lineRule="auto"/>
      </w:pPr>
    </w:p>
    <w:p w:rsidR="006E37C0" w:rsidRDefault="001B7363">
      <w:r>
        <w:br w:type="page"/>
      </w:r>
    </w:p>
    <w:p w:rsidR="006E37C0" w:rsidRDefault="001B7363">
      <w:pPr>
        <w:pStyle w:val="Head"/>
      </w:pPr>
      <w:r>
        <w:lastRenderedPageBreak/>
        <w:t>■ 海外市场</w:t>
      </w:r>
    </w:p>
    <w:p w:rsidR="006E37C0" w:rsidRDefault="001B7363">
      <w:pPr>
        <w:pStyle w:val="Para"/>
        <w:rPr>
          <w:lang w:eastAsia="zh-CN"/>
        </w:rPr>
      </w:pPr>
      <w:r>
        <w:rPr>
          <w:lang w:eastAsia="zh-CN"/>
        </w:rPr>
        <w:t>本周海外权益方面，全球市场表现分化，港股市场上涨，亚洲市场普遍上涨，美股市场上涨，欧洲市场普遍上涨。</w:t>
      </w:r>
    </w:p>
    <w:p w:rsidR="006E37C0" w:rsidRDefault="001B7363">
      <w:pPr>
        <w:pStyle w:val="Cap"/>
        <w:rPr>
          <w:lang w:eastAsia="zh-CN"/>
        </w:rPr>
      </w:pPr>
      <w:r>
        <w:rPr>
          <w:lang w:eastAsia="zh-CN"/>
        </w:rPr>
        <w:t>表</w:t>
      </w:r>
      <w:proofErr w:type="gramStart"/>
      <w:r>
        <w:rPr>
          <w:lang w:eastAsia="zh-CN"/>
        </w:rPr>
        <w:t>一</w:t>
      </w:r>
      <w:proofErr w:type="gramEnd"/>
      <w:r>
        <w:rPr>
          <w:lang w:eastAsia="zh-CN"/>
        </w:rPr>
        <w:t>：全球主要市场地区指数周内涨跌幅</w:t>
      </w:r>
    </w:p>
    <w:tbl>
      <w:tblPr>
        <w:tblStyle w:val="aff1"/>
        <w:tblW w:w="0" w:type="auto"/>
        <w:jc w:val="center"/>
        <w:tblLook w:val="04A0" w:firstRow="1" w:lastRow="0" w:firstColumn="1" w:lastColumn="0" w:noHBand="0" w:noVBand="1"/>
      </w:tblPr>
      <w:tblGrid>
        <w:gridCol w:w="2882"/>
        <w:gridCol w:w="2882"/>
        <w:gridCol w:w="2882"/>
      </w:tblGrid>
      <w:tr w:rsidR="006E37C0">
        <w:trPr>
          <w:jc w:val="center"/>
        </w:trPr>
        <w:tc>
          <w:tcPr>
            <w:tcW w:w="2882" w:type="dxa"/>
          </w:tcPr>
          <w:p w:rsidR="006E37C0" w:rsidRDefault="001B7363">
            <w:proofErr w:type="spellStart"/>
            <w:r>
              <w:rPr>
                <w:rFonts w:ascii="楷体" w:eastAsia="楷体" w:hAnsi="楷体"/>
                <w:b/>
              </w:rPr>
              <w:t>指数名称</w:t>
            </w:r>
            <w:proofErr w:type="spellEnd"/>
          </w:p>
        </w:tc>
        <w:tc>
          <w:tcPr>
            <w:tcW w:w="2882" w:type="dxa"/>
          </w:tcPr>
          <w:p w:rsidR="006E37C0" w:rsidRDefault="001B7363">
            <w:r>
              <w:rPr>
                <w:rFonts w:ascii="楷体" w:eastAsia="楷体" w:hAnsi="楷体"/>
                <w:b/>
              </w:rPr>
              <w:t>指数代码</w:t>
            </w:r>
          </w:p>
        </w:tc>
        <w:tc>
          <w:tcPr>
            <w:tcW w:w="2882" w:type="dxa"/>
          </w:tcPr>
          <w:p w:rsidR="006E37C0" w:rsidRDefault="001B7363">
            <w:r>
              <w:rPr>
                <w:rFonts w:ascii="楷体" w:eastAsia="楷体" w:hAnsi="楷体"/>
                <w:b/>
              </w:rPr>
              <w:t>周内涨跌幅</w:t>
            </w:r>
          </w:p>
        </w:tc>
      </w:tr>
      <w:tr w:rsidR="006E37C0">
        <w:trPr>
          <w:jc w:val="center"/>
        </w:trPr>
        <w:tc>
          <w:tcPr>
            <w:tcW w:w="2882" w:type="dxa"/>
          </w:tcPr>
          <w:p w:rsidR="006E37C0" w:rsidRDefault="001B7363">
            <w:r>
              <w:rPr>
                <w:rFonts w:ascii="楷体" w:eastAsia="楷体" w:hAnsi="楷体"/>
              </w:rPr>
              <w:t>恒生指数</w:t>
            </w:r>
          </w:p>
        </w:tc>
        <w:tc>
          <w:tcPr>
            <w:tcW w:w="2882" w:type="dxa"/>
          </w:tcPr>
          <w:p w:rsidR="006E37C0" w:rsidRDefault="001B7363">
            <w:r>
              <w:rPr>
                <w:rFonts w:ascii="楷体" w:eastAsia="楷体" w:hAnsi="楷体"/>
              </w:rPr>
              <w:t>HSI</w:t>
            </w:r>
          </w:p>
        </w:tc>
        <w:tc>
          <w:tcPr>
            <w:tcW w:w="2882" w:type="dxa"/>
          </w:tcPr>
          <w:p w:rsidR="006E37C0" w:rsidRDefault="001B7363">
            <w:r>
              <w:rPr>
                <w:rFonts w:ascii="楷体" w:eastAsia="楷体" w:hAnsi="楷体"/>
              </w:rPr>
              <w:t>1.03%</w:t>
            </w:r>
          </w:p>
        </w:tc>
      </w:tr>
      <w:tr w:rsidR="006E37C0">
        <w:trPr>
          <w:jc w:val="center"/>
        </w:trPr>
        <w:tc>
          <w:tcPr>
            <w:tcW w:w="2882" w:type="dxa"/>
          </w:tcPr>
          <w:p w:rsidR="006E37C0" w:rsidRDefault="001B7363">
            <w:r>
              <w:rPr>
                <w:rFonts w:ascii="楷体" w:eastAsia="楷体" w:hAnsi="楷体"/>
              </w:rPr>
              <w:t>恒生科技</w:t>
            </w:r>
          </w:p>
        </w:tc>
        <w:tc>
          <w:tcPr>
            <w:tcW w:w="2882" w:type="dxa"/>
          </w:tcPr>
          <w:p w:rsidR="006E37C0" w:rsidRDefault="001B7363">
            <w:r>
              <w:rPr>
                <w:rFonts w:ascii="楷体" w:eastAsia="楷体" w:hAnsi="楷体"/>
              </w:rPr>
              <w:t>HSTECH</w:t>
            </w:r>
          </w:p>
        </w:tc>
        <w:tc>
          <w:tcPr>
            <w:tcW w:w="2882" w:type="dxa"/>
          </w:tcPr>
          <w:p w:rsidR="006E37C0" w:rsidRDefault="001B7363">
            <w:r>
              <w:rPr>
                <w:rFonts w:ascii="楷体" w:eastAsia="楷体" w:hAnsi="楷体"/>
              </w:rPr>
              <w:t>3.75%</w:t>
            </w:r>
          </w:p>
        </w:tc>
      </w:tr>
      <w:tr w:rsidR="006E37C0">
        <w:trPr>
          <w:jc w:val="center"/>
        </w:trPr>
        <w:tc>
          <w:tcPr>
            <w:tcW w:w="2882" w:type="dxa"/>
          </w:tcPr>
          <w:p w:rsidR="006E37C0" w:rsidRDefault="001B7363">
            <w:pPr>
              <w:rPr>
                <w:lang w:eastAsia="zh-CN"/>
              </w:rPr>
            </w:pPr>
            <w:r>
              <w:rPr>
                <w:rFonts w:ascii="楷体" w:eastAsia="楷体" w:hAnsi="楷体"/>
                <w:lang w:eastAsia="zh-CN"/>
              </w:rPr>
              <w:t>恒生港股通</w:t>
            </w:r>
            <w:proofErr w:type="gramStart"/>
            <w:r>
              <w:rPr>
                <w:rFonts w:ascii="楷体" w:eastAsia="楷体" w:hAnsi="楷体"/>
                <w:lang w:eastAsia="zh-CN"/>
              </w:rPr>
              <w:t>中国央企红利</w:t>
            </w:r>
            <w:proofErr w:type="gramEnd"/>
          </w:p>
        </w:tc>
        <w:tc>
          <w:tcPr>
            <w:tcW w:w="2882" w:type="dxa"/>
          </w:tcPr>
          <w:p w:rsidR="006E37C0" w:rsidRDefault="001B7363">
            <w:r>
              <w:rPr>
                <w:rFonts w:ascii="楷体" w:eastAsia="楷体" w:hAnsi="楷体"/>
              </w:rPr>
              <w:t>HSSCSOY</w:t>
            </w:r>
          </w:p>
        </w:tc>
        <w:tc>
          <w:tcPr>
            <w:tcW w:w="2882" w:type="dxa"/>
          </w:tcPr>
          <w:p w:rsidR="006E37C0" w:rsidRDefault="001B7363">
            <w:r>
              <w:rPr>
                <w:rFonts w:ascii="楷体" w:eastAsia="楷体" w:hAnsi="楷体"/>
              </w:rPr>
              <w:t>-0.31%</w:t>
            </w:r>
          </w:p>
        </w:tc>
      </w:tr>
      <w:tr w:rsidR="006E37C0">
        <w:trPr>
          <w:jc w:val="center"/>
        </w:trPr>
        <w:tc>
          <w:tcPr>
            <w:tcW w:w="2882" w:type="dxa"/>
          </w:tcPr>
          <w:p w:rsidR="006E37C0" w:rsidRDefault="001B7363">
            <w:r>
              <w:rPr>
                <w:rFonts w:ascii="楷体" w:eastAsia="楷体" w:hAnsi="楷体"/>
              </w:rPr>
              <w:t>纳斯达克100</w:t>
            </w:r>
          </w:p>
        </w:tc>
        <w:tc>
          <w:tcPr>
            <w:tcW w:w="2882" w:type="dxa"/>
          </w:tcPr>
          <w:p w:rsidR="006E37C0" w:rsidRDefault="001B7363">
            <w:r>
              <w:rPr>
                <w:rFonts w:ascii="楷体" w:eastAsia="楷体" w:hAnsi="楷体"/>
              </w:rPr>
              <w:t>NDX</w:t>
            </w:r>
          </w:p>
        </w:tc>
        <w:tc>
          <w:tcPr>
            <w:tcW w:w="2882" w:type="dxa"/>
          </w:tcPr>
          <w:p w:rsidR="006E37C0" w:rsidRDefault="001B7363">
            <w:r>
              <w:rPr>
                <w:rFonts w:ascii="楷体" w:eastAsia="楷体" w:hAnsi="楷体"/>
              </w:rPr>
              <w:t>4.84%</w:t>
            </w:r>
          </w:p>
        </w:tc>
      </w:tr>
      <w:tr w:rsidR="006E37C0">
        <w:trPr>
          <w:jc w:val="center"/>
        </w:trPr>
        <w:tc>
          <w:tcPr>
            <w:tcW w:w="2882" w:type="dxa"/>
          </w:tcPr>
          <w:p w:rsidR="006E37C0" w:rsidRDefault="001B7363">
            <w:r>
              <w:rPr>
                <w:rFonts w:ascii="楷体" w:eastAsia="楷体" w:hAnsi="楷体"/>
              </w:rPr>
              <w:t>标普500</w:t>
            </w:r>
          </w:p>
        </w:tc>
        <w:tc>
          <w:tcPr>
            <w:tcW w:w="2882" w:type="dxa"/>
          </w:tcPr>
          <w:p w:rsidR="006E37C0" w:rsidRDefault="001B7363">
            <w:r>
              <w:rPr>
                <w:rFonts w:ascii="楷体" w:eastAsia="楷体" w:hAnsi="楷体"/>
              </w:rPr>
              <w:t>SPX</w:t>
            </w:r>
          </w:p>
        </w:tc>
        <w:tc>
          <w:tcPr>
            <w:tcW w:w="2882" w:type="dxa"/>
          </w:tcPr>
          <w:p w:rsidR="006E37C0" w:rsidRDefault="001B7363">
            <w:r>
              <w:rPr>
                <w:rFonts w:ascii="楷体" w:eastAsia="楷体" w:hAnsi="楷体"/>
              </w:rPr>
              <w:t>3.29%</w:t>
            </w:r>
          </w:p>
        </w:tc>
      </w:tr>
      <w:tr w:rsidR="006E37C0">
        <w:trPr>
          <w:jc w:val="center"/>
        </w:trPr>
        <w:tc>
          <w:tcPr>
            <w:tcW w:w="2882" w:type="dxa"/>
          </w:tcPr>
          <w:p w:rsidR="006E37C0" w:rsidRDefault="001B7363">
            <w:r>
              <w:rPr>
                <w:rFonts w:ascii="楷体" w:eastAsia="楷体" w:hAnsi="楷体"/>
              </w:rPr>
              <w:t>道琼斯工业指数</w:t>
            </w:r>
          </w:p>
        </w:tc>
        <w:tc>
          <w:tcPr>
            <w:tcW w:w="2882" w:type="dxa"/>
          </w:tcPr>
          <w:p w:rsidR="006E37C0" w:rsidRDefault="001B7363">
            <w:r>
              <w:rPr>
                <w:rFonts w:ascii="楷体" w:eastAsia="楷体" w:hAnsi="楷体"/>
              </w:rPr>
              <w:t>DJI</w:t>
            </w:r>
          </w:p>
        </w:tc>
        <w:tc>
          <w:tcPr>
            <w:tcW w:w="2882" w:type="dxa"/>
          </w:tcPr>
          <w:p w:rsidR="006E37C0" w:rsidRDefault="001B7363">
            <w:r>
              <w:rPr>
                <w:rFonts w:ascii="楷体" w:eastAsia="楷体" w:hAnsi="楷体"/>
              </w:rPr>
              <w:t>1.38%</w:t>
            </w:r>
          </w:p>
        </w:tc>
      </w:tr>
      <w:tr w:rsidR="006E37C0">
        <w:trPr>
          <w:jc w:val="center"/>
        </w:trPr>
        <w:tc>
          <w:tcPr>
            <w:tcW w:w="2882" w:type="dxa"/>
          </w:tcPr>
          <w:p w:rsidR="006E37C0" w:rsidRDefault="001B7363">
            <w:r>
              <w:rPr>
                <w:rFonts w:ascii="楷体" w:eastAsia="楷体" w:hAnsi="楷体"/>
              </w:rPr>
              <w:t>德国DAX</w:t>
            </w:r>
          </w:p>
        </w:tc>
        <w:tc>
          <w:tcPr>
            <w:tcW w:w="2882" w:type="dxa"/>
          </w:tcPr>
          <w:p w:rsidR="006E37C0" w:rsidRDefault="001B7363">
            <w:r>
              <w:rPr>
                <w:rFonts w:ascii="楷体" w:eastAsia="楷体" w:hAnsi="楷体"/>
              </w:rPr>
              <w:t>GDAXI</w:t>
            </w:r>
          </w:p>
        </w:tc>
        <w:tc>
          <w:tcPr>
            <w:tcW w:w="2882" w:type="dxa"/>
          </w:tcPr>
          <w:p w:rsidR="006E37C0" w:rsidRDefault="001B7363">
            <w:r>
              <w:rPr>
                <w:rFonts w:ascii="楷体" w:eastAsia="楷体" w:hAnsi="楷体"/>
              </w:rPr>
              <w:t>1.47%</w:t>
            </w:r>
          </w:p>
        </w:tc>
      </w:tr>
      <w:tr w:rsidR="006E37C0">
        <w:trPr>
          <w:jc w:val="center"/>
        </w:trPr>
        <w:tc>
          <w:tcPr>
            <w:tcW w:w="2882" w:type="dxa"/>
          </w:tcPr>
          <w:p w:rsidR="006E37C0" w:rsidRDefault="001B7363">
            <w:r>
              <w:rPr>
                <w:rFonts w:ascii="楷体" w:eastAsia="楷体" w:hAnsi="楷体"/>
              </w:rPr>
              <w:t>法国CAC40</w:t>
            </w:r>
          </w:p>
        </w:tc>
        <w:tc>
          <w:tcPr>
            <w:tcW w:w="2882" w:type="dxa"/>
          </w:tcPr>
          <w:p w:rsidR="006E37C0" w:rsidRDefault="001B7363">
            <w:r>
              <w:rPr>
                <w:rFonts w:ascii="楷体" w:eastAsia="楷体" w:hAnsi="楷体"/>
              </w:rPr>
              <w:t>FCHI</w:t>
            </w:r>
          </w:p>
        </w:tc>
        <w:tc>
          <w:tcPr>
            <w:tcW w:w="2882" w:type="dxa"/>
          </w:tcPr>
          <w:p w:rsidR="006E37C0" w:rsidRDefault="001B7363">
            <w:r>
              <w:rPr>
                <w:rFonts w:ascii="楷体" w:eastAsia="楷体" w:hAnsi="楷体"/>
              </w:rPr>
              <w:t>0.04%</w:t>
            </w:r>
          </w:p>
        </w:tc>
      </w:tr>
      <w:tr w:rsidR="006E37C0">
        <w:trPr>
          <w:jc w:val="center"/>
        </w:trPr>
        <w:tc>
          <w:tcPr>
            <w:tcW w:w="2882" w:type="dxa"/>
          </w:tcPr>
          <w:p w:rsidR="006E37C0" w:rsidRDefault="001B7363">
            <w:r>
              <w:rPr>
                <w:rFonts w:ascii="楷体" w:eastAsia="楷体" w:hAnsi="楷体"/>
              </w:rPr>
              <w:t>英国富时100</w:t>
            </w:r>
          </w:p>
        </w:tc>
        <w:tc>
          <w:tcPr>
            <w:tcW w:w="2882" w:type="dxa"/>
          </w:tcPr>
          <w:p w:rsidR="006E37C0" w:rsidRDefault="001B7363">
            <w:r>
              <w:rPr>
                <w:rFonts w:ascii="楷体" w:eastAsia="楷体" w:hAnsi="楷体"/>
              </w:rPr>
              <w:t>FTSE</w:t>
            </w:r>
          </w:p>
        </w:tc>
        <w:tc>
          <w:tcPr>
            <w:tcW w:w="2882" w:type="dxa"/>
          </w:tcPr>
          <w:p w:rsidR="006E37C0" w:rsidRDefault="001B7363">
            <w:r>
              <w:rPr>
                <w:rFonts w:ascii="楷体" w:eastAsia="楷体" w:hAnsi="楷体"/>
              </w:rPr>
              <w:t>-0.10%</w:t>
            </w:r>
          </w:p>
        </w:tc>
      </w:tr>
      <w:tr w:rsidR="006E37C0">
        <w:trPr>
          <w:jc w:val="center"/>
        </w:trPr>
        <w:tc>
          <w:tcPr>
            <w:tcW w:w="2882" w:type="dxa"/>
          </w:tcPr>
          <w:p w:rsidR="006E37C0" w:rsidRDefault="001B7363">
            <w:r>
              <w:rPr>
                <w:rFonts w:ascii="楷体" w:eastAsia="楷体" w:hAnsi="楷体"/>
              </w:rPr>
              <w:t>日经225</w:t>
            </w:r>
          </w:p>
        </w:tc>
        <w:tc>
          <w:tcPr>
            <w:tcW w:w="2882" w:type="dxa"/>
          </w:tcPr>
          <w:p w:rsidR="006E37C0" w:rsidRDefault="001B7363">
            <w:r>
              <w:rPr>
                <w:rFonts w:ascii="楷体" w:eastAsia="楷体" w:hAnsi="楷体"/>
              </w:rPr>
              <w:t>N225</w:t>
            </w:r>
          </w:p>
        </w:tc>
        <w:tc>
          <w:tcPr>
            <w:tcW w:w="2882" w:type="dxa"/>
          </w:tcPr>
          <w:p w:rsidR="006E37C0" w:rsidRDefault="001B7363">
            <w:r>
              <w:rPr>
                <w:rFonts w:ascii="楷体" w:eastAsia="楷体" w:hAnsi="楷体"/>
              </w:rPr>
              <w:t>2.73%</w:t>
            </w:r>
          </w:p>
        </w:tc>
      </w:tr>
      <w:tr w:rsidR="006E37C0">
        <w:trPr>
          <w:jc w:val="center"/>
        </w:trPr>
        <w:tc>
          <w:tcPr>
            <w:tcW w:w="2882" w:type="dxa"/>
          </w:tcPr>
          <w:p w:rsidR="006E37C0" w:rsidRDefault="001B7363">
            <w:r>
              <w:rPr>
                <w:rFonts w:ascii="楷体" w:eastAsia="楷体" w:hAnsi="楷体"/>
              </w:rPr>
              <w:t>韩国综合指数</w:t>
            </w:r>
          </w:p>
        </w:tc>
        <w:tc>
          <w:tcPr>
            <w:tcW w:w="2882" w:type="dxa"/>
          </w:tcPr>
          <w:p w:rsidR="006E37C0" w:rsidRDefault="001B7363">
            <w:r>
              <w:rPr>
                <w:rFonts w:ascii="楷体" w:eastAsia="楷体" w:hAnsi="楷体"/>
              </w:rPr>
              <w:t>KS11</w:t>
            </w:r>
          </w:p>
        </w:tc>
        <w:tc>
          <w:tcPr>
            <w:tcW w:w="2882" w:type="dxa"/>
          </w:tcPr>
          <w:p w:rsidR="006E37C0" w:rsidRDefault="001B7363">
            <w:r>
              <w:rPr>
                <w:rFonts w:ascii="楷体" w:eastAsia="楷体" w:hAnsi="楷体"/>
              </w:rPr>
              <w:t>5.68%</w:t>
            </w:r>
          </w:p>
        </w:tc>
      </w:tr>
      <w:tr w:rsidR="006E37C0">
        <w:trPr>
          <w:jc w:val="center"/>
        </w:trPr>
        <w:tc>
          <w:tcPr>
            <w:tcW w:w="2882" w:type="dxa"/>
          </w:tcPr>
          <w:p w:rsidR="006E37C0" w:rsidRDefault="001B7363">
            <w:r>
              <w:rPr>
                <w:rFonts w:ascii="楷体" w:eastAsia="楷体" w:hAnsi="楷体"/>
              </w:rPr>
              <w:t>印度Sensex30</w:t>
            </w:r>
          </w:p>
        </w:tc>
        <w:tc>
          <w:tcPr>
            <w:tcW w:w="2882" w:type="dxa"/>
          </w:tcPr>
          <w:p w:rsidR="006E37C0" w:rsidRDefault="001B7363">
            <w:r>
              <w:rPr>
                <w:rFonts w:ascii="楷体" w:eastAsia="楷体" w:hAnsi="楷体"/>
              </w:rPr>
              <w:t>SENSEX</w:t>
            </w:r>
          </w:p>
        </w:tc>
        <w:tc>
          <w:tcPr>
            <w:tcW w:w="2882" w:type="dxa"/>
          </w:tcPr>
          <w:p w:rsidR="006E37C0" w:rsidRDefault="001B7363">
            <w:r>
              <w:rPr>
                <w:rFonts w:ascii="楷体" w:eastAsia="楷体" w:hAnsi="楷体"/>
              </w:rPr>
              <w:t>0.57%</w:t>
            </w:r>
          </w:p>
        </w:tc>
      </w:tr>
    </w:tbl>
    <w:p w:rsidR="006E37C0" w:rsidRDefault="001B7363">
      <w:pPr>
        <w:pStyle w:val="Source"/>
        <w:rPr>
          <w:lang w:eastAsia="zh-CN"/>
        </w:rPr>
      </w:pPr>
      <w:r>
        <w:rPr>
          <w:lang w:eastAsia="zh-CN"/>
        </w:rPr>
        <w:t>数据来源：Wind，华安基金，截至2026-04-17</w:t>
      </w:r>
    </w:p>
    <w:p w:rsidR="006E37C0" w:rsidRDefault="006E37C0">
      <w:pPr>
        <w:spacing w:after="0" w:line="240" w:lineRule="auto"/>
        <w:rPr>
          <w:lang w:eastAsia="zh-CN"/>
        </w:rPr>
      </w:pPr>
    </w:p>
    <w:p w:rsidR="006E37C0" w:rsidRDefault="001B7363">
      <w:pPr>
        <w:pStyle w:val="Para"/>
        <w:rPr>
          <w:lang w:eastAsia="zh-CN"/>
        </w:rPr>
      </w:pPr>
      <w:r>
        <w:rPr>
          <w:lang w:eastAsia="zh-CN"/>
        </w:rPr>
        <w:t>本周港股科技板块呈现震荡修复态势，恒生科技指数经历下跌后反弹上涨。半导体板块持续领涨，大幅走高；生物医药板块受行业事件驱动显著上行；互联</w:t>
      </w:r>
      <w:proofErr w:type="gramStart"/>
      <w:r>
        <w:rPr>
          <w:lang w:eastAsia="zh-CN"/>
        </w:rPr>
        <w:t>网板块因人工智能</w:t>
      </w:r>
      <w:proofErr w:type="gramEnd"/>
      <w:r>
        <w:rPr>
          <w:lang w:eastAsia="zh-CN"/>
        </w:rPr>
        <w:t>概念活跃，但前期普遍下挫。资金持续流入港股科技领域，连续多日净流入规模显著；政策明确提出发展智能经济和人工智能，深化商业化应用。此外，一家AI公司计划上半年启动港股IPO，估值接近20亿美金。整体来看，基本面风险逐步消化、盈利预期企稳、流动性改善、估值处于历史低位区间以及政策利好催化共同支撑板块修复。</w:t>
      </w:r>
    </w:p>
    <w:p w:rsidR="006E37C0" w:rsidRDefault="006E37C0">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6E37C0">
        <w:trPr>
          <w:jc w:val="center"/>
        </w:trPr>
        <w:tc>
          <w:tcPr>
            <w:tcW w:w="4323" w:type="dxa"/>
          </w:tcPr>
          <w:p w:rsidR="006E37C0" w:rsidRDefault="001B7363">
            <w:proofErr w:type="spellStart"/>
            <w:r>
              <w:rPr>
                <w:rFonts w:ascii="楷体" w:eastAsia="楷体" w:hAnsi="楷体"/>
                <w:b/>
              </w:rPr>
              <w:t>相关产品</w:t>
            </w:r>
            <w:proofErr w:type="spellEnd"/>
          </w:p>
        </w:tc>
        <w:tc>
          <w:tcPr>
            <w:tcW w:w="4323" w:type="dxa"/>
          </w:tcPr>
          <w:p w:rsidR="006E37C0" w:rsidRDefault="001B7363">
            <w:r>
              <w:rPr>
                <w:rFonts w:ascii="楷体" w:eastAsia="楷体" w:hAnsi="楷体"/>
                <w:b/>
              </w:rPr>
              <w:t>相关产品</w:t>
            </w:r>
          </w:p>
        </w:tc>
      </w:tr>
      <w:tr w:rsidR="006E37C0">
        <w:trPr>
          <w:jc w:val="center"/>
        </w:trPr>
        <w:tc>
          <w:tcPr>
            <w:tcW w:w="4323" w:type="dxa"/>
          </w:tcPr>
          <w:p w:rsidR="006E37C0" w:rsidRDefault="001B7363">
            <w:r>
              <w:rPr>
                <w:rFonts w:ascii="楷体" w:eastAsia="楷体" w:hAnsi="楷体"/>
              </w:rPr>
              <w:t>恒生科技ETF华安(513580.SH)</w:t>
            </w:r>
          </w:p>
        </w:tc>
        <w:tc>
          <w:tcPr>
            <w:tcW w:w="4323" w:type="dxa"/>
          </w:tcPr>
          <w:p w:rsidR="006E37C0" w:rsidRDefault="001B7363">
            <w:pPr>
              <w:rPr>
                <w:lang w:eastAsia="zh-CN"/>
              </w:rPr>
            </w:pPr>
            <w:r>
              <w:rPr>
                <w:rFonts w:ascii="楷体" w:eastAsia="楷体" w:hAnsi="楷体"/>
                <w:lang w:eastAsia="zh-CN"/>
              </w:rPr>
              <w:t>恒生互联网ETF华安(159688.SZ)</w:t>
            </w:r>
          </w:p>
        </w:tc>
      </w:tr>
      <w:tr w:rsidR="006E37C0">
        <w:trPr>
          <w:jc w:val="center"/>
        </w:trPr>
        <w:tc>
          <w:tcPr>
            <w:tcW w:w="4323" w:type="dxa"/>
          </w:tcPr>
          <w:p w:rsidR="006E37C0" w:rsidRDefault="001B7363">
            <w:proofErr w:type="spellStart"/>
            <w:r>
              <w:rPr>
                <w:rFonts w:ascii="楷体" w:eastAsia="楷体" w:hAnsi="楷体"/>
              </w:rPr>
              <w:t>港股通恒生科技ETF华安</w:t>
            </w:r>
            <w:proofErr w:type="spellEnd"/>
            <w:r>
              <w:rPr>
                <w:rFonts w:ascii="楷体" w:eastAsia="楷体" w:hAnsi="楷体"/>
              </w:rPr>
              <w:t>(520840.SH)</w:t>
            </w:r>
          </w:p>
        </w:tc>
        <w:tc>
          <w:tcPr>
            <w:tcW w:w="4323" w:type="dxa"/>
          </w:tcPr>
          <w:p w:rsidR="006E37C0" w:rsidRDefault="001B7363">
            <w:r>
              <w:rPr>
                <w:rFonts w:ascii="楷体" w:eastAsia="楷体" w:hAnsi="楷体"/>
              </w:rPr>
              <w:t>港股通恒生ETF华安(520940.SH)</w:t>
            </w:r>
          </w:p>
        </w:tc>
      </w:tr>
      <w:tr w:rsidR="006E37C0">
        <w:trPr>
          <w:jc w:val="center"/>
        </w:trPr>
        <w:tc>
          <w:tcPr>
            <w:tcW w:w="4323" w:type="dxa"/>
          </w:tcPr>
          <w:p w:rsidR="006E37C0" w:rsidRDefault="001B7363">
            <w:r>
              <w:rPr>
                <w:rFonts w:ascii="楷体" w:eastAsia="楷体" w:hAnsi="楷体"/>
              </w:rPr>
              <w:t>港股通100ETF华安(513900.SH)</w:t>
            </w:r>
          </w:p>
        </w:tc>
        <w:tc>
          <w:tcPr>
            <w:tcW w:w="4323" w:type="dxa"/>
          </w:tcPr>
          <w:p w:rsidR="006E37C0" w:rsidRDefault="001B7363">
            <w:pPr>
              <w:rPr>
                <w:lang w:eastAsia="zh-CN"/>
              </w:rPr>
            </w:pPr>
            <w:r>
              <w:rPr>
                <w:rFonts w:ascii="楷体" w:eastAsia="楷体" w:hAnsi="楷体"/>
                <w:lang w:eastAsia="zh-CN"/>
              </w:rPr>
              <w:t>沪港深科技ETF华安(517360.SH)</w:t>
            </w:r>
          </w:p>
        </w:tc>
      </w:tr>
    </w:tbl>
    <w:p w:rsidR="006E37C0" w:rsidRDefault="006E37C0">
      <w:pPr>
        <w:spacing w:after="0" w:line="240" w:lineRule="auto"/>
        <w:rPr>
          <w:lang w:eastAsia="zh-CN"/>
        </w:rPr>
      </w:pPr>
    </w:p>
    <w:p w:rsidR="006E37C0" w:rsidRDefault="001B7363">
      <w:pPr>
        <w:pStyle w:val="Para"/>
        <w:rPr>
          <w:lang w:eastAsia="zh-CN"/>
        </w:rPr>
      </w:pPr>
      <w:proofErr w:type="gramStart"/>
      <w:r>
        <w:rPr>
          <w:lang w:eastAsia="zh-CN"/>
        </w:rPr>
        <w:t>央企红利</w:t>
      </w:r>
      <w:proofErr w:type="gramEnd"/>
      <w:r>
        <w:rPr>
          <w:lang w:eastAsia="zh-CN"/>
        </w:rPr>
        <w:t>板块近期表现整体向上，资源品行业如石油石化、煤炭、有色金属及通信、电力板块占据主导权重，其中石油石化约占三成，煤炭一成三，有色金属约百分之三，通信两成，电力近一成；这些行业作为国民经济压舱石和资源战略安全关键环节，央国企龙头地位稳固，经营稳健，保持稳定高分红，支撑板块稳定发展。</w:t>
      </w:r>
    </w:p>
    <w:p w:rsidR="006E37C0" w:rsidRDefault="006E37C0">
      <w:pPr>
        <w:spacing w:after="0" w:line="240" w:lineRule="auto"/>
        <w:rPr>
          <w:lang w:eastAsia="zh-CN"/>
        </w:rPr>
      </w:pPr>
    </w:p>
    <w:tbl>
      <w:tblPr>
        <w:tblStyle w:val="aff1"/>
        <w:tblW w:w="0" w:type="auto"/>
        <w:jc w:val="center"/>
        <w:tblLook w:val="04A0" w:firstRow="1" w:lastRow="0" w:firstColumn="1" w:lastColumn="0" w:noHBand="0" w:noVBand="1"/>
      </w:tblPr>
      <w:tblGrid>
        <w:gridCol w:w="8646"/>
      </w:tblGrid>
      <w:tr w:rsidR="006E37C0">
        <w:trPr>
          <w:jc w:val="center"/>
        </w:trPr>
        <w:tc>
          <w:tcPr>
            <w:tcW w:w="8646" w:type="dxa"/>
          </w:tcPr>
          <w:p w:rsidR="006E37C0" w:rsidRDefault="001B7363">
            <w:proofErr w:type="spellStart"/>
            <w:r>
              <w:rPr>
                <w:rFonts w:ascii="楷体" w:eastAsia="楷体" w:hAnsi="楷体"/>
                <w:b/>
              </w:rPr>
              <w:t>相关产品</w:t>
            </w:r>
            <w:proofErr w:type="spellEnd"/>
          </w:p>
        </w:tc>
      </w:tr>
      <w:tr w:rsidR="006E37C0">
        <w:trPr>
          <w:jc w:val="center"/>
        </w:trPr>
        <w:tc>
          <w:tcPr>
            <w:tcW w:w="8646" w:type="dxa"/>
          </w:tcPr>
          <w:p w:rsidR="006E37C0" w:rsidRDefault="001B7363">
            <w:pPr>
              <w:rPr>
                <w:lang w:eastAsia="zh-CN"/>
              </w:rPr>
            </w:pPr>
            <w:r>
              <w:rPr>
                <w:rFonts w:ascii="楷体" w:eastAsia="楷体" w:hAnsi="楷体"/>
                <w:lang w:eastAsia="zh-CN"/>
              </w:rPr>
              <w:lastRenderedPageBreak/>
              <w:t>港股</w:t>
            </w:r>
            <w:proofErr w:type="gramStart"/>
            <w:r>
              <w:rPr>
                <w:rFonts w:ascii="楷体" w:eastAsia="楷体" w:hAnsi="楷体"/>
                <w:lang w:eastAsia="zh-CN"/>
              </w:rPr>
              <w:t>通央企</w:t>
            </w:r>
            <w:proofErr w:type="gramEnd"/>
            <w:r>
              <w:rPr>
                <w:rFonts w:ascii="楷体" w:eastAsia="楷体" w:hAnsi="楷体"/>
                <w:lang w:eastAsia="zh-CN"/>
              </w:rPr>
              <w:t>红利ETF华安(513920.SH)</w:t>
            </w:r>
          </w:p>
        </w:tc>
      </w:tr>
    </w:tbl>
    <w:p w:rsidR="006E37C0" w:rsidRDefault="006E37C0">
      <w:pPr>
        <w:spacing w:after="0" w:line="240" w:lineRule="auto"/>
        <w:rPr>
          <w:lang w:eastAsia="zh-CN"/>
        </w:rPr>
      </w:pPr>
    </w:p>
    <w:p w:rsidR="006E37C0" w:rsidRDefault="001B7363">
      <w:pPr>
        <w:pStyle w:val="Para"/>
        <w:rPr>
          <w:lang w:eastAsia="zh-CN"/>
        </w:rPr>
      </w:pPr>
      <w:r>
        <w:rPr>
          <w:lang w:eastAsia="zh-CN"/>
        </w:rPr>
        <w:t>美国总统市场方面</w:t>
      </w:r>
      <w:proofErr w:type="gramStart"/>
      <w:r>
        <w:rPr>
          <w:lang w:eastAsia="zh-CN"/>
        </w:rPr>
        <w:t>特朗普宣布</w:t>
      </w:r>
      <w:proofErr w:type="gramEnd"/>
      <w:r>
        <w:rPr>
          <w:lang w:eastAsia="zh-CN"/>
        </w:rPr>
        <w:t>对向伊朗提供武器的国家征收50%关税，立即生效且不设豁免，同时全球商品关税加征率已提高至15%。交易员预计到年底前美联储将加息20个基点，美联储理事鲍曼表示预计2026年降息三次，会议纪要显示多数官员担心战争损害劳动力市场可能需降息但通胀风险或导致加息。</w:t>
      </w:r>
      <w:proofErr w:type="gramStart"/>
      <w:r>
        <w:rPr>
          <w:lang w:eastAsia="zh-CN"/>
        </w:rPr>
        <w:t>特朗普考虑</w:t>
      </w:r>
      <w:proofErr w:type="gramEnd"/>
      <w:r>
        <w:rPr>
          <w:lang w:eastAsia="zh-CN"/>
        </w:rPr>
        <w:t>逐步降级对伊朗军事行动，但美军准备在未来两到三周内进行猛烈打击；俄罗斯面临石油减产，出口能力20%停摆；国际能源署署长警告恢复海湾石油输送可能需要六个月。</w:t>
      </w:r>
      <w:proofErr w:type="gramStart"/>
      <w:r>
        <w:rPr>
          <w:lang w:eastAsia="zh-CN"/>
        </w:rPr>
        <w:t>特朗普</w:t>
      </w:r>
      <w:proofErr w:type="gramEnd"/>
      <w:r>
        <w:rPr>
          <w:lang w:eastAsia="zh-CN"/>
        </w:rPr>
        <w:t>推迟5天打击伊朗发电站，伊朗否认与美国沟通，</w:t>
      </w:r>
      <w:proofErr w:type="gramStart"/>
      <w:r>
        <w:rPr>
          <w:lang w:eastAsia="zh-CN"/>
        </w:rPr>
        <w:t>特朗普要求</w:t>
      </w:r>
      <w:proofErr w:type="gramEnd"/>
      <w:r>
        <w:rPr>
          <w:lang w:eastAsia="zh-CN"/>
        </w:rPr>
        <w:t>以色列减少对黎巴嫩打击以确保美伊谈判。美联储数据显示各国央行减</w:t>
      </w:r>
      <w:proofErr w:type="gramStart"/>
      <w:r>
        <w:rPr>
          <w:lang w:eastAsia="zh-CN"/>
        </w:rPr>
        <w:t>持美债至</w:t>
      </w:r>
      <w:proofErr w:type="gramEnd"/>
      <w:r>
        <w:rPr>
          <w:lang w:eastAsia="zh-CN"/>
        </w:rPr>
        <w:t>2012年以来最低水平；油价日内波动，现货黄金本周</w:t>
      </w:r>
      <w:proofErr w:type="gramStart"/>
      <w:r>
        <w:rPr>
          <w:lang w:eastAsia="zh-CN"/>
        </w:rPr>
        <w:t>累涨但</w:t>
      </w:r>
      <w:proofErr w:type="gramEnd"/>
      <w:r>
        <w:rPr>
          <w:lang w:eastAsia="zh-CN"/>
        </w:rPr>
        <w:t>跌破4500美元关口。后续需关注美伊谈判结果、美联储利率决策进展以及全球关税政策对经济的影响。</w:t>
      </w:r>
    </w:p>
    <w:p w:rsidR="006E37C0" w:rsidRDefault="006E37C0">
      <w:pPr>
        <w:spacing w:after="0" w:line="240" w:lineRule="auto"/>
        <w:rPr>
          <w:lang w:eastAsia="zh-CN"/>
        </w:rPr>
      </w:pPr>
    </w:p>
    <w:tbl>
      <w:tblPr>
        <w:tblStyle w:val="aff1"/>
        <w:tblW w:w="0" w:type="auto"/>
        <w:jc w:val="center"/>
        <w:tblLook w:val="04A0" w:firstRow="1" w:lastRow="0" w:firstColumn="1" w:lastColumn="0" w:noHBand="0" w:noVBand="1"/>
      </w:tblPr>
      <w:tblGrid>
        <w:gridCol w:w="8646"/>
      </w:tblGrid>
      <w:tr w:rsidR="006E37C0">
        <w:trPr>
          <w:jc w:val="center"/>
        </w:trPr>
        <w:tc>
          <w:tcPr>
            <w:tcW w:w="8646" w:type="dxa"/>
          </w:tcPr>
          <w:p w:rsidR="006E37C0" w:rsidRDefault="001B7363">
            <w:proofErr w:type="spellStart"/>
            <w:r>
              <w:rPr>
                <w:rFonts w:ascii="楷体" w:eastAsia="楷体" w:hAnsi="楷体"/>
                <w:b/>
              </w:rPr>
              <w:t>相关产品</w:t>
            </w:r>
            <w:proofErr w:type="spellEnd"/>
          </w:p>
        </w:tc>
      </w:tr>
      <w:tr w:rsidR="006E37C0">
        <w:trPr>
          <w:jc w:val="center"/>
        </w:trPr>
        <w:tc>
          <w:tcPr>
            <w:tcW w:w="8646" w:type="dxa"/>
          </w:tcPr>
          <w:p w:rsidR="006E37C0" w:rsidRDefault="001B7363">
            <w:pPr>
              <w:rPr>
                <w:lang w:eastAsia="zh-CN"/>
              </w:rPr>
            </w:pPr>
            <w:r>
              <w:rPr>
                <w:rFonts w:ascii="楷体" w:eastAsia="楷体" w:hAnsi="楷体"/>
                <w:lang w:eastAsia="zh-CN"/>
              </w:rPr>
              <w:t>纳斯达克ETF华安(159632.SZ)</w:t>
            </w:r>
          </w:p>
        </w:tc>
      </w:tr>
    </w:tbl>
    <w:p w:rsidR="006E37C0" w:rsidRDefault="006E37C0">
      <w:pPr>
        <w:spacing w:after="0" w:line="240" w:lineRule="auto"/>
        <w:rPr>
          <w:lang w:eastAsia="zh-CN"/>
        </w:rPr>
      </w:pPr>
    </w:p>
    <w:p w:rsidR="006E37C0" w:rsidRDefault="001B7363">
      <w:pPr>
        <w:pStyle w:val="Para"/>
        <w:rPr>
          <w:lang w:eastAsia="zh-CN"/>
        </w:rPr>
      </w:pPr>
      <w:r>
        <w:rPr>
          <w:lang w:eastAsia="zh-CN"/>
        </w:rPr>
        <w:t>欧洲主要股市普遍下跌，部分交易日曾开盘</w:t>
      </w:r>
      <w:proofErr w:type="gramStart"/>
      <w:r>
        <w:rPr>
          <w:lang w:eastAsia="zh-CN"/>
        </w:rPr>
        <w:t>走高但</w:t>
      </w:r>
      <w:proofErr w:type="gramEnd"/>
      <w:r>
        <w:rPr>
          <w:lang w:eastAsia="zh-CN"/>
        </w:rPr>
        <w:t>最终集体收跌，德国和法国等多国市场跌幅显著超过3%。德意志银行预计欧洲央行将在6月和9月各加息25个基点，此前预测维持利率不变，中东紧张局势可能影响加息决策；如果能源供应中断加剧，利率可能进入更紧缩阶段。后续需关注中东地缘政治风险及欧洲央行货币政策调整。</w:t>
      </w:r>
    </w:p>
    <w:p w:rsidR="006E37C0" w:rsidRDefault="006E37C0">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6E37C0">
        <w:trPr>
          <w:jc w:val="center"/>
        </w:trPr>
        <w:tc>
          <w:tcPr>
            <w:tcW w:w="4323" w:type="dxa"/>
          </w:tcPr>
          <w:p w:rsidR="006E37C0" w:rsidRDefault="001B7363">
            <w:proofErr w:type="spellStart"/>
            <w:r>
              <w:rPr>
                <w:rFonts w:ascii="楷体" w:eastAsia="楷体" w:hAnsi="楷体"/>
                <w:b/>
              </w:rPr>
              <w:t>相关产品</w:t>
            </w:r>
            <w:proofErr w:type="spellEnd"/>
          </w:p>
        </w:tc>
        <w:tc>
          <w:tcPr>
            <w:tcW w:w="4323" w:type="dxa"/>
          </w:tcPr>
          <w:p w:rsidR="006E37C0" w:rsidRDefault="001B7363">
            <w:r>
              <w:rPr>
                <w:rFonts w:ascii="楷体" w:eastAsia="楷体" w:hAnsi="楷体"/>
                <w:b/>
              </w:rPr>
              <w:t>相关产品</w:t>
            </w:r>
          </w:p>
        </w:tc>
      </w:tr>
      <w:tr w:rsidR="006E37C0">
        <w:trPr>
          <w:jc w:val="center"/>
        </w:trPr>
        <w:tc>
          <w:tcPr>
            <w:tcW w:w="4323" w:type="dxa"/>
          </w:tcPr>
          <w:p w:rsidR="006E37C0" w:rsidRDefault="001B7363">
            <w:r>
              <w:rPr>
                <w:rFonts w:ascii="楷体" w:eastAsia="楷体" w:hAnsi="楷体"/>
              </w:rPr>
              <w:t>德国ETF华安(513030.SH)</w:t>
            </w:r>
          </w:p>
        </w:tc>
        <w:tc>
          <w:tcPr>
            <w:tcW w:w="4323" w:type="dxa"/>
          </w:tcPr>
          <w:p w:rsidR="006E37C0" w:rsidRDefault="001B7363">
            <w:r>
              <w:rPr>
                <w:rFonts w:ascii="楷体" w:eastAsia="楷体" w:hAnsi="楷体"/>
              </w:rPr>
              <w:t>法国ETF华安(513080.SH)</w:t>
            </w:r>
          </w:p>
        </w:tc>
      </w:tr>
    </w:tbl>
    <w:p w:rsidR="006E37C0" w:rsidRDefault="006E37C0">
      <w:pPr>
        <w:spacing w:after="0" w:line="240" w:lineRule="auto"/>
      </w:pPr>
    </w:p>
    <w:p w:rsidR="006E37C0" w:rsidRDefault="001B7363">
      <w:pPr>
        <w:pStyle w:val="Para"/>
        <w:rPr>
          <w:lang w:eastAsia="zh-CN"/>
        </w:rPr>
      </w:pPr>
      <w:r>
        <w:rPr>
          <w:lang w:eastAsia="zh-CN"/>
        </w:rPr>
        <w:t>花旗集团日本市场主管</w:t>
      </w:r>
      <w:proofErr w:type="gramStart"/>
      <w:r>
        <w:rPr>
          <w:lang w:eastAsia="zh-CN"/>
        </w:rPr>
        <w:t>星野朗表示</w:t>
      </w:r>
      <w:proofErr w:type="gramEnd"/>
      <w:r>
        <w:rPr>
          <w:lang w:eastAsia="zh-CN"/>
        </w:rPr>
        <w:t>，若日元持续疲软导致美元兑日元升破160，日本央行可能在2026年实施三次加息，使政策利率从0.5%升至1%，预计4月首次加息25个基点。日本财务大臣片山</w:t>
      </w:r>
      <w:proofErr w:type="gramStart"/>
      <w:r>
        <w:rPr>
          <w:lang w:eastAsia="zh-CN"/>
        </w:rPr>
        <w:t>皋</w:t>
      </w:r>
      <w:proofErr w:type="gramEnd"/>
      <w:r>
        <w:rPr>
          <w:lang w:eastAsia="zh-CN"/>
        </w:rPr>
        <w:t>月称希望市场平静下来，日本没有实施扩张性财政政策，将与央行沟通以恢复信心，是否干预外汇市场尚不确定。日本20年期国债收益率上涨，3月27日10年期收益率升至2.380%，创1月20日以来新高，显示整体上升趋势。至3月20日当</w:t>
      </w:r>
      <w:proofErr w:type="gramStart"/>
      <w:r>
        <w:rPr>
          <w:lang w:eastAsia="zh-CN"/>
        </w:rPr>
        <w:t>周外资</w:t>
      </w:r>
      <w:proofErr w:type="gramEnd"/>
      <w:r>
        <w:rPr>
          <w:lang w:eastAsia="zh-CN"/>
        </w:rPr>
        <w:t>买进日股流出25097亿日元，相比2月当周流入4020亿日元，呈现波动性流出趋势。日本政府考虑5月追加释放国家石油储备，释放量相当于约20天用量，因中东局势影响原油进口。后续需关注日本央行加息决策、市场信心修复进展、国债收益率走势、外资流动变化以及石油储备释放对能源安全的影响。</w:t>
      </w:r>
    </w:p>
    <w:p w:rsidR="006E37C0" w:rsidRDefault="006E37C0">
      <w:pPr>
        <w:spacing w:after="0" w:line="240" w:lineRule="auto"/>
        <w:rPr>
          <w:lang w:eastAsia="zh-CN"/>
        </w:rPr>
      </w:pPr>
    </w:p>
    <w:tbl>
      <w:tblPr>
        <w:tblStyle w:val="aff1"/>
        <w:tblW w:w="0" w:type="auto"/>
        <w:jc w:val="center"/>
        <w:tblLook w:val="04A0" w:firstRow="1" w:lastRow="0" w:firstColumn="1" w:lastColumn="0" w:noHBand="0" w:noVBand="1"/>
      </w:tblPr>
      <w:tblGrid>
        <w:gridCol w:w="8646"/>
      </w:tblGrid>
      <w:tr w:rsidR="006E37C0">
        <w:trPr>
          <w:jc w:val="center"/>
        </w:trPr>
        <w:tc>
          <w:tcPr>
            <w:tcW w:w="8646" w:type="dxa"/>
          </w:tcPr>
          <w:p w:rsidR="006E37C0" w:rsidRDefault="001B7363">
            <w:proofErr w:type="spellStart"/>
            <w:r>
              <w:rPr>
                <w:rFonts w:ascii="楷体" w:eastAsia="楷体" w:hAnsi="楷体"/>
                <w:b/>
              </w:rPr>
              <w:t>相关产品</w:t>
            </w:r>
            <w:proofErr w:type="spellEnd"/>
          </w:p>
        </w:tc>
      </w:tr>
      <w:tr w:rsidR="006E37C0">
        <w:trPr>
          <w:jc w:val="center"/>
        </w:trPr>
        <w:tc>
          <w:tcPr>
            <w:tcW w:w="8646" w:type="dxa"/>
          </w:tcPr>
          <w:p w:rsidR="006E37C0" w:rsidRDefault="001B7363">
            <w:r>
              <w:rPr>
                <w:rFonts w:ascii="楷体" w:eastAsia="楷体" w:hAnsi="楷体"/>
              </w:rPr>
              <w:t>日经225ETF华安(513880.SH)</w:t>
            </w:r>
          </w:p>
        </w:tc>
      </w:tr>
    </w:tbl>
    <w:p w:rsidR="006E37C0" w:rsidRDefault="006E37C0">
      <w:pPr>
        <w:spacing w:after="0" w:line="240" w:lineRule="auto"/>
      </w:pPr>
    </w:p>
    <w:p w:rsidR="006E37C0" w:rsidRDefault="001B7363">
      <w:pPr>
        <w:pStyle w:val="Cap"/>
        <w:rPr>
          <w:lang w:eastAsia="zh-CN"/>
        </w:rPr>
      </w:pPr>
      <w:r>
        <w:rPr>
          <w:lang w:eastAsia="zh-CN"/>
        </w:rPr>
        <w:t>表二：周内海外主要新闻一览</w:t>
      </w:r>
    </w:p>
    <w:tbl>
      <w:tblPr>
        <w:tblStyle w:val="aff1"/>
        <w:tblW w:w="0" w:type="auto"/>
        <w:jc w:val="center"/>
        <w:tblLook w:val="04A0" w:firstRow="1" w:lastRow="0" w:firstColumn="1" w:lastColumn="0" w:noHBand="0" w:noVBand="1"/>
      </w:tblPr>
      <w:tblGrid>
        <w:gridCol w:w="1134"/>
        <w:gridCol w:w="5783"/>
        <w:gridCol w:w="1701"/>
      </w:tblGrid>
      <w:tr w:rsidR="006E37C0">
        <w:trPr>
          <w:jc w:val="center"/>
        </w:trPr>
        <w:tc>
          <w:tcPr>
            <w:tcW w:w="1134" w:type="dxa"/>
          </w:tcPr>
          <w:p w:rsidR="006E37C0" w:rsidRDefault="001B7363">
            <w:proofErr w:type="spellStart"/>
            <w:r>
              <w:rPr>
                <w:rFonts w:ascii="楷体" w:eastAsia="楷体" w:hAnsi="楷体"/>
                <w:b/>
              </w:rPr>
              <w:t>地区</w:t>
            </w:r>
            <w:proofErr w:type="spellEnd"/>
          </w:p>
        </w:tc>
        <w:tc>
          <w:tcPr>
            <w:tcW w:w="5783" w:type="dxa"/>
          </w:tcPr>
          <w:p w:rsidR="006E37C0" w:rsidRDefault="001B7363">
            <w:r>
              <w:rPr>
                <w:rFonts w:ascii="楷体" w:eastAsia="楷体" w:hAnsi="楷体"/>
                <w:b/>
              </w:rPr>
              <w:t>周内新闻</w:t>
            </w:r>
          </w:p>
        </w:tc>
        <w:tc>
          <w:tcPr>
            <w:tcW w:w="1701" w:type="dxa"/>
          </w:tcPr>
          <w:p w:rsidR="006E37C0" w:rsidRDefault="001B7363">
            <w:r>
              <w:rPr>
                <w:rFonts w:ascii="楷体" w:eastAsia="楷体" w:hAnsi="楷体"/>
                <w:b/>
              </w:rPr>
              <w:t>影响标的</w:t>
            </w:r>
          </w:p>
        </w:tc>
      </w:tr>
      <w:tr w:rsidR="006E37C0">
        <w:trPr>
          <w:jc w:val="center"/>
        </w:trPr>
        <w:tc>
          <w:tcPr>
            <w:tcW w:w="1134" w:type="dxa"/>
          </w:tcPr>
          <w:p w:rsidR="006E37C0" w:rsidRDefault="001B7363">
            <w:r>
              <w:rPr>
                <w:rFonts w:ascii="楷体" w:eastAsia="楷体" w:hAnsi="楷体"/>
              </w:rPr>
              <w:t>美国</w:t>
            </w:r>
          </w:p>
        </w:tc>
        <w:tc>
          <w:tcPr>
            <w:tcW w:w="5783" w:type="dxa"/>
          </w:tcPr>
          <w:p w:rsidR="006E37C0" w:rsidRDefault="001B7363">
            <w:r>
              <w:rPr>
                <w:rFonts w:ascii="楷体" w:eastAsia="楷体" w:hAnsi="楷体"/>
                <w:lang w:eastAsia="zh-CN"/>
              </w:rPr>
              <w:t>美联储数据显示各国央行</w:t>
            </w:r>
            <w:proofErr w:type="gramStart"/>
            <w:r>
              <w:rPr>
                <w:rFonts w:ascii="楷体" w:eastAsia="楷体" w:hAnsi="楷体"/>
                <w:lang w:eastAsia="zh-CN"/>
              </w:rPr>
              <w:t>减持美债</w:t>
            </w:r>
            <w:proofErr w:type="gramEnd"/>
            <w:r>
              <w:rPr>
                <w:rFonts w:ascii="楷体" w:eastAsia="楷体" w:hAnsi="楷体"/>
                <w:lang w:eastAsia="zh-CN"/>
              </w:rPr>
              <w:t>820亿美元，国债价值降至2.7</w:t>
            </w:r>
            <w:proofErr w:type="gramStart"/>
            <w:r>
              <w:rPr>
                <w:rFonts w:ascii="楷体" w:eastAsia="楷体" w:hAnsi="楷体"/>
                <w:lang w:eastAsia="zh-CN"/>
              </w:rPr>
              <w:t>万亿</w:t>
            </w:r>
            <w:proofErr w:type="gramEnd"/>
            <w:r>
              <w:rPr>
                <w:rFonts w:ascii="楷体" w:eastAsia="楷体" w:hAnsi="楷体"/>
                <w:lang w:eastAsia="zh-CN"/>
              </w:rPr>
              <w:t>美元；美财长贝森特称日本国债抛售潮外溢至美债市场，美国10年期国债收益率上涨趋势。交易员对美元转为看涨，美元指数呈现上涨趋势。</w:t>
            </w:r>
            <w:proofErr w:type="spellStart"/>
            <w:r>
              <w:rPr>
                <w:rFonts w:ascii="楷体" w:eastAsia="楷体" w:hAnsi="楷体"/>
              </w:rPr>
              <w:t>美股三大股指期货集体下跌趋势</w:t>
            </w:r>
            <w:proofErr w:type="spellEnd"/>
            <w:r>
              <w:rPr>
                <w:rFonts w:ascii="楷体" w:eastAsia="楷体" w:hAnsi="楷体"/>
              </w:rPr>
              <w:t>。</w:t>
            </w:r>
          </w:p>
        </w:tc>
        <w:tc>
          <w:tcPr>
            <w:tcW w:w="1701" w:type="dxa"/>
          </w:tcPr>
          <w:p w:rsidR="006E37C0" w:rsidRDefault="001B7363">
            <w:r>
              <w:rPr>
                <w:rFonts w:ascii="楷体" w:eastAsia="楷体" w:hAnsi="楷体"/>
              </w:rPr>
              <w:t>美元，美债，美股</w:t>
            </w:r>
          </w:p>
        </w:tc>
      </w:tr>
      <w:tr w:rsidR="006E37C0">
        <w:trPr>
          <w:jc w:val="center"/>
        </w:trPr>
        <w:tc>
          <w:tcPr>
            <w:tcW w:w="1134" w:type="dxa"/>
          </w:tcPr>
          <w:p w:rsidR="006E37C0" w:rsidRDefault="001B7363">
            <w:r>
              <w:rPr>
                <w:rFonts w:ascii="楷体" w:eastAsia="楷体" w:hAnsi="楷体"/>
              </w:rPr>
              <w:t>欧元区</w:t>
            </w:r>
          </w:p>
        </w:tc>
        <w:tc>
          <w:tcPr>
            <w:tcW w:w="5783" w:type="dxa"/>
          </w:tcPr>
          <w:p w:rsidR="006E37C0" w:rsidRDefault="001B7363">
            <w:pPr>
              <w:rPr>
                <w:lang w:eastAsia="zh-CN"/>
              </w:rPr>
            </w:pPr>
            <w:r>
              <w:rPr>
                <w:rFonts w:ascii="楷体" w:eastAsia="楷体" w:hAnsi="楷体"/>
                <w:lang w:eastAsia="zh-CN"/>
              </w:rPr>
              <w:t>丹麦养老基金</w:t>
            </w:r>
            <w:proofErr w:type="gramStart"/>
            <w:r>
              <w:rPr>
                <w:rFonts w:ascii="楷体" w:eastAsia="楷体" w:hAnsi="楷体"/>
                <w:lang w:eastAsia="zh-CN"/>
              </w:rPr>
              <w:t>抛售美债推动</w:t>
            </w:r>
            <w:proofErr w:type="gramEnd"/>
            <w:r>
              <w:rPr>
                <w:rFonts w:ascii="楷体" w:eastAsia="楷体" w:hAnsi="楷体"/>
                <w:lang w:eastAsia="zh-CN"/>
              </w:rPr>
              <w:t>欧元兑美元升至1.1768高点，俄罗斯总统特别代表警告欧盟反俄政策引发油价和天然气价格大幅上涨，中东局势加剧供应风险，导致欧洲股市普遍下跌，德国与法国市场表现疲软。</w:t>
            </w:r>
          </w:p>
        </w:tc>
        <w:tc>
          <w:tcPr>
            <w:tcW w:w="1701" w:type="dxa"/>
          </w:tcPr>
          <w:p w:rsidR="006E37C0" w:rsidRDefault="001B7363">
            <w:pPr>
              <w:rPr>
                <w:lang w:eastAsia="zh-CN"/>
              </w:rPr>
            </w:pPr>
            <w:r>
              <w:rPr>
                <w:rFonts w:ascii="楷体" w:eastAsia="楷体" w:hAnsi="楷体"/>
                <w:lang w:eastAsia="zh-CN"/>
              </w:rPr>
              <w:t>欧元，欧债，德国权益，法国权益</w:t>
            </w:r>
          </w:p>
        </w:tc>
      </w:tr>
    </w:tbl>
    <w:p w:rsidR="006E37C0" w:rsidRDefault="001B7363">
      <w:pPr>
        <w:pStyle w:val="Source"/>
        <w:rPr>
          <w:lang w:eastAsia="zh-CN"/>
        </w:rPr>
      </w:pPr>
      <w:r>
        <w:rPr>
          <w:lang w:eastAsia="zh-CN"/>
        </w:rPr>
        <w:t>数据来源：Wind，华安基金，截至2026-04-17</w:t>
      </w:r>
    </w:p>
    <w:p w:rsidR="006E37C0" w:rsidRDefault="001B7363">
      <w:pPr>
        <w:rPr>
          <w:lang w:eastAsia="zh-CN"/>
        </w:rPr>
      </w:pPr>
      <w:r>
        <w:rPr>
          <w:lang w:eastAsia="zh-CN"/>
        </w:rPr>
        <w:br w:type="page"/>
      </w:r>
    </w:p>
    <w:p w:rsidR="006E37C0" w:rsidRDefault="001B7363">
      <w:pPr>
        <w:pStyle w:val="Head"/>
        <w:rPr>
          <w:lang w:eastAsia="zh-CN"/>
        </w:rPr>
      </w:pPr>
      <w:r>
        <w:rPr>
          <w:lang w:eastAsia="zh-CN"/>
        </w:rPr>
        <w:lastRenderedPageBreak/>
        <w:t>■ 大宗商品</w:t>
      </w:r>
    </w:p>
    <w:p w:rsidR="006E37C0" w:rsidRDefault="001B7363">
      <w:pPr>
        <w:pStyle w:val="Sub"/>
        <w:rPr>
          <w:lang w:eastAsia="zh-CN"/>
        </w:rPr>
      </w:pPr>
      <w:r>
        <w:rPr>
          <w:lang w:eastAsia="zh-CN"/>
        </w:rPr>
        <w:t>※※ 黄金</w:t>
      </w:r>
    </w:p>
    <w:p w:rsidR="006E37C0" w:rsidRDefault="001B7363">
      <w:pPr>
        <w:pStyle w:val="Para"/>
        <w:rPr>
          <w:lang w:eastAsia="zh-CN"/>
        </w:rPr>
      </w:pPr>
      <w:r>
        <w:rPr>
          <w:lang w:eastAsia="zh-CN"/>
        </w:rPr>
        <w:t>截止本周，伦敦现货黄金收于4787.43美元/盎司（周环比0.85%），国内AU9999黄金收于1053.00元/克（周环比0.49%）。</w:t>
      </w:r>
    </w:p>
    <w:p w:rsidR="006E37C0" w:rsidRDefault="001B7363">
      <w:pPr>
        <w:pStyle w:val="Cap"/>
        <w:rPr>
          <w:lang w:eastAsia="zh-CN"/>
        </w:rPr>
      </w:pPr>
      <w:r>
        <w:rPr>
          <w:lang w:eastAsia="zh-CN"/>
        </w:rPr>
        <w:t>图一：黄金Au9999和伦敦金价格</w:t>
      </w:r>
    </w:p>
    <w:p w:rsidR="006E37C0" w:rsidRDefault="001B7363">
      <w:pPr>
        <w:jc w:val="center"/>
      </w:pPr>
      <w:r>
        <w:rPr>
          <w:noProof/>
          <w:lang w:eastAsia="zh-CN"/>
        </w:rPr>
        <w:drawing>
          <wp:inline distT="0" distB="0" distL="0" distR="0">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黄金.png"/>
                    <pic:cNvPicPr/>
                  </pic:nvPicPr>
                  <pic:blipFill>
                    <a:blip r:embed="rId9"/>
                    <a:stretch>
                      <a:fillRect/>
                    </a:stretch>
                  </pic:blipFill>
                  <pic:spPr>
                    <a:xfrm>
                      <a:off x="0" y="0"/>
                      <a:ext cx="4572000" cy="2743200"/>
                    </a:xfrm>
                    <a:prstGeom prst="rect">
                      <a:avLst/>
                    </a:prstGeom>
                  </pic:spPr>
                </pic:pic>
              </a:graphicData>
            </a:graphic>
          </wp:inline>
        </w:drawing>
      </w:r>
    </w:p>
    <w:p w:rsidR="006E37C0" w:rsidRDefault="001B7363">
      <w:pPr>
        <w:pStyle w:val="Source"/>
        <w:rPr>
          <w:lang w:eastAsia="zh-CN"/>
        </w:rPr>
      </w:pPr>
      <w:r>
        <w:rPr>
          <w:lang w:eastAsia="zh-CN"/>
        </w:rPr>
        <w:t>数据来源：Wind，华安基金，截至2026-04-17</w:t>
      </w:r>
    </w:p>
    <w:p w:rsidR="006E37C0" w:rsidRDefault="001B7363">
      <w:pPr>
        <w:pStyle w:val="Para"/>
        <w:rPr>
          <w:lang w:eastAsia="zh-CN"/>
        </w:rPr>
      </w:pPr>
      <w:r>
        <w:rPr>
          <w:lang w:eastAsia="zh-CN"/>
        </w:rPr>
        <w:t>近期黄金价格受多重因素影响：美联储3月会议纪要显示多数官员担忧战争冲击劳动力市场需降息，叠加此前市场对加息预期已充分定价，短期利空出尽推动金价上行；中东冲突升级推升油价引发输入性通胀风险，</w:t>
      </w:r>
      <w:proofErr w:type="gramStart"/>
      <w:r>
        <w:rPr>
          <w:lang w:eastAsia="zh-CN"/>
        </w:rPr>
        <w:t>特朗普威胁</w:t>
      </w:r>
      <w:proofErr w:type="gramEnd"/>
      <w:r>
        <w:rPr>
          <w:lang w:eastAsia="zh-CN"/>
        </w:rPr>
        <w:t>打击伊朗及军事部署激化避险需求，但流动性</w:t>
      </w:r>
      <w:proofErr w:type="gramStart"/>
      <w:r>
        <w:rPr>
          <w:lang w:eastAsia="zh-CN"/>
        </w:rPr>
        <w:t>收紧曾</w:t>
      </w:r>
      <w:proofErr w:type="gramEnd"/>
      <w:r>
        <w:rPr>
          <w:lang w:eastAsia="zh-CN"/>
        </w:rPr>
        <w:t>导致金价阶段性调整。资金行为方面，高</w:t>
      </w:r>
      <w:proofErr w:type="gramStart"/>
      <w:r>
        <w:rPr>
          <w:lang w:eastAsia="zh-CN"/>
        </w:rPr>
        <w:t>盛预测</w:t>
      </w:r>
      <w:proofErr w:type="gramEnd"/>
      <w:r>
        <w:rPr>
          <w:lang w:eastAsia="zh-CN"/>
        </w:rPr>
        <w:t>央行购金与私人投资者</w:t>
      </w:r>
      <w:proofErr w:type="gramStart"/>
      <w:r>
        <w:rPr>
          <w:lang w:eastAsia="zh-CN"/>
        </w:rPr>
        <w:t>增持将支撑</w:t>
      </w:r>
      <w:proofErr w:type="gramEnd"/>
      <w:r>
        <w:rPr>
          <w:lang w:eastAsia="zh-CN"/>
        </w:rPr>
        <w:t>金价，长线配置力量持续强化，而算法交易放大短期波动形成多空博弈。短期或维持高波动，但参照20世纪石油危机历史经验，滞胀环境下黄金抗通胀属性凸显，叠加</w:t>
      </w:r>
      <w:proofErr w:type="gramStart"/>
      <w:r>
        <w:rPr>
          <w:lang w:eastAsia="zh-CN"/>
        </w:rPr>
        <w:t>去美元</w:t>
      </w:r>
      <w:proofErr w:type="gramEnd"/>
      <w:r>
        <w:rPr>
          <w:lang w:eastAsia="zh-CN"/>
        </w:rPr>
        <w:t>化与全球储备多元化趋势，经历调整后有望重</w:t>
      </w:r>
      <w:proofErr w:type="gramStart"/>
      <w:r w:rsidR="00144E51">
        <w:rPr>
          <w:rFonts w:hint="eastAsia"/>
          <w:lang w:eastAsia="zh-CN"/>
        </w:rPr>
        <w:t>回长期</w:t>
      </w:r>
      <w:proofErr w:type="gramEnd"/>
      <w:r w:rsidR="00144E51">
        <w:rPr>
          <w:rFonts w:hint="eastAsia"/>
          <w:lang w:eastAsia="zh-CN"/>
        </w:rPr>
        <w:t>逻辑</w:t>
      </w:r>
      <w:r>
        <w:rPr>
          <w:lang w:eastAsia="zh-CN"/>
        </w:rPr>
        <w:t>。1月现货黄金突破5200美元年内涨幅超20%，4月因地缘风险现货黄金创5419美元新高，央行购金及抗通胀需求构成中长期坚实支撑。</w:t>
      </w:r>
    </w:p>
    <w:p w:rsidR="006E37C0" w:rsidRDefault="006E37C0">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6E37C0">
        <w:trPr>
          <w:jc w:val="center"/>
        </w:trPr>
        <w:tc>
          <w:tcPr>
            <w:tcW w:w="4323" w:type="dxa"/>
          </w:tcPr>
          <w:p w:rsidR="006E37C0" w:rsidRDefault="001B7363">
            <w:proofErr w:type="spellStart"/>
            <w:r>
              <w:rPr>
                <w:rFonts w:ascii="楷体" w:eastAsia="楷体" w:hAnsi="楷体"/>
                <w:b/>
              </w:rPr>
              <w:t>相关产品</w:t>
            </w:r>
            <w:proofErr w:type="spellEnd"/>
          </w:p>
        </w:tc>
        <w:tc>
          <w:tcPr>
            <w:tcW w:w="4323" w:type="dxa"/>
          </w:tcPr>
          <w:p w:rsidR="006E37C0" w:rsidRDefault="001B7363">
            <w:r>
              <w:rPr>
                <w:rFonts w:ascii="楷体" w:eastAsia="楷体" w:hAnsi="楷体"/>
                <w:b/>
              </w:rPr>
              <w:t>相关产品</w:t>
            </w:r>
          </w:p>
        </w:tc>
      </w:tr>
      <w:tr w:rsidR="006E37C0">
        <w:trPr>
          <w:jc w:val="center"/>
        </w:trPr>
        <w:tc>
          <w:tcPr>
            <w:tcW w:w="4323" w:type="dxa"/>
          </w:tcPr>
          <w:p w:rsidR="006E37C0" w:rsidRDefault="001B7363">
            <w:r>
              <w:rPr>
                <w:rFonts w:ascii="楷体" w:eastAsia="楷体" w:hAnsi="楷体"/>
              </w:rPr>
              <w:t>黄金ETF华安(518880.SH)</w:t>
            </w:r>
          </w:p>
        </w:tc>
        <w:tc>
          <w:tcPr>
            <w:tcW w:w="4323" w:type="dxa"/>
          </w:tcPr>
          <w:p w:rsidR="006E37C0" w:rsidRDefault="001B7363">
            <w:pPr>
              <w:rPr>
                <w:lang w:eastAsia="zh-CN"/>
              </w:rPr>
            </w:pPr>
            <w:r>
              <w:rPr>
                <w:rFonts w:ascii="楷体" w:eastAsia="楷体" w:hAnsi="楷体"/>
                <w:lang w:eastAsia="zh-CN"/>
              </w:rPr>
              <w:t>黄金股ETF华安(159321.SZ)</w:t>
            </w:r>
          </w:p>
        </w:tc>
      </w:tr>
    </w:tbl>
    <w:p w:rsidR="006E37C0" w:rsidRDefault="001B7363">
      <w:pPr>
        <w:rPr>
          <w:lang w:eastAsia="zh-CN"/>
        </w:rPr>
      </w:pPr>
      <w:r>
        <w:rPr>
          <w:lang w:eastAsia="zh-CN"/>
        </w:rPr>
        <w:br w:type="page"/>
      </w:r>
    </w:p>
    <w:p w:rsidR="006E37C0" w:rsidRDefault="001B7363">
      <w:pPr>
        <w:pStyle w:val="Sub"/>
        <w:rPr>
          <w:lang w:eastAsia="zh-CN"/>
        </w:rPr>
      </w:pPr>
      <w:r>
        <w:rPr>
          <w:lang w:eastAsia="zh-CN"/>
        </w:rPr>
        <w:lastRenderedPageBreak/>
        <w:t>※※ 石油</w:t>
      </w:r>
    </w:p>
    <w:p w:rsidR="006E37C0" w:rsidRDefault="001B7363">
      <w:pPr>
        <w:pStyle w:val="Para"/>
        <w:rPr>
          <w:lang w:eastAsia="zh-CN"/>
        </w:rPr>
      </w:pPr>
      <w:r>
        <w:rPr>
          <w:lang w:eastAsia="zh-CN"/>
        </w:rPr>
        <w:t>截至本周，布伦</w:t>
      </w:r>
      <w:proofErr w:type="gramStart"/>
      <w:r>
        <w:rPr>
          <w:lang w:eastAsia="zh-CN"/>
        </w:rPr>
        <w:t>特</w:t>
      </w:r>
      <w:proofErr w:type="gramEnd"/>
      <w:r>
        <w:rPr>
          <w:lang w:eastAsia="zh-CN"/>
        </w:rPr>
        <w:t>原油</w:t>
      </w:r>
      <w:proofErr w:type="gramStart"/>
      <w:r>
        <w:rPr>
          <w:lang w:eastAsia="zh-CN"/>
        </w:rPr>
        <w:t>期货周均价</w:t>
      </w:r>
      <w:proofErr w:type="gramEnd"/>
      <w:r>
        <w:rPr>
          <w:lang w:eastAsia="zh-CN"/>
        </w:rPr>
        <w:t>为98.21美元/桶，较上周五涨3.95美元/桶；WTI原油</w:t>
      </w:r>
      <w:proofErr w:type="gramStart"/>
      <w:r>
        <w:rPr>
          <w:lang w:eastAsia="zh-CN"/>
        </w:rPr>
        <w:t>期货周均价</w:t>
      </w:r>
      <w:proofErr w:type="gramEnd"/>
      <w:r>
        <w:rPr>
          <w:lang w:eastAsia="zh-CN"/>
        </w:rPr>
        <w:t>为89.65美元/桶，较上周五跌5.98美元/桶。和周初相比主要油品涨跌幅分别为：布伦</w:t>
      </w:r>
      <w:proofErr w:type="gramStart"/>
      <w:r>
        <w:rPr>
          <w:lang w:eastAsia="zh-CN"/>
        </w:rPr>
        <w:t>特</w:t>
      </w:r>
      <w:proofErr w:type="gramEnd"/>
      <w:r>
        <w:rPr>
          <w:lang w:eastAsia="zh-CN"/>
        </w:rPr>
        <w:t>原油（3.16%）、WTI原油（-3.72%）。</w:t>
      </w:r>
    </w:p>
    <w:p w:rsidR="006E37C0" w:rsidRDefault="001B7363">
      <w:pPr>
        <w:pStyle w:val="Cap"/>
        <w:rPr>
          <w:lang w:eastAsia="zh-CN"/>
        </w:rPr>
      </w:pPr>
      <w:r>
        <w:rPr>
          <w:lang w:eastAsia="zh-CN"/>
        </w:rPr>
        <w:t>图二：WTI原油现货价和布伦</w:t>
      </w:r>
      <w:proofErr w:type="gramStart"/>
      <w:r>
        <w:rPr>
          <w:lang w:eastAsia="zh-CN"/>
        </w:rPr>
        <w:t>特</w:t>
      </w:r>
      <w:proofErr w:type="gramEnd"/>
      <w:r>
        <w:rPr>
          <w:lang w:eastAsia="zh-CN"/>
        </w:rPr>
        <w:t>原油现货价</w:t>
      </w:r>
    </w:p>
    <w:p w:rsidR="006E37C0" w:rsidRDefault="001B7363">
      <w:pPr>
        <w:jc w:val="center"/>
      </w:pPr>
      <w:r>
        <w:rPr>
          <w:noProof/>
          <w:lang w:eastAsia="zh-CN"/>
        </w:rPr>
        <w:drawing>
          <wp:inline distT="0" distB="0" distL="0" distR="0">
            <wp:extent cx="45720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原油.png"/>
                    <pic:cNvPicPr/>
                  </pic:nvPicPr>
                  <pic:blipFill>
                    <a:blip r:embed="rId10"/>
                    <a:stretch>
                      <a:fillRect/>
                    </a:stretch>
                  </pic:blipFill>
                  <pic:spPr>
                    <a:xfrm>
                      <a:off x="0" y="0"/>
                      <a:ext cx="4572000" cy="2743200"/>
                    </a:xfrm>
                    <a:prstGeom prst="rect">
                      <a:avLst/>
                    </a:prstGeom>
                  </pic:spPr>
                </pic:pic>
              </a:graphicData>
            </a:graphic>
          </wp:inline>
        </w:drawing>
      </w:r>
    </w:p>
    <w:p w:rsidR="006E37C0" w:rsidRDefault="001B7363">
      <w:pPr>
        <w:pStyle w:val="Source"/>
        <w:rPr>
          <w:lang w:eastAsia="zh-CN"/>
        </w:rPr>
      </w:pPr>
      <w:r>
        <w:rPr>
          <w:lang w:eastAsia="zh-CN"/>
        </w:rPr>
        <w:t>数据来源：Wind，华安基金，截至2026-04-17</w:t>
      </w:r>
    </w:p>
    <w:p w:rsidR="006E37C0" w:rsidRDefault="001B7363">
      <w:pPr>
        <w:pStyle w:val="Para"/>
        <w:rPr>
          <w:lang w:eastAsia="zh-CN"/>
        </w:rPr>
      </w:pPr>
      <w:r>
        <w:rPr>
          <w:lang w:eastAsia="zh-CN"/>
        </w:rPr>
        <w:t>本周原油市场价格呈现宽幅震荡走势，短期波动较大，WTI原油和布伦</w:t>
      </w:r>
      <w:proofErr w:type="gramStart"/>
      <w:r>
        <w:rPr>
          <w:lang w:eastAsia="zh-CN"/>
        </w:rPr>
        <w:t>特</w:t>
      </w:r>
      <w:proofErr w:type="gramEnd"/>
      <w:r>
        <w:rPr>
          <w:lang w:eastAsia="zh-CN"/>
        </w:rPr>
        <w:t>原油价格曾触及110美元/</w:t>
      </w:r>
      <w:proofErr w:type="gramStart"/>
      <w:r>
        <w:rPr>
          <w:lang w:eastAsia="zh-CN"/>
        </w:rPr>
        <w:t>桶以上</w:t>
      </w:r>
      <w:proofErr w:type="gramEnd"/>
      <w:r>
        <w:rPr>
          <w:lang w:eastAsia="zh-CN"/>
        </w:rPr>
        <w:t>水平。从供给端来看，霍尔木兹海峡每天承载约2000万桶原油运输（分析人士称），占全球供应量约20%，若受阻可能导致每日1500万桶供应缺口；国际能源署成员国一致决定动用4亿桶战略石油储备并开始投放，以原油为主；中东地区主要产油国如伊拉克和卡塔尔宣布减产；日本政府考虑追加释放国家石油储备，释放量相当于约20天用量（日本媒体称）。从需求端来看，需求受供需格局和地缘局势多重因素影响，全球经济活动变化加剧不确定性。全球机构如分析人士预测油价可能飙升到三位数水平，OPEC+增产措施被视为杯水车薪。全球地缘冲突包括中东局势持续紧张，霍尔木兹海峡进入事实上的关闭状态风险；地缘冲突导致原油运输受阻。展望后市，原油价格短期波动存在较大不确定性，从供需端供给受限如海峡风险和战略储备释放，需求端受全球因素扰动，地缘政治风险高企。</w:t>
      </w:r>
      <w:bookmarkStart w:id="0" w:name="_GoBack"/>
      <w:bookmarkEnd w:id="0"/>
    </w:p>
    <w:p w:rsidR="006E37C0" w:rsidRDefault="006E37C0">
      <w:pPr>
        <w:spacing w:after="0" w:line="240" w:lineRule="auto"/>
        <w:rPr>
          <w:lang w:eastAsia="zh-CN"/>
        </w:rPr>
      </w:pPr>
    </w:p>
    <w:tbl>
      <w:tblPr>
        <w:tblStyle w:val="aff1"/>
        <w:tblW w:w="0" w:type="auto"/>
        <w:jc w:val="center"/>
        <w:tblLook w:val="04A0" w:firstRow="1" w:lastRow="0" w:firstColumn="1" w:lastColumn="0" w:noHBand="0" w:noVBand="1"/>
      </w:tblPr>
      <w:tblGrid>
        <w:gridCol w:w="8646"/>
      </w:tblGrid>
      <w:tr w:rsidR="006E37C0">
        <w:trPr>
          <w:jc w:val="center"/>
        </w:trPr>
        <w:tc>
          <w:tcPr>
            <w:tcW w:w="8646" w:type="dxa"/>
          </w:tcPr>
          <w:p w:rsidR="006E37C0" w:rsidRDefault="001B7363">
            <w:proofErr w:type="spellStart"/>
            <w:r>
              <w:rPr>
                <w:rFonts w:ascii="楷体" w:eastAsia="楷体" w:hAnsi="楷体"/>
                <w:b/>
              </w:rPr>
              <w:t>相关产品</w:t>
            </w:r>
            <w:proofErr w:type="spellEnd"/>
          </w:p>
        </w:tc>
      </w:tr>
      <w:tr w:rsidR="006E37C0">
        <w:trPr>
          <w:jc w:val="center"/>
        </w:trPr>
        <w:tc>
          <w:tcPr>
            <w:tcW w:w="8646" w:type="dxa"/>
          </w:tcPr>
          <w:p w:rsidR="006E37C0" w:rsidRDefault="001B7363">
            <w:r>
              <w:rPr>
                <w:rFonts w:ascii="楷体" w:eastAsia="楷体" w:hAnsi="楷体"/>
              </w:rPr>
              <w:t>石油基金LOF(160416.SZ)</w:t>
            </w:r>
          </w:p>
        </w:tc>
      </w:tr>
    </w:tbl>
    <w:p w:rsidR="006E37C0" w:rsidRDefault="001B7363">
      <w:r>
        <w:br w:type="page"/>
      </w:r>
    </w:p>
    <w:p w:rsidR="006E37C0" w:rsidRDefault="001B7363">
      <w:pPr>
        <w:pStyle w:val="Head"/>
      </w:pPr>
      <w:r>
        <w:lastRenderedPageBreak/>
        <w:t>■ 下周全球投资日历</w:t>
      </w:r>
    </w:p>
    <w:tbl>
      <w:tblPr>
        <w:tblStyle w:val="aff1"/>
        <w:tblW w:w="0" w:type="auto"/>
        <w:jc w:val="center"/>
        <w:tblLook w:val="04A0" w:firstRow="1" w:lastRow="0" w:firstColumn="1" w:lastColumn="0" w:noHBand="0" w:noVBand="1"/>
      </w:tblPr>
      <w:tblGrid>
        <w:gridCol w:w="1417"/>
        <w:gridCol w:w="1247"/>
        <w:gridCol w:w="5953"/>
      </w:tblGrid>
      <w:tr w:rsidR="006E37C0">
        <w:trPr>
          <w:jc w:val="center"/>
        </w:trPr>
        <w:tc>
          <w:tcPr>
            <w:tcW w:w="1417" w:type="dxa"/>
          </w:tcPr>
          <w:p w:rsidR="006E37C0" w:rsidRDefault="001B7363">
            <w:r>
              <w:rPr>
                <w:rFonts w:ascii="楷体" w:eastAsia="楷体" w:hAnsi="楷体"/>
                <w:b/>
              </w:rPr>
              <w:t>日期</w:t>
            </w:r>
          </w:p>
        </w:tc>
        <w:tc>
          <w:tcPr>
            <w:tcW w:w="1247" w:type="dxa"/>
          </w:tcPr>
          <w:p w:rsidR="006E37C0" w:rsidRDefault="001B7363">
            <w:r>
              <w:rPr>
                <w:rFonts w:ascii="楷体" w:eastAsia="楷体" w:hAnsi="楷体"/>
                <w:b/>
              </w:rPr>
              <w:t>国家/地区</w:t>
            </w:r>
          </w:p>
        </w:tc>
        <w:tc>
          <w:tcPr>
            <w:tcW w:w="5953" w:type="dxa"/>
          </w:tcPr>
          <w:p w:rsidR="006E37C0" w:rsidRDefault="001B7363">
            <w:r>
              <w:rPr>
                <w:rFonts w:ascii="楷体" w:eastAsia="楷体" w:hAnsi="楷体"/>
                <w:b/>
              </w:rPr>
              <w:t>指标名称</w:t>
            </w:r>
          </w:p>
        </w:tc>
      </w:tr>
      <w:tr w:rsidR="006E37C0">
        <w:trPr>
          <w:jc w:val="center"/>
        </w:trPr>
        <w:tc>
          <w:tcPr>
            <w:tcW w:w="1417" w:type="dxa"/>
          </w:tcPr>
          <w:p w:rsidR="006E37C0" w:rsidRDefault="001B7363">
            <w:r>
              <w:rPr>
                <w:rFonts w:ascii="楷体" w:eastAsia="楷体" w:hAnsi="楷体"/>
                <w:b/>
              </w:rPr>
              <w:t>2026-04-21</w:t>
            </w:r>
          </w:p>
        </w:tc>
        <w:tc>
          <w:tcPr>
            <w:tcW w:w="1247" w:type="dxa"/>
          </w:tcPr>
          <w:p w:rsidR="006E37C0" w:rsidRDefault="001B7363">
            <w:r>
              <w:rPr>
                <w:rFonts w:ascii="楷体" w:eastAsia="楷体" w:hAnsi="楷体"/>
                <w:b/>
              </w:rPr>
              <w:t>美国</w:t>
            </w:r>
          </w:p>
        </w:tc>
        <w:tc>
          <w:tcPr>
            <w:tcW w:w="5953" w:type="dxa"/>
          </w:tcPr>
          <w:p w:rsidR="006E37C0" w:rsidRDefault="001B7363">
            <w:r>
              <w:rPr>
                <w:rFonts w:ascii="楷体" w:eastAsia="楷体" w:hAnsi="楷体"/>
                <w:b/>
              </w:rPr>
              <w:t>3月零售销售:同比(%)</w:t>
            </w:r>
          </w:p>
        </w:tc>
      </w:tr>
      <w:tr w:rsidR="006E37C0">
        <w:trPr>
          <w:jc w:val="center"/>
        </w:trPr>
        <w:tc>
          <w:tcPr>
            <w:tcW w:w="1417" w:type="dxa"/>
          </w:tcPr>
          <w:p w:rsidR="006E37C0" w:rsidRDefault="001B7363">
            <w:r>
              <w:rPr>
                <w:rFonts w:ascii="楷体" w:eastAsia="楷体" w:hAnsi="楷体"/>
                <w:b/>
              </w:rPr>
              <w:t>2026-04-23</w:t>
            </w:r>
          </w:p>
        </w:tc>
        <w:tc>
          <w:tcPr>
            <w:tcW w:w="1247" w:type="dxa"/>
          </w:tcPr>
          <w:p w:rsidR="006E37C0" w:rsidRDefault="001B7363">
            <w:r>
              <w:rPr>
                <w:rFonts w:ascii="楷体" w:eastAsia="楷体" w:hAnsi="楷体"/>
                <w:b/>
              </w:rPr>
              <w:t>美国</w:t>
            </w:r>
          </w:p>
        </w:tc>
        <w:tc>
          <w:tcPr>
            <w:tcW w:w="5953" w:type="dxa"/>
          </w:tcPr>
          <w:p w:rsidR="006E37C0" w:rsidRDefault="001B7363">
            <w:pPr>
              <w:rPr>
                <w:lang w:eastAsia="zh-CN"/>
              </w:rPr>
            </w:pPr>
            <w:r>
              <w:rPr>
                <w:rFonts w:ascii="楷体" w:eastAsia="楷体" w:hAnsi="楷体"/>
                <w:b/>
                <w:lang w:eastAsia="zh-CN"/>
              </w:rPr>
              <w:t>4月18日初请失业</w:t>
            </w:r>
            <w:proofErr w:type="gramStart"/>
            <w:r>
              <w:rPr>
                <w:rFonts w:ascii="楷体" w:eastAsia="楷体" w:hAnsi="楷体"/>
                <w:b/>
                <w:lang w:eastAsia="zh-CN"/>
              </w:rPr>
              <w:t>金人数</w:t>
            </w:r>
            <w:proofErr w:type="gramEnd"/>
            <w:r>
              <w:rPr>
                <w:rFonts w:ascii="楷体" w:eastAsia="楷体" w:hAnsi="楷体"/>
                <w:b/>
                <w:lang w:eastAsia="zh-CN"/>
              </w:rPr>
              <w:t>:</w:t>
            </w:r>
            <w:proofErr w:type="gramStart"/>
            <w:r>
              <w:rPr>
                <w:rFonts w:ascii="楷体" w:eastAsia="楷体" w:hAnsi="楷体"/>
                <w:b/>
                <w:lang w:eastAsia="zh-CN"/>
              </w:rPr>
              <w:t>季调</w:t>
            </w:r>
            <w:proofErr w:type="gramEnd"/>
            <w:r>
              <w:rPr>
                <w:rFonts w:ascii="楷体" w:eastAsia="楷体" w:hAnsi="楷体"/>
                <w:b/>
                <w:lang w:eastAsia="zh-CN"/>
              </w:rPr>
              <w:t>(人)</w:t>
            </w:r>
          </w:p>
        </w:tc>
      </w:tr>
      <w:tr w:rsidR="006E37C0">
        <w:trPr>
          <w:jc w:val="center"/>
        </w:trPr>
        <w:tc>
          <w:tcPr>
            <w:tcW w:w="1417" w:type="dxa"/>
          </w:tcPr>
          <w:p w:rsidR="006E37C0" w:rsidRDefault="001B7363">
            <w:r>
              <w:rPr>
                <w:rFonts w:ascii="楷体" w:eastAsia="楷体" w:hAnsi="楷体"/>
                <w:b/>
              </w:rPr>
              <w:t>2026-04-24</w:t>
            </w:r>
          </w:p>
        </w:tc>
        <w:tc>
          <w:tcPr>
            <w:tcW w:w="1247" w:type="dxa"/>
          </w:tcPr>
          <w:p w:rsidR="006E37C0" w:rsidRDefault="001B7363">
            <w:r>
              <w:rPr>
                <w:rFonts w:ascii="楷体" w:eastAsia="楷体" w:hAnsi="楷体"/>
                <w:b/>
              </w:rPr>
              <w:t>日本</w:t>
            </w:r>
          </w:p>
        </w:tc>
        <w:tc>
          <w:tcPr>
            <w:tcW w:w="5953" w:type="dxa"/>
          </w:tcPr>
          <w:p w:rsidR="006E37C0" w:rsidRDefault="001B7363">
            <w:r>
              <w:rPr>
                <w:rFonts w:ascii="楷体" w:eastAsia="楷体" w:hAnsi="楷体"/>
                <w:b/>
              </w:rPr>
              <w:t>3月CPI:同比(%)</w:t>
            </w:r>
          </w:p>
        </w:tc>
      </w:tr>
      <w:tr w:rsidR="006E37C0">
        <w:trPr>
          <w:jc w:val="center"/>
        </w:trPr>
        <w:tc>
          <w:tcPr>
            <w:tcW w:w="1417" w:type="dxa"/>
          </w:tcPr>
          <w:p w:rsidR="006E37C0" w:rsidRDefault="001B7363">
            <w:r>
              <w:rPr>
                <w:rFonts w:ascii="楷体" w:eastAsia="楷体" w:hAnsi="楷体"/>
                <w:b/>
              </w:rPr>
              <w:t>2026-04-24</w:t>
            </w:r>
          </w:p>
        </w:tc>
        <w:tc>
          <w:tcPr>
            <w:tcW w:w="1247" w:type="dxa"/>
          </w:tcPr>
          <w:p w:rsidR="006E37C0" w:rsidRDefault="001B7363">
            <w:r>
              <w:rPr>
                <w:rFonts w:ascii="楷体" w:eastAsia="楷体" w:hAnsi="楷体"/>
                <w:b/>
              </w:rPr>
              <w:t>日本</w:t>
            </w:r>
          </w:p>
        </w:tc>
        <w:tc>
          <w:tcPr>
            <w:tcW w:w="5953" w:type="dxa"/>
          </w:tcPr>
          <w:p w:rsidR="006E37C0" w:rsidRDefault="001B7363">
            <w:r>
              <w:rPr>
                <w:rFonts w:ascii="楷体" w:eastAsia="楷体" w:hAnsi="楷体"/>
                <w:b/>
              </w:rPr>
              <w:t>3月CPI:环比(%)</w:t>
            </w:r>
          </w:p>
        </w:tc>
      </w:tr>
      <w:tr w:rsidR="006E37C0">
        <w:trPr>
          <w:jc w:val="center"/>
        </w:trPr>
        <w:tc>
          <w:tcPr>
            <w:tcW w:w="1417" w:type="dxa"/>
          </w:tcPr>
          <w:p w:rsidR="006E37C0" w:rsidRDefault="001B7363">
            <w:r>
              <w:rPr>
                <w:rFonts w:ascii="楷体" w:eastAsia="楷体" w:hAnsi="楷体"/>
                <w:b/>
              </w:rPr>
              <w:t>2026-04-24</w:t>
            </w:r>
          </w:p>
        </w:tc>
        <w:tc>
          <w:tcPr>
            <w:tcW w:w="1247" w:type="dxa"/>
          </w:tcPr>
          <w:p w:rsidR="006E37C0" w:rsidRDefault="001B7363">
            <w:r>
              <w:rPr>
                <w:rFonts w:ascii="楷体" w:eastAsia="楷体" w:hAnsi="楷体"/>
                <w:b/>
              </w:rPr>
              <w:t>日本</w:t>
            </w:r>
          </w:p>
        </w:tc>
        <w:tc>
          <w:tcPr>
            <w:tcW w:w="5953" w:type="dxa"/>
          </w:tcPr>
          <w:p w:rsidR="006E37C0" w:rsidRDefault="001B7363">
            <w:r>
              <w:rPr>
                <w:rFonts w:ascii="楷体" w:eastAsia="楷体" w:hAnsi="楷体"/>
                <w:b/>
              </w:rPr>
              <w:t>3月核心CPI:环比(%)</w:t>
            </w:r>
          </w:p>
        </w:tc>
      </w:tr>
    </w:tbl>
    <w:p w:rsidR="006E37C0" w:rsidRDefault="001B7363">
      <w:pPr>
        <w:pStyle w:val="Source"/>
        <w:rPr>
          <w:lang w:eastAsia="zh-CN"/>
        </w:rPr>
      </w:pPr>
      <w:r>
        <w:rPr>
          <w:lang w:eastAsia="zh-CN"/>
        </w:rPr>
        <w:t>数据来源：Wind，华安基金，截至2026-04-17</w:t>
      </w:r>
    </w:p>
    <w:p w:rsidR="006E37C0" w:rsidRDefault="006E37C0">
      <w:pPr>
        <w:spacing w:after="0" w:line="240" w:lineRule="auto"/>
        <w:rPr>
          <w:lang w:eastAsia="zh-CN"/>
        </w:rPr>
      </w:pPr>
    </w:p>
    <w:p w:rsidR="006E37C0" w:rsidRDefault="001B7363">
      <w:pPr>
        <w:pStyle w:val="Source"/>
        <w:rPr>
          <w:lang w:eastAsia="zh-CN"/>
        </w:rPr>
      </w:pPr>
      <w:r>
        <w:rPr>
          <w:lang w:eastAsia="zh-CN"/>
        </w:rPr>
        <w:t>风险提示：本报告所载信息或所表达的意见仅为提供参考之目的，并不构成对买入或卖出此报告中所提及的任何证券的建议。</w:t>
      </w:r>
    </w:p>
    <w:p w:rsidR="006E37C0" w:rsidRDefault="001B7363">
      <w:pPr>
        <w:pStyle w:val="Source"/>
      </w:pPr>
      <w:r>
        <w:rPr>
          <w:lang w:eastAsia="zh-CN"/>
        </w:rPr>
        <w:t>本报告并非基金宣传推介资料，亦不构成任何法律文件，仅</w:t>
      </w:r>
      <w:proofErr w:type="gramStart"/>
      <w:r>
        <w:rPr>
          <w:lang w:eastAsia="zh-CN"/>
        </w:rPr>
        <w:t>供渠道</w:t>
      </w:r>
      <w:proofErr w:type="gramEnd"/>
      <w:r>
        <w:rPr>
          <w:lang w:eastAsia="zh-CN"/>
        </w:rPr>
        <w:t>交流使用，不得以任何方式提供给任何投资者。本</w:t>
      </w:r>
      <w:proofErr w:type="gramStart"/>
      <w:r>
        <w:rPr>
          <w:lang w:eastAsia="zh-CN"/>
        </w:rPr>
        <w:t>报告非</w:t>
      </w:r>
      <w:proofErr w:type="gramEnd"/>
      <w:r>
        <w:rPr>
          <w:lang w:eastAsia="zh-CN"/>
        </w:rPr>
        <w:t>为对相关证券或市场的完整表述或概括，有关数据仅供参考，本公司不对其中的任何错漏和疏忽承担法律责任。投资者购买本公司旗下的产品时，应认真阅读相关法律文件。基金有风险，投资需谨慎。黄金ETF,其风险收益特征与国内黄金现货价格的风险收益特征相似,不同于股票基金、混合基金、债券基金和货币市场基金。其联接基金主要通过投资目标ETF紧密跟踪标的指数的表现。对于境外基金产品，投资者应认真阅读基金招募说明书的风险揭示章节以更好的了解海外资产的投资风险。</w:t>
      </w:r>
      <w:proofErr w:type="spellStart"/>
      <w:r>
        <w:t>基金有风险，投资需谨慎</w:t>
      </w:r>
      <w:proofErr w:type="spellEnd"/>
      <w:r>
        <w:t>。</w:t>
      </w:r>
    </w:p>
    <w:sectPr w:rsidR="006E37C0" w:rsidSect="00034616">
      <w:headerReference w:type="default" r:id="rId11"/>
      <w:pgSz w:w="12240" w:h="15840"/>
      <w:pgMar w:top="2835" w:right="1797" w:bottom="1440" w:left="1797"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21F7" w:rsidRDefault="008121F7">
      <w:pPr>
        <w:spacing w:after="0" w:line="240" w:lineRule="auto"/>
      </w:pPr>
      <w:r>
        <w:separator/>
      </w:r>
    </w:p>
  </w:endnote>
  <w:endnote w:type="continuationSeparator" w:id="0">
    <w:p w:rsidR="008121F7" w:rsidRDefault="00812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21F7" w:rsidRDefault="008121F7">
      <w:pPr>
        <w:spacing w:after="0" w:line="240" w:lineRule="auto"/>
      </w:pPr>
      <w:r>
        <w:separator/>
      </w:r>
    </w:p>
  </w:footnote>
  <w:footnote w:type="continuationSeparator" w:id="0">
    <w:p w:rsidR="008121F7" w:rsidRDefault="008121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37C0" w:rsidRDefault="001B7363">
    <w:pPr>
      <w:pStyle w:val="a5"/>
      <w:spacing w:after="283"/>
      <w:ind w:left="-1797"/>
    </w:pPr>
    <w:r>
      <w:rPr>
        <w:noProof/>
        <w:lang w:eastAsia="zh-CN"/>
      </w:rPr>
      <w:drawing>
        <wp:inline distT="0" distB="0" distL="0" distR="0">
          <wp:extent cx="7772400" cy="1715902"/>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周报页眉.png"/>
                  <pic:cNvPicPr/>
                </pic:nvPicPr>
                <pic:blipFill>
                  <a:blip r:embed="rId1"/>
                  <a:stretch>
                    <a:fillRect/>
                  </a:stretch>
                </pic:blipFill>
                <pic:spPr>
                  <a:xfrm>
                    <a:off x="0" y="0"/>
                    <a:ext cx="7772400" cy="171590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4E51"/>
    <w:rsid w:val="0015074B"/>
    <w:rsid w:val="001B7363"/>
    <w:rsid w:val="0029639D"/>
    <w:rsid w:val="00326F90"/>
    <w:rsid w:val="006E37C0"/>
    <w:rsid w:val="007D0CAE"/>
    <w:rsid w:val="008121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769D6B"/>
  <w14:defaultImageDpi w14:val="300"/>
  <w15:docId w15:val="{57B88551-1800-4D07-A20D-527CD9423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pPr>
      <w:spacing w:after="0"/>
      <w:ind w:firstLine="420"/>
      <w:jc w:val="both"/>
    </w:pPr>
    <w:rPr>
      <w:rFonts w:ascii="楷体" w:eastAsia="楷体" w:hAnsi="楷体"/>
      <w:b/>
      <w:color w:val="8CCCDC"/>
      <w:sz w:val="32"/>
    </w:rPr>
  </w:style>
  <w:style w:type="paragraph" w:customStyle="1" w:styleId="Sub">
    <w:name w:val="Sub"/>
    <w:pPr>
      <w:spacing w:after="0"/>
      <w:ind w:firstLine="420"/>
      <w:jc w:val="both"/>
    </w:pPr>
    <w:rPr>
      <w:rFonts w:ascii="楷体" w:eastAsia="楷体" w:hAnsi="楷体"/>
      <w:b/>
      <w:color w:val="8CCCDC"/>
      <w:sz w:val="24"/>
    </w:rPr>
  </w:style>
  <w:style w:type="paragraph" w:customStyle="1" w:styleId="Para">
    <w:name w:val="Para"/>
    <w:pPr>
      <w:spacing w:after="0"/>
      <w:ind w:firstLine="420"/>
      <w:jc w:val="both"/>
    </w:pPr>
    <w:rPr>
      <w:rFonts w:ascii="楷体" w:eastAsia="楷体" w:hAnsi="楷体"/>
      <w:color w:val="000000"/>
    </w:rPr>
  </w:style>
  <w:style w:type="paragraph" w:customStyle="1" w:styleId="Cap">
    <w:name w:val="Cap"/>
    <w:pPr>
      <w:spacing w:after="0"/>
      <w:ind w:firstLine="420"/>
      <w:jc w:val="both"/>
    </w:pPr>
    <w:rPr>
      <w:rFonts w:ascii="楷体" w:eastAsia="楷体" w:hAnsi="楷体"/>
      <w:b/>
      <w:color w:val="000000"/>
    </w:rPr>
  </w:style>
  <w:style w:type="paragraph" w:customStyle="1" w:styleId="Source">
    <w:name w:val="Source"/>
    <w:pPr>
      <w:spacing w:after="0"/>
      <w:ind w:firstLine="420"/>
      <w:jc w:val="both"/>
    </w:pPr>
    <w:rPr>
      <w:rFonts w:ascii="楷体" w:eastAsia="楷体" w:hAnsi="楷体"/>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Projects\&#21608;&#25253;\&#25968;&#25454;\&#21608;&#25253;&#22270;&#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申万一级行业指数!$M$1</c:f>
              <c:strCache>
                <c:ptCount val="1"/>
                <c:pt idx="0">
                  <c:v>周涨跌幅</c:v>
                </c:pt>
              </c:strCache>
            </c:strRef>
          </c:tx>
          <c:spPr>
            <a:solidFill>
              <a:schemeClr val="accent1"/>
            </a:solidFill>
            <a:ln>
              <a:noFill/>
            </a:ln>
            <a:effectLst/>
          </c:spPr>
          <c:invertIfNegative val="0"/>
          <c:cat>
            <c:strRef>
              <c:f>申万一级行业指数!$L$2:$L$32</c:f>
              <c:strCache>
                <c:ptCount val="31"/>
                <c:pt idx="0">
                  <c:v>通信</c:v>
                </c:pt>
                <c:pt idx="1">
                  <c:v>综合</c:v>
                </c:pt>
                <c:pt idx="2">
                  <c:v>电子</c:v>
                </c:pt>
                <c:pt idx="3">
                  <c:v>电力设备</c:v>
                </c:pt>
                <c:pt idx="4">
                  <c:v>国防军工</c:v>
                </c:pt>
                <c:pt idx="5">
                  <c:v>有色金属</c:v>
                </c:pt>
                <c:pt idx="6">
                  <c:v>房地产</c:v>
                </c:pt>
                <c:pt idx="7">
                  <c:v>建筑材料</c:v>
                </c:pt>
                <c:pt idx="8">
                  <c:v>计算机</c:v>
                </c:pt>
                <c:pt idx="9">
                  <c:v>机械设备</c:v>
                </c:pt>
                <c:pt idx="10">
                  <c:v>农林牧渔</c:v>
                </c:pt>
                <c:pt idx="11">
                  <c:v>家用电器</c:v>
                </c:pt>
                <c:pt idx="12">
                  <c:v>环保</c:v>
                </c:pt>
                <c:pt idx="13">
                  <c:v>社会服务</c:v>
                </c:pt>
                <c:pt idx="14">
                  <c:v>汽车</c:v>
                </c:pt>
                <c:pt idx="15">
                  <c:v>钢铁</c:v>
                </c:pt>
                <c:pt idx="16">
                  <c:v>公用事业</c:v>
                </c:pt>
                <c:pt idx="17">
                  <c:v>银行</c:v>
                </c:pt>
                <c:pt idx="18">
                  <c:v>纺织服饰</c:v>
                </c:pt>
                <c:pt idx="19">
                  <c:v>传媒</c:v>
                </c:pt>
                <c:pt idx="20">
                  <c:v>商贸零售</c:v>
                </c:pt>
                <c:pt idx="21">
                  <c:v>轻工制造</c:v>
                </c:pt>
                <c:pt idx="22">
                  <c:v>建筑装饰</c:v>
                </c:pt>
                <c:pt idx="23">
                  <c:v>基础化工</c:v>
                </c:pt>
                <c:pt idx="24">
                  <c:v>非银金融</c:v>
                </c:pt>
                <c:pt idx="25">
                  <c:v>美容护理</c:v>
                </c:pt>
                <c:pt idx="26">
                  <c:v>医药生物</c:v>
                </c:pt>
                <c:pt idx="27">
                  <c:v>交通运输</c:v>
                </c:pt>
                <c:pt idx="28">
                  <c:v>煤炭</c:v>
                </c:pt>
                <c:pt idx="29">
                  <c:v>食品饮料</c:v>
                </c:pt>
                <c:pt idx="30">
                  <c:v>石油石化</c:v>
                </c:pt>
              </c:strCache>
            </c:strRef>
          </c:cat>
          <c:val>
            <c:numRef>
              <c:f>申万一级行业指数!$M$2:$M$32</c:f>
              <c:numCache>
                <c:formatCode>0.00%</c:formatCode>
                <c:ptCount val="31"/>
                <c:pt idx="0">
                  <c:v>8.3964243146603224E-2</c:v>
                </c:pt>
                <c:pt idx="1">
                  <c:v>5.9648695675481367E-2</c:v>
                </c:pt>
                <c:pt idx="2">
                  <c:v>5.9498827671194521E-2</c:v>
                </c:pt>
                <c:pt idx="3">
                  <c:v>4.7681898736123829E-2</c:v>
                </c:pt>
                <c:pt idx="4">
                  <c:v>4.3568985057085285E-2</c:v>
                </c:pt>
                <c:pt idx="5">
                  <c:v>4.1566725815333827E-2</c:v>
                </c:pt>
                <c:pt idx="6">
                  <c:v>4.1338324754328415E-2</c:v>
                </c:pt>
                <c:pt idx="7">
                  <c:v>4.1031005363573403E-2</c:v>
                </c:pt>
                <c:pt idx="8">
                  <c:v>3.3512197555500167E-2</c:v>
                </c:pt>
                <c:pt idx="9">
                  <c:v>2.7354202985100828E-2</c:v>
                </c:pt>
                <c:pt idx="10">
                  <c:v>2.4066401887001154E-2</c:v>
                </c:pt>
                <c:pt idx="11">
                  <c:v>1.8867160988288667E-2</c:v>
                </c:pt>
                <c:pt idx="12">
                  <c:v>1.7566154588594785E-2</c:v>
                </c:pt>
                <c:pt idx="13">
                  <c:v>1.6336982049351079E-2</c:v>
                </c:pt>
                <c:pt idx="14">
                  <c:v>1.5658222897884988E-2</c:v>
                </c:pt>
                <c:pt idx="15">
                  <c:v>1.4966426902628838E-2</c:v>
                </c:pt>
                <c:pt idx="16">
                  <c:v>1.3566230098988274E-2</c:v>
                </c:pt>
                <c:pt idx="17">
                  <c:v>1.2553717800807052E-2</c:v>
                </c:pt>
                <c:pt idx="18">
                  <c:v>1.0022678706420818E-2</c:v>
                </c:pt>
                <c:pt idx="19">
                  <c:v>9.2281383790167038E-3</c:v>
                </c:pt>
                <c:pt idx="20">
                  <c:v>7.991576730718819E-3</c:v>
                </c:pt>
                <c:pt idx="21">
                  <c:v>4.9476401300418971E-3</c:v>
                </c:pt>
                <c:pt idx="22">
                  <c:v>4.3041847960663127E-3</c:v>
                </c:pt>
                <c:pt idx="23">
                  <c:v>4.1324817142267545E-3</c:v>
                </c:pt>
                <c:pt idx="24">
                  <c:v>1.8483043408652478E-3</c:v>
                </c:pt>
                <c:pt idx="25">
                  <c:v>-6.2534961131999189E-4</c:v>
                </c:pt>
                <c:pt idx="26">
                  <c:v>-6.3727718452147863E-3</c:v>
                </c:pt>
                <c:pt idx="27">
                  <c:v>-8.2723042596888341E-3</c:v>
                </c:pt>
                <c:pt idx="28">
                  <c:v>-9.3298941474000419E-3</c:v>
                </c:pt>
                <c:pt idx="29">
                  <c:v>-1.7045181127210651E-2</c:v>
                </c:pt>
                <c:pt idx="30">
                  <c:v>-3.8802034343574321E-2</c:v>
                </c:pt>
              </c:numCache>
            </c:numRef>
          </c:val>
          <c:extLst>
            <c:ext xmlns:c16="http://schemas.microsoft.com/office/drawing/2014/chart" uri="{C3380CC4-5D6E-409C-BE32-E72D297353CC}">
              <c16:uniqueId val="{00000000-CC94-43E8-A33D-76DB1AD82F42}"/>
            </c:ext>
          </c:extLst>
        </c:ser>
        <c:dLbls>
          <c:showLegendKey val="0"/>
          <c:showVal val="0"/>
          <c:showCatName val="0"/>
          <c:showSerName val="0"/>
          <c:showPercent val="0"/>
          <c:showBubbleSize val="0"/>
        </c:dLbls>
        <c:gapWidth val="219"/>
        <c:overlap val="-27"/>
        <c:axId val="937073416"/>
        <c:axId val="937066856"/>
      </c:barChart>
      <c:catAx>
        <c:axId val="93707341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0" spcFirstLastPara="1" vertOverflow="ellipsis" vert="eaVert" wrap="square" anchor="ctr" anchorCtr="1"/>
          <a:lstStyle/>
          <a:p>
            <a:pPr>
              <a:defRPr lang="zh-CN" sz="900" b="0" i="0" u="none" strike="noStrike" kern="1200" baseline="0">
                <a:solidFill>
                  <a:schemeClr val="tx1"/>
                </a:solidFill>
                <a:latin typeface="+mn-lt"/>
                <a:ea typeface="+mn-ea"/>
                <a:cs typeface="+mn-cs"/>
              </a:defRPr>
            </a:pPr>
            <a:endParaRPr lang="zh-CN"/>
          </a:p>
        </c:txPr>
        <c:crossAx val="937066856"/>
        <c:crosses val="autoZero"/>
        <c:auto val="1"/>
        <c:lblAlgn val="ctr"/>
        <c:lblOffset val="100"/>
        <c:noMultiLvlLbl val="0"/>
      </c:catAx>
      <c:valAx>
        <c:axId val="937066856"/>
        <c:scaling>
          <c:orientation val="minMax"/>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crossAx val="937073416"/>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lang="zh-CN" sz="900">
          <a:solidFill>
            <a:schemeClr val="tx1"/>
          </a:solidFill>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自定义 1">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nsolas-Verdana">
    <a:majorFont>
      <a:latin typeface="Consolas"/>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35E9AF-2DB0-4C14-B2B0-C9CEF20E2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1219</Words>
  <Characters>6950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黄泳嘉</cp:lastModifiedBy>
  <cp:revision>3</cp:revision>
  <dcterms:created xsi:type="dcterms:W3CDTF">2013-12-23T23:15:00Z</dcterms:created>
  <dcterms:modified xsi:type="dcterms:W3CDTF">2026-04-17T08:58:00Z</dcterms:modified>
  <cp:category/>
</cp:coreProperties>
</file>