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53C" w:rsidRDefault="00C45820">
      <w:pPr>
        <w:pStyle w:val="Head"/>
        <w:rPr>
          <w:lang w:eastAsia="zh-CN"/>
        </w:rPr>
      </w:pPr>
      <w:r>
        <w:rPr>
          <w:lang w:eastAsia="zh-CN"/>
        </w:rPr>
        <w:t>■ A</w:t>
      </w:r>
      <w:r>
        <w:rPr>
          <w:lang w:eastAsia="zh-CN"/>
        </w:rPr>
        <w:t>股市场回顾</w:t>
      </w:r>
    </w:p>
    <w:p w:rsidR="000A353C" w:rsidRDefault="00C45820">
      <w:pPr>
        <w:pStyle w:val="Para"/>
        <w:rPr>
          <w:lang w:eastAsia="zh-CN"/>
        </w:rPr>
      </w:pPr>
      <w:r>
        <w:rPr>
          <w:lang w:eastAsia="zh-CN"/>
        </w:rPr>
        <w:t>本周</w:t>
      </w:r>
      <w:r>
        <w:rPr>
          <w:lang w:eastAsia="zh-CN"/>
        </w:rPr>
        <w:t>A</w:t>
      </w:r>
      <w:r>
        <w:rPr>
          <w:lang w:eastAsia="zh-CN"/>
        </w:rPr>
        <w:t>股市场整体呈现分化趋势，主要指数表现不一：沪深</w:t>
      </w:r>
      <w:r>
        <w:rPr>
          <w:lang w:eastAsia="zh-CN"/>
        </w:rPr>
        <w:t>300</w:t>
      </w:r>
      <w:r>
        <w:rPr>
          <w:lang w:eastAsia="zh-CN"/>
        </w:rPr>
        <w:t>跌</w:t>
      </w:r>
      <w:r>
        <w:rPr>
          <w:lang w:eastAsia="zh-CN"/>
        </w:rPr>
        <w:t>0.25%</w:t>
      </w:r>
      <w:r>
        <w:rPr>
          <w:lang w:eastAsia="zh-CN"/>
        </w:rPr>
        <w:t>，中证</w:t>
      </w:r>
      <w:r>
        <w:rPr>
          <w:lang w:eastAsia="zh-CN"/>
        </w:rPr>
        <w:t>500</w:t>
      </w:r>
      <w:r>
        <w:rPr>
          <w:lang w:eastAsia="zh-CN"/>
        </w:rPr>
        <w:t>跌</w:t>
      </w:r>
      <w:r>
        <w:rPr>
          <w:lang w:eastAsia="zh-CN"/>
        </w:rPr>
        <w:t>1.82%</w:t>
      </w:r>
      <w:r>
        <w:rPr>
          <w:lang w:eastAsia="zh-CN"/>
        </w:rPr>
        <w:t>，中证</w:t>
      </w:r>
      <w:r>
        <w:rPr>
          <w:lang w:eastAsia="zh-CN"/>
        </w:rPr>
        <w:t>1000</w:t>
      </w:r>
      <w:r>
        <w:rPr>
          <w:lang w:eastAsia="zh-CN"/>
        </w:rPr>
        <w:t>跌</w:t>
      </w:r>
      <w:r>
        <w:rPr>
          <w:lang w:eastAsia="zh-CN"/>
        </w:rPr>
        <w:t>0.67%</w:t>
      </w:r>
      <w:r>
        <w:rPr>
          <w:lang w:eastAsia="zh-CN"/>
        </w:rPr>
        <w:t>，创业板</w:t>
      </w:r>
      <w:r>
        <w:rPr>
          <w:lang w:eastAsia="zh-CN"/>
        </w:rPr>
        <w:t>50</w:t>
      </w:r>
      <w:r>
        <w:rPr>
          <w:lang w:eastAsia="zh-CN"/>
        </w:rPr>
        <w:t>涨</w:t>
      </w:r>
      <w:r>
        <w:rPr>
          <w:lang w:eastAsia="zh-CN"/>
        </w:rPr>
        <w:t>3.92%</w:t>
      </w:r>
      <w:r>
        <w:rPr>
          <w:lang w:eastAsia="zh-CN"/>
        </w:rPr>
        <w:t>，</w:t>
      </w:r>
      <w:proofErr w:type="gramStart"/>
      <w:r>
        <w:rPr>
          <w:lang w:eastAsia="zh-CN"/>
        </w:rPr>
        <w:t>科创</w:t>
      </w:r>
      <w:proofErr w:type="gramEnd"/>
      <w:r>
        <w:rPr>
          <w:lang w:eastAsia="zh-CN"/>
        </w:rPr>
        <w:t>50</w:t>
      </w:r>
      <w:r>
        <w:rPr>
          <w:lang w:eastAsia="zh-CN"/>
        </w:rPr>
        <w:t>涨</w:t>
      </w:r>
      <w:r>
        <w:rPr>
          <w:lang w:eastAsia="zh-CN"/>
        </w:rPr>
        <w:t>3.40%</w:t>
      </w:r>
      <w:r>
        <w:rPr>
          <w:lang w:eastAsia="zh-CN"/>
        </w:rPr>
        <w:t>。交易面，</w:t>
      </w:r>
      <w:r>
        <w:rPr>
          <w:lang w:eastAsia="zh-CN"/>
        </w:rPr>
        <w:t>A</w:t>
      </w:r>
      <w:r>
        <w:rPr>
          <w:lang w:eastAsia="zh-CN"/>
        </w:rPr>
        <w:t>股市场本周日均成交额在</w:t>
      </w:r>
      <w:r>
        <w:rPr>
          <w:lang w:eastAsia="zh-CN"/>
        </w:rPr>
        <w:t>3.3</w:t>
      </w:r>
      <w:proofErr w:type="gramStart"/>
      <w:r>
        <w:rPr>
          <w:lang w:eastAsia="zh-CN"/>
        </w:rPr>
        <w:t>万亿</w:t>
      </w:r>
      <w:proofErr w:type="gramEnd"/>
      <w:r>
        <w:rPr>
          <w:lang w:eastAsia="zh-CN"/>
        </w:rPr>
        <w:t>左右，市场投资热情高涨。本周市场热点依次为化工、</w:t>
      </w:r>
      <w:r>
        <w:rPr>
          <w:lang w:eastAsia="zh-CN"/>
        </w:rPr>
        <w:t>PCB</w:t>
      </w:r>
      <w:r>
        <w:rPr>
          <w:lang w:eastAsia="zh-CN"/>
        </w:rPr>
        <w:t>、商业航天、光纤、液冷服务器、玻璃基板、锂电池、储能、</w:t>
      </w:r>
      <w:proofErr w:type="gramStart"/>
      <w:r>
        <w:rPr>
          <w:lang w:eastAsia="zh-CN"/>
        </w:rPr>
        <w:t>算力租赁</w:t>
      </w:r>
      <w:proofErr w:type="gramEnd"/>
      <w:r>
        <w:rPr>
          <w:lang w:eastAsia="zh-CN"/>
        </w:rPr>
        <w:t>、</w:t>
      </w:r>
      <w:r>
        <w:rPr>
          <w:lang w:eastAsia="zh-CN"/>
        </w:rPr>
        <w:t>CPO</w:t>
      </w:r>
      <w:r>
        <w:rPr>
          <w:lang w:eastAsia="zh-CN"/>
        </w:rPr>
        <w:t>、先进封装。板块呈现快速轮动特征，科技和制造领域活跃，医药板块表现较弱，玻璃基板</w:t>
      </w:r>
      <w:proofErr w:type="gramStart"/>
      <w:r>
        <w:rPr>
          <w:lang w:eastAsia="zh-CN"/>
        </w:rPr>
        <w:t>和算力租赁</w:t>
      </w:r>
      <w:proofErr w:type="gramEnd"/>
      <w:r>
        <w:rPr>
          <w:lang w:eastAsia="zh-CN"/>
        </w:rPr>
        <w:t>概念反复走强。建议关注融资活跃和政策支持的成长板块，如人工智能和先进制造。</w:t>
      </w:r>
    </w:p>
    <w:p w:rsidR="003F2D1A" w:rsidRDefault="003F2D1A" w:rsidP="003F2D1A">
      <w:pPr>
        <w:pStyle w:val="Cap"/>
        <w:rPr>
          <w:rFonts w:hint="eastAsia"/>
          <w:lang w:eastAsia="zh-CN"/>
        </w:rPr>
      </w:pPr>
      <w:r>
        <w:rPr>
          <w:noProof/>
          <w:lang w:eastAsia="zh-CN"/>
        </w:rPr>
        <w:drawing>
          <wp:anchor distT="0" distB="0" distL="114300" distR="114300" simplePos="0" relativeHeight="251657216" behindDoc="0" locked="0" layoutInCell="1" allowOverlap="1" wp14:anchorId="3B40463D" wp14:editId="2BD37451">
            <wp:simplePos x="0" y="0"/>
            <wp:positionH relativeFrom="column">
              <wp:posOffset>1905</wp:posOffset>
            </wp:positionH>
            <wp:positionV relativeFrom="paragraph">
              <wp:posOffset>210185</wp:posOffset>
            </wp:positionV>
            <wp:extent cx="5490210" cy="1798320"/>
            <wp:effectExtent l="0" t="0" r="0" b="0"/>
            <wp:wrapTopAndBottom/>
            <wp:docPr id="4" name="图表 4">
              <a:extLst xmlns:a="http://schemas.openxmlformats.org/drawingml/2006/main">
                <a:ext uri="{FF2B5EF4-FFF2-40B4-BE49-F238E27FC236}">
                  <a16:creationId xmlns:a16="http://schemas.microsoft.com/office/drawing/2014/main" id="{46CFC74C-408B-4AD8-87FA-BF433390E6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C45820">
        <w:rPr>
          <w:lang w:eastAsia="zh-CN"/>
        </w:rPr>
        <w:t>图</w:t>
      </w:r>
      <w:r w:rsidR="00C45820">
        <w:rPr>
          <w:lang w:eastAsia="zh-CN"/>
        </w:rPr>
        <w:t>1</w:t>
      </w:r>
      <w:r w:rsidR="00C45820">
        <w:rPr>
          <w:lang w:eastAsia="zh-CN"/>
        </w:rPr>
        <w:t>：</w:t>
      </w:r>
      <w:proofErr w:type="gramStart"/>
      <w:r w:rsidR="00C45820">
        <w:rPr>
          <w:lang w:eastAsia="zh-CN"/>
        </w:rPr>
        <w:t>申万一</w:t>
      </w:r>
      <w:r w:rsidR="00C45820">
        <w:rPr>
          <w:lang w:eastAsia="zh-CN"/>
        </w:rPr>
        <w:t>级</w:t>
      </w:r>
      <w:proofErr w:type="gramEnd"/>
      <w:r w:rsidR="00C45820">
        <w:rPr>
          <w:lang w:eastAsia="zh-CN"/>
        </w:rPr>
        <w:t>各板块表现</w:t>
      </w:r>
    </w:p>
    <w:p w:rsidR="000A353C" w:rsidRDefault="00C45820">
      <w:pPr>
        <w:pStyle w:val="Source"/>
        <w:rPr>
          <w:lang w:eastAsia="zh-CN"/>
        </w:rPr>
      </w:pPr>
      <w:r>
        <w:rPr>
          <w:lang w:eastAsia="zh-CN"/>
        </w:rPr>
        <w:t>数据来源：</w:t>
      </w:r>
      <w:r>
        <w:rPr>
          <w:lang w:eastAsia="zh-CN"/>
        </w:rPr>
        <w:t>Wind</w:t>
      </w:r>
      <w:r>
        <w:rPr>
          <w:lang w:eastAsia="zh-CN"/>
        </w:rPr>
        <w:t>，华安基金，</w:t>
      </w:r>
      <w:r>
        <w:rPr>
          <w:lang w:eastAsia="zh-CN"/>
        </w:rPr>
        <w:t>2026-05-11</w:t>
      </w:r>
      <w:r>
        <w:rPr>
          <w:lang w:eastAsia="zh-CN"/>
        </w:rPr>
        <w:t>至</w:t>
      </w:r>
      <w:r>
        <w:rPr>
          <w:lang w:eastAsia="zh-CN"/>
        </w:rPr>
        <w:t>2026-05-15</w:t>
      </w:r>
    </w:p>
    <w:p w:rsidR="000A353C" w:rsidRDefault="000A353C">
      <w:pPr>
        <w:spacing w:after="0" w:line="240" w:lineRule="auto"/>
        <w:rPr>
          <w:lang w:eastAsia="zh-CN"/>
        </w:rPr>
      </w:pPr>
    </w:p>
    <w:p w:rsidR="000A353C" w:rsidRDefault="00C45820">
      <w:pPr>
        <w:pStyle w:val="Para"/>
        <w:rPr>
          <w:lang w:eastAsia="zh-CN"/>
        </w:rPr>
      </w:pPr>
      <w:r>
        <w:rPr>
          <w:lang w:eastAsia="zh-CN"/>
        </w:rPr>
        <w:t>近期中国宏观经济数据显示，一季度经济实现平稳良好开局，国家统计局发布</w:t>
      </w:r>
      <w:r>
        <w:rPr>
          <w:lang w:eastAsia="zh-CN"/>
        </w:rPr>
        <w:t>GDP</w:t>
      </w:r>
      <w:r>
        <w:rPr>
          <w:lang w:eastAsia="zh-CN"/>
        </w:rPr>
        <w:t>及工业增加值等数据反映企稳回升态势。货币政策方面，央行第一季度报告提出继续实施适度宽松的货币政策，灵活</w:t>
      </w:r>
      <w:proofErr w:type="gramStart"/>
      <w:r>
        <w:rPr>
          <w:lang w:eastAsia="zh-CN"/>
        </w:rPr>
        <w:t>运用降准降息</w:t>
      </w:r>
      <w:proofErr w:type="gramEnd"/>
      <w:r>
        <w:rPr>
          <w:lang w:eastAsia="zh-CN"/>
        </w:rPr>
        <w:t>等工具保持流动性充裕，金融法草案明确央行可采取逆周期跨周期调节，显示政策将持续宽松支持经济。财政政策方面，中央财政安排</w:t>
      </w:r>
      <w:r>
        <w:rPr>
          <w:lang w:eastAsia="zh-CN"/>
        </w:rPr>
        <w:t>1000</w:t>
      </w:r>
      <w:r>
        <w:rPr>
          <w:lang w:eastAsia="zh-CN"/>
        </w:rPr>
        <w:t>亿元支持财政金融协同促内需，全国政协建议实施更加积极的财政政策优化投资布局，科学技术支出增长</w:t>
      </w:r>
      <w:r>
        <w:rPr>
          <w:lang w:eastAsia="zh-CN"/>
        </w:rPr>
        <w:t>7.1%</w:t>
      </w:r>
      <w:r>
        <w:rPr>
          <w:lang w:eastAsia="zh-CN"/>
        </w:rPr>
        <w:t>，预示财</w:t>
      </w:r>
      <w:r>
        <w:rPr>
          <w:lang w:eastAsia="zh-CN"/>
        </w:rPr>
        <w:t>政刺激力度增强以扩大内需。产业政策方面，全链条推动集成电路、工业母机等重点领域核心技术攻关，新能源汽车</w:t>
      </w:r>
      <w:r>
        <w:rPr>
          <w:lang w:eastAsia="zh-CN"/>
        </w:rPr>
        <w:t>4</w:t>
      </w:r>
      <w:r>
        <w:rPr>
          <w:lang w:eastAsia="zh-CN"/>
        </w:rPr>
        <w:t>月产销量同比分别增长</w:t>
      </w:r>
      <w:r>
        <w:rPr>
          <w:lang w:eastAsia="zh-CN"/>
        </w:rPr>
        <w:t>5.5%</w:t>
      </w:r>
      <w:r>
        <w:rPr>
          <w:lang w:eastAsia="zh-CN"/>
        </w:rPr>
        <w:t>和</w:t>
      </w:r>
      <w:r>
        <w:rPr>
          <w:lang w:eastAsia="zh-CN"/>
        </w:rPr>
        <w:t>9.7%</w:t>
      </w:r>
      <w:r>
        <w:rPr>
          <w:lang w:eastAsia="zh-CN"/>
        </w:rPr>
        <w:t>，中国汽车工业协会称销量占比超</w:t>
      </w:r>
      <w:r>
        <w:rPr>
          <w:lang w:eastAsia="zh-CN"/>
        </w:rPr>
        <w:t>53%</w:t>
      </w:r>
      <w:r>
        <w:rPr>
          <w:lang w:eastAsia="zh-CN"/>
        </w:rPr>
        <w:t>，显示新兴产业加速发展。整体来看，短期经济稳中向好，中长期政策协同将驱动创新产业持续增长。</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pPr>
              <w:rPr>
                <w:lang w:eastAsia="zh-CN"/>
              </w:rPr>
            </w:pPr>
            <w:r>
              <w:rPr>
                <w:rFonts w:ascii="楷体" w:eastAsia="楷体" w:hAnsi="楷体"/>
                <w:lang w:eastAsia="zh-CN"/>
              </w:rPr>
              <w:t>创业板</w:t>
            </w:r>
            <w:r>
              <w:rPr>
                <w:rFonts w:ascii="楷体" w:eastAsia="楷体" w:hAnsi="楷体"/>
                <w:lang w:eastAsia="zh-CN"/>
              </w:rPr>
              <w:t>50ETF</w:t>
            </w:r>
            <w:r>
              <w:rPr>
                <w:rFonts w:ascii="楷体" w:eastAsia="楷体" w:hAnsi="楷体"/>
                <w:lang w:eastAsia="zh-CN"/>
              </w:rPr>
              <w:t>华安</w:t>
            </w:r>
            <w:r>
              <w:rPr>
                <w:rFonts w:ascii="楷体" w:eastAsia="楷体" w:hAnsi="楷体"/>
                <w:lang w:eastAsia="zh-CN"/>
              </w:rPr>
              <w:t>(159949.SZ)</w:t>
            </w:r>
          </w:p>
        </w:tc>
        <w:tc>
          <w:tcPr>
            <w:tcW w:w="4323" w:type="dxa"/>
          </w:tcPr>
          <w:p w:rsidR="000A353C" w:rsidRDefault="00C45820">
            <w:r>
              <w:rPr>
                <w:rFonts w:ascii="楷体" w:eastAsia="楷体" w:hAnsi="楷体"/>
              </w:rPr>
              <w:t>上证</w:t>
            </w:r>
            <w:r>
              <w:rPr>
                <w:rFonts w:ascii="楷体" w:eastAsia="楷体" w:hAnsi="楷体"/>
              </w:rPr>
              <w:t>180ETF</w:t>
            </w:r>
            <w:r>
              <w:rPr>
                <w:rFonts w:ascii="楷体" w:eastAsia="楷体" w:hAnsi="楷体"/>
              </w:rPr>
              <w:t>华安</w:t>
            </w:r>
            <w:r>
              <w:rPr>
                <w:rFonts w:ascii="楷体" w:eastAsia="楷体" w:hAnsi="楷体"/>
              </w:rPr>
              <w:t>(510180.SH)</w:t>
            </w:r>
          </w:p>
        </w:tc>
      </w:tr>
      <w:tr w:rsidR="000A353C">
        <w:trPr>
          <w:jc w:val="center"/>
        </w:trPr>
        <w:tc>
          <w:tcPr>
            <w:tcW w:w="4323" w:type="dxa"/>
          </w:tcPr>
          <w:p w:rsidR="000A353C" w:rsidRDefault="00C45820">
            <w:r>
              <w:rPr>
                <w:rFonts w:ascii="楷体" w:eastAsia="楷体" w:hAnsi="楷体"/>
              </w:rPr>
              <w:t>科创</w:t>
            </w:r>
            <w:r>
              <w:rPr>
                <w:rFonts w:ascii="楷体" w:eastAsia="楷体" w:hAnsi="楷体"/>
              </w:rPr>
              <w:t>50ETF</w:t>
            </w:r>
            <w:r>
              <w:rPr>
                <w:rFonts w:ascii="楷体" w:eastAsia="楷体" w:hAnsi="楷体"/>
              </w:rPr>
              <w:t>华安</w:t>
            </w:r>
            <w:r>
              <w:rPr>
                <w:rFonts w:ascii="楷体" w:eastAsia="楷体" w:hAnsi="楷体"/>
              </w:rPr>
              <w:t>(588280.SH)</w:t>
            </w:r>
          </w:p>
        </w:tc>
        <w:tc>
          <w:tcPr>
            <w:tcW w:w="4323" w:type="dxa"/>
          </w:tcPr>
          <w:p w:rsidR="000A353C" w:rsidRDefault="00C45820">
            <w:r>
              <w:rPr>
                <w:rFonts w:ascii="楷体" w:eastAsia="楷体" w:hAnsi="楷体"/>
              </w:rPr>
              <w:t>上证</w:t>
            </w:r>
            <w:r>
              <w:rPr>
                <w:rFonts w:ascii="楷体" w:eastAsia="楷体" w:hAnsi="楷体"/>
              </w:rPr>
              <w:t>50ETF</w:t>
            </w:r>
            <w:r>
              <w:rPr>
                <w:rFonts w:ascii="楷体" w:eastAsia="楷体" w:hAnsi="楷体"/>
              </w:rPr>
              <w:t>华安</w:t>
            </w:r>
            <w:r>
              <w:rPr>
                <w:rFonts w:ascii="楷体" w:eastAsia="楷体" w:hAnsi="楷体"/>
              </w:rPr>
              <w:t>(510190.SH)</w:t>
            </w:r>
          </w:p>
        </w:tc>
      </w:tr>
      <w:tr w:rsidR="000A353C">
        <w:trPr>
          <w:jc w:val="center"/>
        </w:trPr>
        <w:tc>
          <w:tcPr>
            <w:tcW w:w="4323" w:type="dxa"/>
          </w:tcPr>
          <w:p w:rsidR="000A353C" w:rsidRDefault="00C45820">
            <w:r>
              <w:rPr>
                <w:rFonts w:ascii="楷体" w:eastAsia="楷体" w:hAnsi="楷体"/>
              </w:rPr>
              <w:t>沪深</w:t>
            </w:r>
            <w:r>
              <w:rPr>
                <w:rFonts w:ascii="楷体" w:eastAsia="楷体" w:hAnsi="楷体"/>
              </w:rPr>
              <w:t>300ETF</w:t>
            </w:r>
            <w:r>
              <w:rPr>
                <w:rFonts w:ascii="楷体" w:eastAsia="楷体" w:hAnsi="楷体"/>
              </w:rPr>
              <w:t>华安</w:t>
            </w:r>
            <w:r>
              <w:rPr>
                <w:rFonts w:ascii="楷体" w:eastAsia="楷体" w:hAnsi="楷体"/>
              </w:rPr>
              <w:t>(515390.SH)</w:t>
            </w:r>
          </w:p>
        </w:tc>
        <w:tc>
          <w:tcPr>
            <w:tcW w:w="4323" w:type="dxa"/>
          </w:tcPr>
          <w:p w:rsidR="000A353C" w:rsidRDefault="00C45820">
            <w:r>
              <w:rPr>
                <w:rFonts w:ascii="楷体" w:eastAsia="楷体" w:hAnsi="楷体"/>
              </w:rPr>
              <w:t>A500ETF</w:t>
            </w:r>
            <w:r>
              <w:rPr>
                <w:rFonts w:ascii="楷体" w:eastAsia="楷体" w:hAnsi="楷体"/>
              </w:rPr>
              <w:t>华安</w:t>
            </w:r>
            <w:r>
              <w:rPr>
                <w:rFonts w:ascii="楷体" w:eastAsia="楷体" w:hAnsi="楷体"/>
              </w:rPr>
              <w:t>(159359.SZ)</w:t>
            </w:r>
          </w:p>
        </w:tc>
      </w:tr>
    </w:tbl>
    <w:p w:rsidR="000A353C" w:rsidRDefault="00C45820">
      <w:r>
        <w:br w:type="page"/>
      </w:r>
    </w:p>
    <w:p w:rsidR="000A353C" w:rsidRDefault="00C45820">
      <w:pPr>
        <w:pStyle w:val="Head"/>
      </w:pPr>
      <w:r>
        <w:lastRenderedPageBreak/>
        <w:t xml:space="preserve">■ </w:t>
      </w:r>
      <w:r>
        <w:t>行业点评</w:t>
      </w:r>
    </w:p>
    <w:p w:rsidR="000A353C" w:rsidRDefault="00C45820">
      <w:pPr>
        <w:pStyle w:val="Sub"/>
      </w:pPr>
      <w:r>
        <w:t xml:space="preserve">※※ </w:t>
      </w:r>
      <w:r>
        <w:t>人工智能</w:t>
      </w:r>
    </w:p>
    <w:p w:rsidR="000A353C" w:rsidRDefault="00C45820">
      <w:pPr>
        <w:pStyle w:val="Para"/>
        <w:rPr>
          <w:lang w:eastAsia="zh-CN"/>
        </w:rPr>
      </w:pPr>
      <w:r>
        <w:rPr>
          <w:lang w:eastAsia="zh-CN"/>
        </w:rPr>
        <w:t>人工智能行业近期热点集中</w:t>
      </w:r>
      <w:proofErr w:type="gramStart"/>
      <w:r>
        <w:rPr>
          <w:lang w:eastAsia="zh-CN"/>
        </w:rPr>
        <w:t>在算力投资</w:t>
      </w:r>
      <w:proofErr w:type="gramEnd"/>
      <w:r>
        <w:rPr>
          <w:lang w:eastAsia="zh-CN"/>
        </w:rPr>
        <w:t>与商业化落地。全球</w:t>
      </w:r>
      <w:r>
        <w:rPr>
          <w:lang w:eastAsia="zh-CN"/>
        </w:rPr>
        <w:t>AI</w:t>
      </w:r>
      <w:r>
        <w:rPr>
          <w:lang w:eastAsia="zh-CN"/>
        </w:rPr>
        <w:t>领域融资活跃，</w:t>
      </w:r>
      <w:proofErr w:type="gramStart"/>
      <w:r>
        <w:rPr>
          <w:lang w:eastAsia="zh-CN"/>
        </w:rPr>
        <w:t>某非上市</w:t>
      </w:r>
      <w:proofErr w:type="gramEnd"/>
      <w:r>
        <w:rPr>
          <w:lang w:eastAsia="zh-CN"/>
        </w:rPr>
        <w:t>企业榜单显示头部企业累计融资</w:t>
      </w:r>
      <w:r>
        <w:rPr>
          <w:lang w:eastAsia="zh-CN"/>
        </w:rPr>
        <w:t>3056</w:t>
      </w:r>
      <w:r>
        <w:rPr>
          <w:lang w:eastAsia="zh-CN"/>
        </w:rPr>
        <w:t>亿美元，其中两家巨头占比</w:t>
      </w:r>
      <w:r>
        <w:rPr>
          <w:lang w:eastAsia="zh-CN"/>
        </w:rPr>
        <w:t>80%</w:t>
      </w:r>
      <w:r>
        <w:rPr>
          <w:lang w:eastAsia="zh-CN"/>
        </w:rPr>
        <w:t>；某芯片巨头向两家光学技术企业各投资</w:t>
      </w:r>
      <w:r>
        <w:rPr>
          <w:lang w:eastAsia="zh-CN"/>
        </w:rPr>
        <w:t>20</w:t>
      </w:r>
      <w:r>
        <w:rPr>
          <w:lang w:eastAsia="zh-CN"/>
        </w:rPr>
        <w:t>亿美元强化数据中心能力；某</w:t>
      </w:r>
      <w:r>
        <w:rPr>
          <w:lang w:eastAsia="zh-CN"/>
        </w:rPr>
        <w:t>AI</w:t>
      </w:r>
      <w:r>
        <w:rPr>
          <w:lang w:eastAsia="zh-CN"/>
        </w:rPr>
        <w:t>领军企业完成</w:t>
      </w:r>
      <w:r>
        <w:rPr>
          <w:lang w:eastAsia="zh-CN"/>
        </w:rPr>
        <w:t>1220</w:t>
      </w:r>
      <w:r>
        <w:rPr>
          <w:lang w:eastAsia="zh-CN"/>
        </w:rPr>
        <w:t>亿美元融资用于芯片及数据中心建设。产业层面，模型应用</w:t>
      </w:r>
      <w:proofErr w:type="gramStart"/>
      <w:r>
        <w:rPr>
          <w:lang w:eastAsia="zh-CN"/>
        </w:rPr>
        <w:t>与算力</w:t>
      </w:r>
      <w:proofErr w:type="gramEnd"/>
      <w:r>
        <w:rPr>
          <w:lang w:eastAsia="zh-CN"/>
        </w:rPr>
        <w:t>投资形成正向循环，光学组件采购加速，某企业</w:t>
      </w:r>
      <w:proofErr w:type="gramStart"/>
      <w:r>
        <w:rPr>
          <w:lang w:eastAsia="zh-CN"/>
        </w:rPr>
        <w:t>年化收</w:t>
      </w:r>
      <w:proofErr w:type="gramEnd"/>
      <w:r>
        <w:rPr>
          <w:lang w:eastAsia="zh-CN"/>
        </w:rPr>
        <w:t>入超</w:t>
      </w:r>
      <w:r>
        <w:rPr>
          <w:lang w:eastAsia="zh-CN"/>
        </w:rPr>
        <w:t>300</w:t>
      </w:r>
      <w:r>
        <w:rPr>
          <w:lang w:eastAsia="zh-CN"/>
        </w:rPr>
        <w:t>亿美元印证商业化提速，技术密集迭代带动消费级及服务器级</w:t>
      </w:r>
      <w:r>
        <w:rPr>
          <w:lang w:eastAsia="zh-CN"/>
        </w:rPr>
        <w:t>CPU</w:t>
      </w:r>
      <w:r>
        <w:rPr>
          <w:lang w:eastAsia="zh-CN"/>
        </w:rPr>
        <w:t>价格环比上涨</w:t>
      </w:r>
      <w:r>
        <w:rPr>
          <w:lang w:eastAsia="zh-CN"/>
        </w:rPr>
        <w:t>5%-20%</w:t>
      </w:r>
      <w:r>
        <w:rPr>
          <w:lang w:eastAsia="zh-CN"/>
        </w:rPr>
        <w:t>。技术层面，图像生成模型性能突破，</w:t>
      </w:r>
      <w:proofErr w:type="gramStart"/>
      <w:r>
        <w:rPr>
          <w:lang w:eastAsia="zh-CN"/>
        </w:rPr>
        <w:t>某最新</w:t>
      </w:r>
      <w:proofErr w:type="gramEnd"/>
      <w:r>
        <w:rPr>
          <w:lang w:eastAsia="zh-CN"/>
        </w:rPr>
        <w:t>模型在评测中以</w:t>
      </w:r>
      <w:r>
        <w:rPr>
          <w:lang w:eastAsia="zh-CN"/>
        </w:rPr>
        <w:t>242</w:t>
      </w:r>
      <w:r>
        <w:rPr>
          <w:lang w:eastAsia="zh-CN"/>
        </w:rPr>
        <w:t>分优势领先竞品；大</w:t>
      </w:r>
      <w:r>
        <w:rPr>
          <w:lang w:eastAsia="zh-CN"/>
        </w:rPr>
        <w:t>模型持续升级推动智能</w:t>
      </w:r>
      <w:proofErr w:type="gramStart"/>
      <w:r>
        <w:rPr>
          <w:lang w:eastAsia="zh-CN"/>
        </w:rPr>
        <w:t>体技术</w:t>
      </w:r>
      <w:proofErr w:type="gramEnd"/>
      <w:r>
        <w:rPr>
          <w:lang w:eastAsia="zh-CN"/>
        </w:rPr>
        <w:t>发展，摩根士丹利预测</w:t>
      </w:r>
      <w:r>
        <w:rPr>
          <w:lang w:eastAsia="zh-CN"/>
        </w:rPr>
        <w:t>AI</w:t>
      </w:r>
      <w:r>
        <w:rPr>
          <w:lang w:eastAsia="zh-CN"/>
        </w:rPr>
        <w:t>智能体或使数据中心</w:t>
      </w:r>
      <w:r>
        <w:rPr>
          <w:lang w:eastAsia="zh-CN"/>
        </w:rPr>
        <w:t>CPU</w:t>
      </w:r>
      <w:r>
        <w:rPr>
          <w:lang w:eastAsia="zh-CN"/>
        </w:rPr>
        <w:t>市场规模在</w:t>
      </w:r>
      <w:r>
        <w:rPr>
          <w:lang w:eastAsia="zh-CN"/>
        </w:rPr>
        <w:t>2030</w:t>
      </w:r>
      <w:r>
        <w:rPr>
          <w:lang w:eastAsia="zh-CN"/>
        </w:rPr>
        <w:t>年新增</w:t>
      </w:r>
      <w:r>
        <w:rPr>
          <w:lang w:eastAsia="zh-CN"/>
        </w:rPr>
        <w:t>325-600</w:t>
      </w:r>
      <w:r>
        <w:rPr>
          <w:lang w:eastAsia="zh-CN"/>
        </w:rPr>
        <w:t>亿美元。政策层面，广州提出重点支持人工智能在智能无人系统、</w:t>
      </w:r>
      <w:proofErr w:type="gramStart"/>
      <w:r>
        <w:rPr>
          <w:lang w:eastAsia="zh-CN"/>
        </w:rPr>
        <w:t>具身智能</w:t>
      </w:r>
      <w:proofErr w:type="gramEnd"/>
      <w:r>
        <w:rPr>
          <w:lang w:eastAsia="zh-CN"/>
        </w:rPr>
        <w:t>等未来产业的应用融合，计划发布不少于</w:t>
      </w:r>
      <w:r>
        <w:rPr>
          <w:lang w:eastAsia="zh-CN"/>
        </w:rPr>
        <w:t>20</w:t>
      </w:r>
      <w:r>
        <w:rPr>
          <w:lang w:eastAsia="zh-CN"/>
        </w:rPr>
        <w:t>个应用场景。</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pPr>
              <w:rPr>
                <w:lang w:eastAsia="zh-CN"/>
              </w:rPr>
            </w:pPr>
            <w:r>
              <w:rPr>
                <w:rFonts w:ascii="楷体" w:eastAsia="楷体" w:hAnsi="楷体"/>
                <w:lang w:eastAsia="zh-CN"/>
              </w:rPr>
              <w:t>创业板人工智能</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(159279.SZ)</w:t>
            </w:r>
          </w:p>
        </w:tc>
        <w:tc>
          <w:tcPr>
            <w:tcW w:w="4323" w:type="dxa"/>
          </w:tcPr>
          <w:p w:rsidR="000A353C" w:rsidRDefault="00C45820">
            <w:pPr>
              <w:rPr>
                <w:lang w:eastAsia="zh-CN"/>
              </w:rPr>
            </w:pPr>
            <w:r>
              <w:rPr>
                <w:rFonts w:ascii="楷体" w:eastAsia="楷体" w:hAnsi="楷体"/>
                <w:lang w:eastAsia="zh-CN"/>
              </w:rPr>
              <w:t>创业板</w:t>
            </w:r>
            <w:r>
              <w:rPr>
                <w:rFonts w:ascii="楷体" w:eastAsia="楷体" w:hAnsi="楷体"/>
                <w:lang w:eastAsia="zh-CN"/>
              </w:rPr>
              <w:t>50ETF</w:t>
            </w:r>
            <w:r>
              <w:rPr>
                <w:rFonts w:ascii="楷体" w:eastAsia="楷体" w:hAnsi="楷体"/>
                <w:lang w:eastAsia="zh-CN"/>
              </w:rPr>
              <w:t>华安</w:t>
            </w:r>
            <w:r>
              <w:rPr>
                <w:rFonts w:ascii="楷体" w:eastAsia="楷体" w:hAnsi="楷体"/>
                <w:lang w:eastAsia="zh-CN"/>
              </w:rPr>
              <w:t>(159949.SZ)</w:t>
            </w:r>
          </w:p>
        </w:tc>
      </w:tr>
      <w:tr w:rsidR="000A353C">
        <w:trPr>
          <w:jc w:val="center"/>
        </w:trPr>
        <w:tc>
          <w:tcPr>
            <w:tcW w:w="4323" w:type="dxa"/>
          </w:tcPr>
          <w:p w:rsidR="000A353C" w:rsidRDefault="00C45820">
            <w:proofErr w:type="spellStart"/>
            <w:r>
              <w:rPr>
                <w:rFonts w:ascii="楷体" w:eastAsia="楷体" w:hAnsi="楷体"/>
              </w:rPr>
              <w:t>软件</w:t>
            </w:r>
            <w:r>
              <w:rPr>
                <w:rFonts w:ascii="楷体" w:eastAsia="楷体" w:hAnsi="楷体"/>
              </w:rPr>
              <w:t>ETF</w:t>
            </w:r>
            <w:r>
              <w:rPr>
                <w:rFonts w:ascii="楷体" w:eastAsia="楷体" w:hAnsi="楷体"/>
              </w:rPr>
              <w:t>华安</w:t>
            </w:r>
            <w:proofErr w:type="spellEnd"/>
            <w:r>
              <w:rPr>
                <w:rFonts w:ascii="楷体" w:eastAsia="楷体" w:hAnsi="楷体"/>
              </w:rPr>
              <w:t>(561010.SH)</w:t>
            </w:r>
          </w:p>
        </w:tc>
        <w:tc>
          <w:tcPr>
            <w:tcW w:w="4323" w:type="dxa"/>
          </w:tcPr>
          <w:p w:rsidR="000A353C" w:rsidRDefault="00C45820">
            <w:pPr>
              <w:rPr>
                <w:lang w:eastAsia="zh-CN"/>
              </w:rPr>
            </w:pPr>
            <w:r>
              <w:rPr>
                <w:rFonts w:ascii="楷体" w:eastAsia="楷体" w:hAnsi="楷体"/>
                <w:lang w:eastAsia="zh-CN"/>
              </w:rPr>
              <w:t>数字经济</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(159658.SZ)</w:t>
            </w:r>
          </w:p>
        </w:tc>
      </w:tr>
      <w:tr w:rsidR="000A353C">
        <w:trPr>
          <w:jc w:val="center"/>
        </w:trPr>
        <w:tc>
          <w:tcPr>
            <w:tcW w:w="4323" w:type="dxa"/>
          </w:tcPr>
          <w:p w:rsidR="000A353C" w:rsidRDefault="00C45820">
            <w:proofErr w:type="spellStart"/>
            <w:r>
              <w:rPr>
                <w:rFonts w:ascii="楷体" w:eastAsia="楷体" w:hAnsi="楷体"/>
              </w:rPr>
              <w:t>港股通恒生科技</w:t>
            </w:r>
            <w:r>
              <w:rPr>
                <w:rFonts w:ascii="楷体" w:eastAsia="楷体" w:hAnsi="楷体"/>
              </w:rPr>
              <w:t>ETF</w:t>
            </w:r>
            <w:r>
              <w:rPr>
                <w:rFonts w:ascii="楷体" w:eastAsia="楷体" w:hAnsi="楷体"/>
              </w:rPr>
              <w:t>华安</w:t>
            </w:r>
            <w:proofErr w:type="spellEnd"/>
            <w:r>
              <w:rPr>
                <w:rFonts w:ascii="楷体" w:eastAsia="楷体" w:hAnsi="楷体"/>
              </w:rPr>
              <w:t>(520840.SH)</w:t>
            </w:r>
          </w:p>
        </w:tc>
        <w:tc>
          <w:tcPr>
            <w:tcW w:w="4323" w:type="dxa"/>
          </w:tcPr>
          <w:p w:rsidR="000A353C" w:rsidRDefault="00C45820">
            <w:r>
              <w:rPr>
                <w:rFonts w:ascii="楷体" w:eastAsia="楷体" w:hAnsi="楷体"/>
              </w:rPr>
              <w:t>恒生科技</w:t>
            </w:r>
            <w:r>
              <w:rPr>
                <w:rFonts w:ascii="楷体" w:eastAsia="楷体" w:hAnsi="楷体"/>
              </w:rPr>
              <w:t>ETF</w:t>
            </w:r>
            <w:r>
              <w:rPr>
                <w:rFonts w:ascii="楷体" w:eastAsia="楷体" w:hAnsi="楷体"/>
              </w:rPr>
              <w:t>华安</w:t>
            </w:r>
            <w:r>
              <w:rPr>
                <w:rFonts w:ascii="楷体" w:eastAsia="楷体" w:hAnsi="楷体"/>
              </w:rPr>
              <w:t>(513580</w:t>
            </w:r>
            <w:r>
              <w:rPr>
                <w:rFonts w:ascii="楷体" w:eastAsia="楷体" w:hAnsi="楷体"/>
              </w:rPr>
              <w:t>.SH)</w:t>
            </w:r>
          </w:p>
        </w:tc>
      </w:tr>
    </w:tbl>
    <w:p w:rsidR="000A353C" w:rsidRDefault="000A353C">
      <w:pPr>
        <w:spacing w:after="0" w:line="240" w:lineRule="auto"/>
      </w:pPr>
    </w:p>
    <w:p w:rsidR="000A353C" w:rsidRDefault="00C45820">
      <w:pPr>
        <w:pStyle w:val="Sub"/>
      </w:pPr>
      <w:r>
        <w:t xml:space="preserve">※※ </w:t>
      </w:r>
      <w:r>
        <w:t>电子</w:t>
      </w:r>
    </w:p>
    <w:p w:rsidR="000A353C" w:rsidRDefault="00C45820">
      <w:pPr>
        <w:pStyle w:val="Para"/>
        <w:rPr>
          <w:lang w:eastAsia="zh-CN"/>
        </w:rPr>
      </w:pPr>
      <w:r>
        <w:rPr>
          <w:lang w:eastAsia="zh-CN"/>
        </w:rPr>
        <w:t>电子行业近期热点集中在存储芯片、</w:t>
      </w:r>
      <w:r>
        <w:rPr>
          <w:lang w:eastAsia="zh-CN"/>
        </w:rPr>
        <w:t>AI</w:t>
      </w:r>
      <w:r>
        <w:rPr>
          <w:lang w:eastAsia="zh-CN"/>
        </w:rPr>
        <w:t>驱动需求及涨价潮方向。全球电子相关新闻包括台积</w:t>
      </w:r>
      <w:proofErr w:type="gramStart"/>
      <w:r>
        <w:rPr>
          <w:lang w:eastAsia="zh-CN"/>
        </w:rPr>
        <w:t>电预测</w:t>
      </w:r>
      <w:proofErr w:type="gramEnd"/>
      <w:r>
        <w:rPr>
          <w:lang w:eastAsia="zh-CN"/>
        </w:rPr>
        <w:t>2030</w:t>
      </w:r>
      <w:r>
        <w:rPr>
          <w:lang w:eastAsia="zh-CN"/>
        </w:rPr>
        <w:t>年全球芯片市场规模将达</w:t>
      </w:r>
      <w:r>
        <w:rPr>
          <w:lang w:eastAsia="zh-CN"/>
        </w:rPr>
        <w:t>1.5</w:t>
      </w:r>
      <w:proofErr w:type="gramStart"/>
      <w:r>
        <w:rPr>
          <w:lang w:eastAsia="zh-CN"/>
        </w:rPr>
        <w:t>万亿</w:t>
      </w:r>
      <w:proofErr w:type="gramEnd"/>
      <w:r>
        <w:rPr>
          <w:lang w:eastAsia="zh-CN"/>
        </w:rPr>
        <w:t>美元，其中</w:t>
      </w:r>
      <w:r>
        <w:rPr>
          <w:lang w:eastAsia="zh-CN"/>
        </w:rPr>
        <w:t>AI</w:t>
      </w:r>
      <w:r>
        <w:rPr>
          <w:lang w:eastAsia="zh-CN"/>
        </w:rPr>
        <w:t>和高性能计算领域占</w:t>
      </w:r>
      <w:r>
        <w:rPr>
          <w:lang w:eastAsia="zh-CN"/>
        </w:rPr>
        <w:t>55%</w:t>
      </w:r>
      <w:r>
        <w:rPr>
          <w:lang w:eastAsia="zh-CN"/>
        </w:rPr>
        <w:t>；</w:t>
      </w:r>
      <w:r>
        <w:rPr>
          <w:lang w:eastAsia="zh-CN"/>
        </w:rPr>
        <w:t>2025</w:t>
      </w:r>
      <w:r>
        <w:rPr>
          <w:lang w:eastAsia="zh-CN"/>
        </w:rPr>
        <w:t>年全球半导体设备商</w:t>
      </w:r>
      <w:r>
        <w:rPr>
          <w:lang w:eastAsia="zh-CN"/>
        </w:rPr>
        <w:t>Top10</w:t>
      </w:r>
      <w:r>
        <w:rPr>
          <w:lang w:eastAsia="zh-CN"/>
        </w:rPr>
        <w:t>营收合计超</w:t>
      </w:r>
      <w:r>
        <w:rPr>
          <w:lang w:eastAsia="zh-CN"/>
        </w:rPr>
        <w:t>1300</w:t>
      </w:r>
      <w:r>
        <w:rPr>
          <w:lang w:eastAsia="zh-CN"/>
        </w:rPr>
        <w:t>亿美元，同比增长</w:t>
      </w:r>
      <w:r>
        <w:rPr>
          <w:lang w:eastAsia="zh-CN"/>
        </w:rPr>
        <w:t>16%</w:t>
      </w:r>
      <w:r>
        <w:rPr>
          <w:lang w:eastAsia="zh-CN"/>
        </w:rPr>
        <w:t>，</w:t>
      </w:r>
      <w:r>
        <w:rPr>
          <w:lang w:eastAsia="zh-CN"/>
        </w:rPr>
        <w:t>CINNO • IC Research</w:t>
      </w:r>
      <w:r>
        <w:rPr>
          <w:lang w:eastAsia="zh-CN"/>
        </w:rPr>
        <w:t>统计显示前五大设备商占比</w:t>
      </w:r>
      <w:r>
        <w:rPr>
          <w:lang w:eastAsia="zh-CN"/>
        </w:rPr>
        <w:t>85%</w:t>
      </w:r>
      <w:r>
        <w:rPr>
          <w:lang w:eastAsia="zh-CN"/>
        </w:rPr>
        <w:t>；存储芯片库存仅剩约</w:t>
      </w:r>
      <w:r>
        <w:rPr>
          <w:lang w:eastAsia="zh-CN"/>
        </w:rPr>
        <w:t>4</w:t>
      </w:r>
      <w:r>
        <w:rPr>
          <w:lang w:eastAsia="zh-CN"/>
        </w:rPr>
        <w:t>周，推动手机厂商调价，表明供需失衡加剧。产业层面，存储芯片进入上行周期，功率半导体涨幅达</w:t>
      </w:r>
      <w:r>
        <w:rPr>
          <w:lang w:eastAsia="zh-CN"/>
        </w:rPr>
        <w:t>10%-20%</w:t>
      </w:r>
      <w:r>
        <w:rPr>
          <w:lang w:eastAsia="zh-CN"/>
        </w:rPr>
        <w:t>，中原证券指出</w:t>
      </w:r>
      <w:r>
        <w:rPr>
          <w:lang w:eastAsia="zh-CN"/>
        </w:rPr>
        <w:t>AI</w:t>
      </w:r>
      <w:r>
        <w:rPr>
          <w:lang w:eastAsia="zh-CN"/>
        </w:rPr>
        <w:t>应用发展超预期带动全产业链涨价</w:t>
      </w:r>
      <w:r>
        <w:rPr>
          <w:lang w:eastAsia="zh-CN"/>
        </w:rPr>
        <w:t>；电子气体景气加速，华泰证券预计</w:t>
      </w:r>
      <w:r>
        <w:rPr>
          <w:lang w:eastAsia="zh-CN"/>
        </w:rPr>
        <w:t>2026</w:t>
      </w:r>
      <w:r>
        <w:rPr>
          <w:lang w:eastAsia="zh-CN"/>
        </w:rPr>
        <w:t>年全球市场规模增至</w:t>
      </w:r>
      <w:r>
        <w:rPr>
          <w:lang w:eastAsia="zh-CN"/>
        </w:rPr>
        <w:t>68</w:t>
      </w:r>
      <w:r>
        <w:rPr>
          <w:lang w:eastAsia="zh-CN"/>
        </w:rPr>
        <w:t>亿美元，显示上游材料压力与需求旺盛。技术层面，柔性压电能量收集器测试方法等国家标准征求意见推进标准化进程；</w:t>
      </w:r>
      <w:r>
        <w:rPr>
          <w:lang w:eastAsia="zh-CN"/>
        </w:rPr>
        <w:t>AI</w:t>
      </w:r>
      <w:proofErr w:type="gramStart"/>
      <w:r>
        <w:rPr>
          <w:lang w:eastAsia="zh-CN"/>
        </w:rPr>
        <w:t>算力需求</w:t>
      </w:r>
      <w:proofErr w:type="gramEnd"/>
      <w:r>
        <w:rPr>
          <w:lang w:eastAsia="zh-CN"/>
        </w:rPr>
        <w:t>爆发推动技术迭代，如先进封装和存储技术发展。政策层面，工信部就半导体器件国家标准公开征求报批意见；广东省委会议计划加大对集成电路、</w:t>
      </w:r>
      <w:proofErr w:type="gramStart"/>
      <w:r>
        <w:rPr>
          <w:lang w:eastAsia="zh-CN"/>
        </w:rPr>
        <w:t>具身智能</w:t>
      </w:r>
      <w:proofErr w:type="gramEnd"/>
      <w:r>
        <w:rPr>
          <w:lang w:eastAsia="zh-CN"/>
        </w:rPr>
        <w:t>等领域的投资，强化资源保障。</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pPr>
              <w:rPr>
                <w:lang w:eastAsia="zh-CN"/>
              </w:rPr>
            </w:pPr>
            <w:proofErr w:type="gramStart"/>
            <w:r>
              <w:rPr>
                <w:rFonts w:ascii="楷体" w:eastAsia="楷体" w:hAnsi="楷体"/>
                <w:lang w:eastAsia="zh-CN"/>
              </w:rPr>
              <w:t>科创芯片</w:t>
            </w:r>
            <w:proofErr w:type="gramEnd"/>
            <w:r>
              <w:rPr>
                <w:rFonts w:ascii="楷体" w:eastAsia="楷体" w:hAnsi="楷体"/>
                <w:lang w:eastAsia="zh-CN"/>
              </w:rPr>
              <w:t>ETF</w:t>
            </w:r>
            <w:r>
              <w:rPr>
                <w:rFonts w:ascii="楷体" w:eastAsia="楷体" w:hAnsi="楷体"/>
                <w:lang w:eastAsia="zh-CN"/>
              </w:rPr>
              <w:t>华安</w:t>
            </w:r>
            <w:r>
              <w:rPr>
                <w:rFonts w:ascii="楷体" w:eastAsia="楷体" w:hAnsi="楷体"/>
                <w:lang w:eastAsia="zh-CN"/>
              </w:rPr>
              <w:t>(588290.SH)</w:t>
            </w:r>
          </w:p>
        </w:tc>
        <w:tc>
          <w:tcPr>
            <w:tcW w:w="4323" w:type="dxa"/>
          </w:tcPr>
          <w:p w:rsidR="000A353C" w:rsidRDefault="00C45820">
            <w:r>
              <w:rPr>
                <w:rFonts w:ascii="楷体" w:eastAsia="楷体" w:hAnsi="楷体"/>
              </w:rPr>
              <w:t>电子</w:t>
            </w:r>
            <w:r>
              <w:rPr>
                <w:rFonts w:ascii="楷体" w:eastAsia="楷体" w:hAnsi="楷体"/>
              </w:rPr>
              <w:t>50ETF</w:t>
            </w:r>
            <w:r>
              <w:rPr>
                <w:rFonts w:ascii="楷体" w:eastAsia="楷体" w:hAnsi="楷体"/>
              </w:rPr>
              <w:t>华安</w:t>
            </w:r>
            <w:r>
              <w:rPr>
                <w:rFonts w:ascii="楷体" w:eastAsia="楷体" w:hAnsi="楷体"/>
              </w:rPr>
              <w:t>(515320.SH)</w:t>
            </w:r>
          </w:p>
        </w:tc>
      </w:tr>
      <w:tr w:rsidR="000A353C">
        <w:trPr>
          <w:jc w:val="center"/>
        </w:trPr>
        <w:tc>
          <w:tcPr>
            <w:tcW w:w="4323" w:type="dxa"/>
          </w:tcPr>
          <w:p w:rsidR="000A353C" w:rsidRDefault="00C45820">
            <w:r>
              <w:rPr>
                <w:rFonts w:ascii="楷体" w:eastAsia="楷体" w:hAnsi="楷体"/>
              </w:rPr>
              <w:t>科创</w:t>
            </w:r>
            <w:r>
              <w:rPr>
                <w:rFonts w:ascii="楷体" w:eastAsia="楷体" w:hAnsi="楷体"/>
              </w:rPr>
              <w:t>50ETF</w:t>
            </w:r>
            <w:r>
              <w:rPr>
                <w:rFonts w:ascii="楷体" w:eastAsia="楷体" w:hAnsi="楷体"/>
              </w:rPr>
              <w:t>华安</w:t>
            </w:r>
            <w:r>
              <w:rPr>
                <w:rFonts w:ascii="楷体" w:eastAsia="楷体" w:hAnsi="楷体"/>
              </w:rPr>
              <w:t>(588280.SH)</w:t>
            </w:r>
          </w:p>
        </w:tc>
        <w:tc>
          <w:tcPr>
            <w:tcW w:w="4323" w:type="dxa"/>
          </w:tcPr>
          <w:p w:rsidR="000A353C" w:rsidRDefault="00C45820">
            <w:pPr>
              <w:rPr>
                <w:lang w:eastAsia="zh-CN"/>
              </w:rPr>
            </w:pPr>
            <w:proofErr w:type="gramStart"/>
            <w:r>
              <w:rPr>
                <w:rFonts w:ascii="楷体" w:eastAsia="楷体" w:hAnsi="楷体"/>
                <w:lang w:eastAsia="zh-CN"/>
              </w:rPr>
              <w:t>科创信息</w:t>
            </w:r>
            <w:proofErr w:type="gramEnd"/>
            <w:r>
              <w:rPr>
                <w:rFonts w:ascii="楷体" w:eastAsia="楷体" w:hAnsi="楷体"/>
                <w:lang w:eastAsia="zh-CN"/>
              </w:rPr>
              <w:t>ETF</w:t>
            </w:r>
            <w:r>
              <w:rPr>
                <w:rFonts w:ascii="楷体" w:eastAsia="楷体" w:hAnsi="楷体"/>
                <w:lang w:eastAsia="zh-CN"/>
              </w:rPr>
              <w:t>华安</w:t>
            </w:r>
            <w:r>
              <w:rPr>
                <w:rFonts w:ascii="楷体" w:eastAsia="楷体" w:hAnsi="楷体"/>
                <w:lang w:eastAsia="zh-CN"/>
              </w:rPr>
              <w:t>(588260.SH)</w:t>
            </w:r>
          </w:p>
        </w:tc>
      </w:tr>
    </w:tbl>
    <w:p w:rsidR="000A353C" w:rsidRDefault="000A353C">
      <w:pPr>
        <w:spacing w:after="0" w:line="240" w:lineRule="auto"/>
        <w:rPr>
          <w:lang w:eastAsia="zh-CN"/>
        </w:rPr>
      </w:pPr>
    </w:p>
    <w:p w:rsidR="000A353C" w:rsidRDefault="00C45820">
      <w:pPr>
        <w:pStyle w:val="Sub"/>
        <w:rPr>
          <w:lang w:eastAsia="zh-CN"/>
        </w:rPr>
      </w:pPr>
      <w:r>
        <w:rPr>
          <w:lang w:eastAsia="zh-CN"/>
        </w:rPr>
        <w:t xml:space="preserve">※※ </w:t>
      </w:r>
      <w:r>
        <w:rPr>
          <w:lang w:eastAsia="zh-CN"/>
        </w:rPr>
        <w:t>航天</w:t>
      </w:r>
    </w:p>
    <w:p w:rsidR="000A353C" w:rsidRDefault="00C45820">
      <w:pPr>
        <w:pStyle w:val="Para"/>
        <w:rPr>
          <w:lang w:eastAsia="zh-CN"/>
        </w:rPr>
      </w:pPr>
      <w:r>
        <w:rPr>
          <w:lang w:eastAsia="zh-CN"/>
        </w:rPr>
        <w:lastRenderedPageBreak/>
        <w:t>航天行业近期热点集中在商业航天技术突破和政策催化方向。产业层面，</w:t>
      </w:r>
      <w:r>
        <w:rPr>
          <w:lang w:eastAsia="zh-CN"/>
        </w:rPr>
        <w:t>2025</w:t>
      </w:r>
      <w:r>
        <w:rPr>
          <w:lang w:eastAsia="zh-CN"/>
        </w:rPr>
        <w:t>年商业航天核心产业规模达</w:t>
      </w:r>
      <w:r>
        <w:rPr>
          <w:lang w:eastAsia="zh-CN"/>
        </w:rPr>
        <w:t>1.01</w:t>
      </w:r>
      <w:proofErr w:type="gramStart"/>
      <w:r>
        <w:rPr>
          <w:lang w:eastAsia="zh-CN"/>
        </w:rPr>
        <w:t>万亿</w:t>
      </w:r>
      <w:proofErr w:type="gramEnd"/>
      <w:r>
        <w:rPr>
          <w:lang w:eastAsia="zh-CN"/>
        </w:rPr>
        <w:t>元，同比增长近</w:t>
      </w:r>
      <w:r>
        <w:rPr>
          <w:lang w:eastAsia="zh-CN"/>
        </w:rPr>
        <w:t>7%</w:t>
      </w:r>
      <w:r>
        <w:rPr>
          <w:lang w:eastAsia="zh-CN"/>
        </w:rPr>
        <w:t>，企业</w:t>
      </w:r>
      <w:proofErr w:type="gramStart"/>
      <w:r>
        <w:rPr>
          <w:lang w:eastAsia="zh-CN"/>
        </w:rPr>
        <w:t>数量超</w:t>
      </w:r>
      <w:proofErr w:type="gramEnd"/>
      <w:r>
        <w:rPr>
          <w:lang w:eastAsia="zh-CN"/>
        </w:rPr>
        <w:t>600</w:t>
      </w:r>
      <w:r>
        <w:rPr>
          <w:lang w:eastAsia="zh-CN"/>
        </w:rPr>
        <w:t>家同比增长</w:t>
      </w:r>
      <w:r>
        <w:rPr>
          <w:lang w:eastAsia="zh-CN"/>
        </w:rPr>
        <w:t>20%</w:t>
      </w:r>
      <w:r>
        <w:rPr>
          <w:lang w:eastAsia="zh-CN"/>
        </w:rPr>
        <w:t>以上；</w:t>
      </w:r>
      <w:r>
        <w:rPr>
          <w:lang w:eastAsia="zh-CN"/>
        </w:rPr>
        <w:t>2025</w:t>
      </w:r>
      <w:r>
        <w:rPr>
          <w:lang w:eastAsia="zh-CN"/>
        </w:rPr>
        <w:t>年商业发射次数占全国总数</w:t>
      </w:r>
      <w:r>
        <w:rPr>
          <w:lang w:eastAsia="zh-CN"/>
        </w:rPr>
        <w:t>54%</w:t>
      </w:r>
      <w:r>
        <w:rPr>
          <w:lang w:eastAsia="zh-CN"/>
        </w:rPr>
        <w:t>，入轨商业卫星占比</w:t>
      </w:r>
      <w:r>
        <w:rPr>
          <w:lang w:eastAsia="zh-CN"/>
        </w:rPr>
        <w:t>84%</w:t>
      </w:r>
      <w:r>
        <w:rPr>
          <w:lang w:eastAsia="zh-CN"/>
        </w:rPr>
        <w:t>；赛</w:t>
      </w:r>
      <w:proofErr w:type="gramStart"/>
      <w:r>
        <w:rPr>
          <w:lang w:eastAsia="zh-CN"/>
        </w:rPr>
        <w:t>迪智库预测</w:t>
      </w:r>
      <w:proofErr w:type="gramEnd"/>
      <w:r>
        <w:rPr>
          <w:lang w:eastAsia="zh-CN"/>
        </w:rPr>
        <w:t>2026</w:t>
      </w:r>
      <w:r>
        <w:rPr>
          <w:lang w:eastAsia="zh-CN"/>
        </w:rPr>
        <w:t>年市场规模将达</w:t>
      </w:r>
      <w:r>
        <w:rPr>
          <w:lang w:eastAsia="zh-CN"/>
        </w:rPr>
        <w:t>3.5</w:t>
      </w:r>
      <w:proofErr w:type="gramStart"/>
      <w:r>
        <w:rPr>
          <w:lang w:eastAsia="zh-CN"/>
        </w:rPr>
        <w:t>万亿元且增速</w:t>
      </w:r>
      <w:proofErr w:type="gramEnd"/>
      <w:r>
        <w:rPr>
          <w:lang w:eastAsia="zh-CN"/>
        </w:rPr>
        <w:t>持续超过</w:t>
      </w:r>
      <w:r>
        <w:rPr>
          <w:lang w:eastAsia="zh-CN"/>
        </w:rPr>
        <w:t>20%</w:t>
      </w:r>
      <w:r>
        <w:rPr>
          <w:lang w:eastAsia="zh-CN"/>
        </w:rPr>
        <w:t>，中国电子信息产业发展研究院预计</w:t>
      </w:r>
      <w:r>
        <w:rPr>
          <w:lang w:eastAsia="zh-CN"/>
        </w:rPr>
        <w:t>"</w:t>
      </w:r>
      <w:proofErr w:type="gramStart"/>
      <w:r>
        <w:rPr>
          <w:lang w:eastAsia="zh-CN"/>
        </w:rPr>
        <w:t>十五五</w:t>
      </w:r>
      <w:proofErr w:type="gramEnd"/>
      <w:r>
        <w:rPr>
          <w:lang w:eastAsia="zh-CN"/>
        </w:rPr>
        <w:t>"</w:t>
      </w:r>
      <w:r>
        <w:rPr>
          <w:lang w:eastAsia="zh-CN"/>
        </w:rPr>
        <w:t>时期核心产业规模复合增长率约</w:t>
      </w:r>
      <w:r>
        <w:rPr>
          <w:lang w:eastAsia="zh-CN"/>
        </w:rPr>
        <w:t>11%</w:t>
      </w:r>
      <w:r>
        <w:rPr>
          <w:lang w:eastAsia="zh-CN"/>
        </w:rPr>
        <w:t>，表明行业维持高景气扩张态势。技术层面，多型重复使用火箭进入飞行验证阶段，重点推进</w:t>
      </w:r>
      <w:r>
        <w:rPr>
          <w:lang w:eastAsia="zh-CN"/>
        </w:rPr>
        <w:t>火箭发射与回收、低轨通信卫星星座一体化技术转化，同时探索电磁发射等前沿方向，技术迭代加速产业升级。政策层面，海南省提出完善</w:t>
      </w:r>
      <w:r>
        <w:rPr>
          <w:lang w:eastAsia="zh-CN"/>
        </w:rPr>
        <w:t>"</w:t>
      </w:r>
      <w:r>
        <w:rPr>
          <w:lang w:eastAsia="zh-CN"/>
        </w:rPr>
        <w:t>发射</w:t>
      </w:r>
      <w:r>
        <w:rPr>
          <w:lang w:eastAsia="zh-CN"/>
        </w:rPr>
        <w:t>+</w:t>
      </w:r>
      <w:r>
        <w:rPr>
          <w:lang w:eastAsia="zh-CN"/>
        </w:rPr>
        <w:t>服务</w:t>
      </w:r>
      <w:r>
        <w:rPr>
          <w:lang w:eastAsia="zh-CN"/>
        </w:rPr>
        <w:t>+</w:t>
      </w:r>
      <w:r>
        <w:rPr>
          <w:lang w:eastAsia="zh-CN"/>
        </w:rPr>
        <w:t>制造</w:t>
      </w:r>
      <w:r>
        <w:rPr>
          <w:lang w:eastAsia="zh-CN"/>
        </w:rPr>
        <w:t>+</w:t>
      </w:r>
      <w:r>
        <w:rPr>
          <w:lang w:eastAsia="zh-CN"/>
        </w:rPr>
        <w:t>应用</w:t>
      </w:r>
      <w:r>
        <w:rPr>
          <w:lang w:eastAsia="zh-CN"/>
        </w:rPr>
        <w:t>"</w:t>
      </w:r>
      <w:r>
        <w:rPr>
          <w:lang w:eastAsia="zh-CN"/>
        </w:rPr>
        <w:t>一体化商用航天产业体系，国家层面将在航天日发布商业航天扶持政策，政策支持力度持续增强驱动全链条发展。</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0A353C">
        <w:trPr>
          <w:jc w:val="center"/>
        </w:trPr>
        <w:tc>
          <w:tcPr>
            <w:tcW w:w="8646" w:type="dxa"/>
          </w:tcPr>
          <w:p w:rsidR="000A353C" w:rsidRDefault="00C45820">
            <w:proofErr w:type="spellStart"/>
            <w:r>
              <w:rPr>
                <w:rFonts w:ascii="楷体" w:eastAsia="楷体" w:hAnsi="楷体"/>
                <w:b/>
              </w:rPr>
              <w:t>相关产品</w:t>
            </w:r>
            <w:proofErr w:type="spellEnd"/>
          </w:p>
        </w:tc>
      </w:tr>
      <w:tr w:rsidR="000A353C">
        <w:trPr>
          <w:jc w:val="center"/>
        </w:trPr>
        <w:tc>
          <w:tcPr>
            <w:tcW w:w="8646" w:type="dxa"/>
          </w:tcPr>
          <w:p w:rsidR="000A353C" w:rsidRDefault="00C45820">
            <w:r>
              <w:rPr>
                <w:rFonts w:ascii="楷体" w:eastAsia="楷体" w:hAnsi="楷体"/>
              </w:rPr>
              <w:t>航天</w:t>
            </w:r>
            <w:r>
              <w:rPr>
                <w:rFonts w:ascii="楷体" w:eastAsia="楷体" w:hAnsi="楷体"/>
              </w:rPr>
              <w:t>ETF</w:t>
            </w:r>
            <w:r>
              <w:rPr>
                <w:rFonts w:ascii="楷体" w:eastAsia="楷体" w:hAnsi="楷体"/>
              </w:rPr>
              <w:t>华安</w:t>
            </w:r>
            <w:r>
              <w:rPr>
                <w:rFonts w:ascii="楷体" w:eastAsia="楷体" w:hAnsi="楷体"/>
              </w:rPr>
              <w:t>(159267.SZ)</w:t>
            </w:r>
          </w:p>
        </w:tc>
      </w:tr>
    </w:tbl>
    <w:p w:rsidR="000A353C" w:rsidRDefault="000A353C">
      <w:pPr>
        <w:spacing w:after="0" w:line="240" w:lineRule="auto"/>
      </w:pPr>
    </w:p>
    <w:p w:rsidR="000A353C" w:rsidRDefault="00C45820">
      <w:pPr>
        <w:pStyle w:val="Sub"/>
      </w:pPr>
      <w:r>
        <w:t xml:space="preserve">※※ </w:t>
      </w:r>
      <w:r>
        <w:t>电力设备新能源</w:t>
      </w:r>
    </w:p>
    <w:p w:rsidR="000A353C" w:rsidRDefault="00C45820">
      <w:pPr>
        <w:pStyle w:val="Para"/>
        <w:rPr>
          <w:lang w:eastAsia="zh-CN"/>
        </w:rPr>
      </w:pPr>
      <w:r>
        <w:rPr>
          <w:lang w:eastAsia="zh-CN"/>
        </w:rPr>
        <w:t>电力设备新能源行业近期热点集中在光伏、储能和新能源车领域。国际能源</w:t>
      </w:r>
      <w:proofErr w:type="gramStart"/>
      <w:r>
        <w:rPr>
          <w:lang w:eastAsia="zh-CN"/>
        </w:rPr>
        <w:t>署称</w:t>
      </w:r>
      <w:proofErr w:type="gramEnd"/>
      <w:r>
        <w:rPr>
          <w:lang w:eastAsia="zh-CN"/>
        </w:rPr>
        <w:t>去年全球太阳能光伏发电量新增</w:t>
      </w:r>
      <w:r>
        <w:rPr>
          <w:lang w:eastAsia="zh-CN"/>
        </w:rPr>
        <w:t>600</w:t>
      </w:r>
      <w:r>
        <w:rPr>
          <w:lang w:eastAsia="zh-CN"/>
        </w:rPr>
        <w:t>太瓦时，在全球能源供应增量中占比超</w:t>
      </w:r>
      <w:r>
        <w:rPr>
          <w:lang w:eastAsia="zh-CN"/>
        </w:rPr>
        <w:t>25%</w:t>
      </w:r>
      <w:r>
        <w:rPr>
          <w:lang w:eastAsia="zh-CN"/>
        </w:rPr>
        <w:t>，可再生能源首次引领增长，表明</w:t>
      </w:r>
      <w:proofErr w:type="gramStart"/>
      <w:r>
        <w:rPr>
          <w:lang w:eastAsia="zh-CN"/>
        </w:rPr>
        <w:t>光伏正主导</w:t>
      </w:r>
      <w:proofErr w:type="gramEnd"/>
      <w:r>
        <w:rPr>
          <w:lang w:eastAsia="zh-CN"/>
        </w:rPr>
        <w:t>全球能源转型；商务部表示今年以来电动汽车、锂电池、光伏产品出口增长</w:t>
      </w:r>
      <w:r>
        <w:rPr>
          <w:lang w:eastAsia="zh-CN"/>
        </w:rPr>
        <w:t>50.7%</w:t>
      </w:r>
      <w:r>
        <w:rPr>
          <w:lang w:eastAsia="zh-CN"/>
        </w:rPr>
        <w:t>，成为</w:t>
      </w:r>
      <w:proofErr w:type="gramStart"/>
      <w:r>
        <w:rPr>
          <w:lang w:eastAsia="zh-CN"/>
        </w:rPr>
        <w:t>拉动外贸</w:t>
      </w:r>
      <w:proofErr w:type="gramEnd"/>
      <w:r>
        <w:rPr>
          <w:lang w:eastAsia="zh-CN"/>
        </w:rPr>
        <w:t>重要引擎，凸显国际市场竞争力增强；全球电动汽车销售超</w:t>
      </w:r>
      <w:r>
        <w:rPr>
          <w:lang w:eastAsia="zh-CN"/>
        </w:rPr>
        <w:t>2000</w:t>
      </w:r>
      <w:r>
        <w:rPr>
          <w:lang w:eastAsia="zh-CN"/>
        </w:rPr>
        <w:t>万辆，</w:t>
      </w:r>
      <w:proofErr w:type="gramStart"/>
      <w:r>
        <w:rPr>
          <w:lang w:eastAsia="zh-CN"/>
        </w:rPr>
        <w:t>增速超</w:t>
      </w:r>
      <w:proofErr w:type="gramEnd"/>
      <w:r>
        <w:rPr>
          <w:lang w:eastAsia="zh-CN"/>
        </w:rPr>
        <w:t>20%</w:t>
      </w:r>
      <w:r>
        <w:rPr>
          <w:lang w:eastAsia="zh-CN"/>
        </w:rPr>
        <w:t>，占新车销售四分之一，反映新能源车普及持续提速。产业层面，国家统计局称前两个月</w:t>
      </w:r>
      <w:proofErr w:type="gramStart"/>
      <w:r>
        <w:rPr>
          <w:lang w:eastAsia="zh-CN"/>
        </w:rPr>
        <w:t>锂</w:t>
      </w:r>
      <w:proofErr w:type="gramEnd"/>
      <w:r>
        <w:rPr>
          <w:lang w:eastAsia="zh-CN"/>
        </w:rPr>
        <w:t>离子电池产量增</w:t>
      </w:r>
      <w:r>
        <w:rPr>
          <w:lang w:eastAsia="zh-CN"/>
        </w:rPr>
        <w:t>42.6%</w:t>
      </w:r>
      <w:r>
        <w:rPr>
          <w:lang w:eastAsia="zh-CN"/>
        </w:rPr>
        <w:t>，储能用电池增</w:t>
      </w:r>
      <w:r>
        <w:rPr>
          <w:lang w:eastAsia="zh-CN"/>
        </w:rPr>
        <w:t>84%</w:t>
      </w:r>
      <w:r>
        <w:rPr>
          <w:lang w:eastAsia="zh-CN"/>
        </w:rPr>
        <w:t>，储能需求强劲推动产能扩张；国家能源</w:t>
      </w:r>
      <w:proofErr w:type="gramStart"/>
      <w:r>
        <w:rPr>
          <w:lang w:eastAsia="zh-CN"/>
        </w:rPr>
        <w:t>局数据</w:t>
      </w:r>
      <w:proofErr w:type="gramEnd"/>
      <w:r>
        <w:rPr>
          <w:lang w:eastAsia="zh-CN"/>
        </w:rPr>
        <w:t>显示一季度可再生能源新增装机</w:t>
      </w:r>
      <w:r>
        <w:rPr>
          <w:lang w:eastAsia="zh-CN"/>
        </w:rPr>
        <w:t>5893</w:t>
      </w:r>
      <w:r>
        <w:rPr>
          <w:lang w:eastAsia="zh-CN"/>
        </w:rPr>
        <w:t>万千瓦，占新增装机的</w:t>
      </w:r>
      <w:r>
        <w:rPr>
          <w:lang w:eastAsia="zh-CN"/>
        </w:rPr>
        <w:t>70%</w:t>
      </w:r>
      <w:r>
        <w:rPr>
          <w:lang w:eastAsia="zh-CN"/>
        </w:rPr>
        <w:t>，风电和光伏装机合计占全国电力总装机</w:t>
      </w:r>
      <w:r>
        <w:rPr>
          <w:lang w:eastAsia="zh-CN"/>
        </w:rPr>
        <w:t>47.9%</w:t>
      </w:r>
      <w:r>
        <w:rPr>
          <w:lang w:eastAsia="zh-CN"/>
        </w:rPr>
        <w:t>，行业规模稳步提升；锂电排产三月环增</w:t>
      </w:r>
      <w:r>
        <w:rPr>
          <w:lang w:eastAsia="zh-CN"/>
        </w:rPr>
        <w:t>20%</w:t>
      </w:r>
      <w:r>
        <w:rPr>
          <w:lang w:eastAsia="zh-CN"/>
        </w:rPr>
        <w:t>，恢复至高点，需求预期上修，</w:t>
      </w:r>
      <w:r>
        <w:rPr>
          <w:lang w:eastAsia="zh-CN"/>
        </w:rPr>
        <w:t>预示全年</w:t>
      </w:r>
      <w:proofErr w:type="gramStart"/>
      <w:r>
        <w:rPr>
          <w:lang w:eastAsia="zh-CN"/>
        </w:rPr>
        <w:t>景气向</w:t>
      </w:r>
      <w:proofErr w:type="gramEnd"/>
      <w:r>
        <w:rPr>
          <w:lang w:eastAsia="zh-CN"/>
        </w:rPr>
        <w:t>好。技术层面，技术迭代加速推进，提升能源体系韧性和来源多样化，支撑市场稳定。政策层面，深化体制机制改革创新，完善标准和认证体系，推进电力领域全国统一大市场建设，优化准入和定价机制，促进绿色能源价值兑现。</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pPr>
              <w:rPr>
                <w:lang w:eastAsia="zh-CN"/>
              </w:rPr>
            </w:pPr>
            <w:r>
              <w:rPr>
                <w:rFonts w:ascii="楷体" w:eastAsia="楷体" w:hAnsi="楷体"/>
                <w:lang w:eastAsia="zh-CN"/>
              </w:rPr>
              <w:t>创业板</w:t>
            </w:r>
            <w:r>
              <w:rPr>
                <w:rFonts w:ascii="楷体" w:eastAsia="楷体" w:hAnsi="楷体"/>
                <w:lang w:eastAsia="zh-CN"/>
              </w:rPr>
              <w:t>50ETF</w:t>
            </w:r>
            <w:r>
              <w:rPr>
                <w:rFonts w:ascii="楷体" w:eastAsia="楷体" w:hAnsi="楷体"/>
                <w:lang w:eastAsia="zh-CN"/>
              </w:rPr>
              <w:t>华安</w:t>
            </w:r>
            <w:r>
              <w:rPr>
                <w:rFonts w:ascii="楷体" w:eastAsia="楷体" w:hAnsi="楷体"/>
                <w:lang w:eastAsia="zh-CN"/>
              </w:rPr>
              <w:t>(159949.SZ)</w:t>
            </w:r>
          </w:p>
        </w:tc>
        <w:tc>
          <w:tcPr>
            <w:tcW w:w="4323" w:type="dxa"/>
          </w:tcPr>
          <w:p w:rsidR="000A353C" w:rsidRDefault="00C45820">
            <w:r>
              <w:rPr>
                <w:rFonts w:ascii="楷体" w:eastAsia="楷体" w:hAnsi="楷体"/>
              </w:rPr>
              <w:t>新能源</w:t>
            </w:r>
            <w:r>
              <w:rPr>
                <w:rFonts w:ascii="楷体" w:eastAsia="楷体" w:hAnsi="楷体"/>
              </w:rPr>
              <w:t>50ETF</w:t>
            </w:r>
            <w:r>
              <w:rPr>
                <w:rFonts w:ascii="楷体" w:eastAsia="楷体" w:hAnsi="楷体"/>
              </w:rPr>
              <w:t>华安</w:t>
            </w:r>
            <w:r>
              <w:rPr>
                <w:rFonts w:ascii="楷体" w:eastAsia="楷体" w:hAnsi="楷体"/>
              </w:rPr>
              <w:t>(516270.SH)</w:t>
            </w:r>
          </w:p>
        </w:tc>
      </w:tr>
      <w:tr w:rsidR="000A353C">
        <w:trPr>
          <w:jc w:val="center"/>
        </w:trPr>
        <w:tc>
          <w:tcPr>
            <w:tcW w:w="4323" w:type="dxa"/>
          </w:tcPr>
          <w:p w:rsidR="000A353C" w:rsidRDefault="00C45820">
            <w:r>
              <w:rPr>
                <w:rFonts w:ascii="楷体" w:eastAsia="楷体" w:hAnsi="楷体"/>
              </w:rPr>
              <w:t>光伏</w:t>
            </w:r>
            <w:r>
              <w:rPr>
                <w:rFonts w:ascii="楷体" w:eastAsia="楷体" w:hAnsi="楷体"/>
              </w:rPr>
              <w:t>ETF</w:t>
            </w:r>
            <w:r>
              <w:rPr>
                <w:rFonts w:ascii="楷体" w:eastAsia="楷体" w:hAnsi="楷体"/>
              </w:rPr>
              <w:t>华安</w:t>
            </w:r>
            <w:r>
              <w:rPr>
                <w:rFonts w:ascii="楷体" w:eastAsia="楷体" w:hAnsi="楷体"/>
              </w:rPr>
              <w:t>(159618.SZ)</w:t>
            </w:r>
          </w:p>
        </w:tc>
        <w:tc>
          <w:tcPr>
            <w:tcW w:w="4323" w:type="dxa"/>
          </w:tcPr>
          <w:p w:rsidR="000A353C" w:rsidRDefault="00C45820">
            <w:pPr>
              <w:rPr>
                <w:lang w:eastAsia="zh-CN"/>
              </w:rPr>
            </w:pPr>
            <w:r>
              <w:rPr>
                <w:rFonts w:ascii="楷体" w:eastAsia="楷体" w:hAnsi="楷体"/>
                <w:lang w:eastAsia="zh-CN"/>
              </w:rPr>
              <w:t>新能源车</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(516660.SH)</w:t>
            </w:r>
          </w:p>
        </w:tc>
      </w:tr>
    </w:tbl>
    <w:p w:rsidR="000A353C" w:rsidRDefault="000A353C">
      <w:pPr>
        <w:spacing w:after="0" w:line="240" w:lineRule="auto"/>
        <w:rPr>
          <w:lang w:eastAsia="zh-CN"/>
        </w:rPr>
      </w:pPr>
    </w:p>
    <w:p w:rsidR="000A353C" w:rsidRDefault="00C45820">
      <w:pPr>
        <w:pStyle w:val="Sub"/>
        <w:rPr>
          <w:lang w:eastAsia="zh-CN"/>
        </w:rPr>
      </w:pPr>
      <w:r>
        <w:rPr>
          <w:lang w:eastAsia="zh-CN"/>
        </w:rPr>
        <w:t xml:space="preserve">※※ </w:t>
      </w:r>
      <w:r>
        <w:rPr>
          <w:lang w:eastAsia="zh-CN"/>
        </w:rPr>
        <w:t>消费</w:t>
      </w:r>
    </w:p>
    <w:p w:rsidR="000A353C" w:rsidRDefault="00C45820">
      <w:pPr>
        <w:pStyle w:val="Para"/>
        <w:rPr>
          <w:lang w:eastAsia="zh-CN"/>
        </w:rPr>
      </w:pPr>
      <w:r>
        <w:rPr>
          <w:lang w:eastAsia="zh-CN"/>
        </w:rPr>
        <w:t>消费行业近期热点集中在入境消费便利化、服务消费复苏及新兴消费场景应用。假期服务消费活力显著，重点平台数据显示国内</w:t>
      </w:r>
      <w:proofErr w:type="gramStart"/>
      <w:r>
        <w:rPr>
          <w:lang w:eastAsia="zh-CN"/>
        </w:rPr>
        <w:t>游消费</w:t>
      </w:r>
      <w:proofErr w:type="gramEnd"/>
      <w:r>
        <w:rPr>
          <w:lang w:eastAsia="zh-CN"/>
        </w:rPr>
        <w:t>增长</w:t>
      </w:r>
      <w:r>
        <w:rPr>
          <w:lang w:eastAsia="zh-CN"/>
        </w:rPr>
        <w:t>4.5%</w:t>
      </w:r>
      <w:r>
        <w:rPr>
          <w:lang w:eastAsia="zh-CN"/>
        </w:rPr>
        <w:t>，租车出行订单量增长</w:t>
      </w:r>
      <w:r>
        <w:rPr>
          <w:lang w:eastAsia="zh-CN"/>
        </w:rPr>
        <w:t>26%</w:t>
      </w:r>
      <w:r>
        <w:rPr>
          <w:lang w:eastAsia="zh-CN"/>
        </w:rPr>
        <w:t>，</w:t>
      </w:r>
      <w:proofErr w:type="gramStart"/>
      <w:r>
        <w:rPr>
          <w:lang w:eastAsia="zh-CN"/>
        </w:rPr>
        <w:t>南北互跨订单</w:t>
      </w:r>
      <w:proofErr w:type="gramEnd"/>
      <w:r>
        <w:rPr>
          <w:lang w:eastAsia="zh-CN"/>
        </w:rPr>
        <w:t>量增长</w:t>
      </w:r>
      <w:r>
        <w:rPr>
          <w:lang w:eastAsia="zh-CN"/>
        </w:rPr>
        <w:t>196%</w:t>
      </w:r>
      <w:r>
        <w:rPr>
          <w:lang w:eastAsia="zh-CN"/>
        </w:rPr>
        <w:t>；</w:t>
      </w:r>
      <w:r>
        <w:rPr>
          <w:lang w:eastAsia="zh-CN"/>
        </w:rPr>
        <w:t>2026</w:t>
      </w:r>
      <w:r>
        <w:rPr>
          <w:lang w:eastAsia="zh-CN"/>
        </w:rPr>
        <w:t>年春节</w:t>
      </w:r>
      <w:r>
        <w:rPr>
          <w:lang w:eastAsia="zh-CN"/>
        </w:rPr>
        <w:t>9</w:t>
      </w:r>
      <w:r>
        <w:rPr>
          <w:lang w:eastAsia="zh-CN"/>
        </w:rPr>
        <w:t>天假期消费市场活力迸发，春运前</w:t>
      </w:r>
      <w:r>
        <w:rPr>
          <w:lang w:eastAsia="zh-CN"/>
        </w:rPr>
        <w:t>20</w:t>
      </w:r>
      <w:r>
        <w:rPr>
          <w:lang w:eastAsia="zh-CN"/>
        </w:rPr>
        <w:t>天人员流动量累计</w:t>
      </w:r>
      <w:r>
        <w:rPr>
          <w:lang w:eastAsia="zh-CN"/>
        </w:rPr>
        <w:t>50.8</w:t>
      </w:r>
      <w:r>
        <w:rPr>
          <w:lang w:eastAsia="zh-CN"/>
        </w:rPr>
        <w:t>亿人次日均</w:t>
      </w:r>
      <w:r>
        <w:rPr>
          <w:lang w:eastAsia="zh-CN"/>
        </w:rPr>
        <w:t>2.5</w:t>
      </w:r>
      <w:r>
        <w:rPr>
          <w:lang w:eastAsia="zh-CN"/>
        </w:rPr>
        <w:t>亿创历史新高，电影总场次超</w:t>
      </w:r>
      <w:r>
        <w:rPr>
          <w:lang w:eastAsia="zh-CN"/>
        </w:rPr>
        <w:t>434</w:t>
      </w:r>
      <w:r>
        <w:rPr>
          <w:lang w:eastAsia="zh-CN"/>
        </w:rPr>
        <w:t>万场刷新中国影史纪录，</w:t>
      </w:r>
      <w:r>
        <w:rPr>
          <w:lang w:eastAsia="zh-CN"/>
        </w:rPr>
        <w:lastRenderedPageBreak/>
        <w:t>全国重点零售餐饮企业日均销售额较</w:t>
      </w:r>
      <w:r>
        <w:rPr>
          <w:lang w:eastAsia="zh-CN"/>
        </w:rPr>
        <w:t>2025</w:t>
      </w:r>
      <w:r>
        <w:rPr>
          <w:lang w:eastAsia="zh-CN"/>
        </w:rPr>
        <w:t>年增长</w:t>
      </w:r>
      <w:r>
        <w:rPr>
          <w:lang w:eastAsia="zh-CN"/>
        </w:rPr>
        <w:t>10.6%</w:t>
      </w:r>
      <w:r>
        <w:rPr>
          <w:lang w:eastAsia="zh-CN"/>
        </w:rPr>
        <w:t>，步行街客流量与营业额同比分别增长</w:t>
      </w:r>
      <w:r>
        <w:rPr>
          <w:lang w:eastAsia="zh-CN"/>
        </w:rPr>
        <w:t>23.2%</w:t>
      </w:r>
      <w:r>
        <w:rPr>
          <w:lang w:eastAsia="zh-CN"/>
        </w:rPr>
        <w:t>和</w:t>
      </w:r>
      <w:r>
        <w:rPr>
          <w:lang w:eastAsia="zh-CN"/>
        </w:rPr>
        <w:t>33.2%</w:t>
      </w:r>
      <w:r>
        <w:rPr>
          <w:lang w:eastAsia="zh-CN"/>
        </w:rPr>
        <w:t>；</w:t>
      </w:r>
      <w:r>
        <w:rPr>
          <w:lang w:eastAsia="zh-CN"/>
        </w:rPr>
        <w:t>“</w:t>
      </w:r>
      <w:r>
        <w:rPr>
          <w:lang w:eastAsia="zh-CN"/>
        </w:rPr>
        <w:t>五一</w:t>
      </w:r>
      <w:r>
        <w:rPr>
          <w:lang w:eastAsia="zh-CN"/>
        </w:rPr>
        <w:t>”</w:t>
      </w:r>
      <w:r>
        <w:rPr>
          <w:lang w:eastAsia="zh-CN"/>
        </w:rPr>
        <w:t>假期消费持续活跃，全社会跨区域人员流动量创历史同期新高，海南</w:t>
      </w:r>
      <w:r>
        <w:rPr>
          <w:lang w:eastAsia="zh-CN"/>
        </w:rPr>
        <w:t>离岛免税购物金额达</w:t>
      </w:r>
      <w:r>
        <w:rPr>
          <w:lang w:eastAsia="zh-CN"/>
        </w:rPr>
        <w:t>5.54</w:t>
      </w:r>
      <w:r>
        <w:rPr>
          <w:lang w:eastAsia="zh-CN"/>
        </w:rPr>
        <w:t>亿元。新兴技术驱动消费升级，</w:t>
      </w:r>
      <w:r>
        <w:rPr>
          <w:lang w:eastAsia="zh-CN"/>
        </w:rPr>
        <w:t>AI</w:t>
      </w:r>
      <w:r>
        <w:rPr>
          <w:lang w:eastAsia="zh-CN"/>
        </w:rPr>
        <w:t>高速光模块订单排到四季度，春节期间生产基地全线运转；</w:t>
      </w:r>
      <w:proofErr w:type="gramStart"/>
      <w:r>
        <w:rPr>
          <w:lang w:eastAsia="zh-CN"/>
        </w:rPr>
        <w:t>脑机接口</w:t>
      </w:r>
      <w:proofErr w:type="gramEnd"/>
      <w:r>
        <w:rPr>
          <w:lang w:eastAsia="zh-CN"/>
        </w:rPr>
        <w:t>产业计划到</w:t>
      </w:r>
      <w:r>
        <w:rPr>
          <w:lang w:eastAsia="zh-CN"/>
        </w:rPr>
        <w:t>2030</w:t>
      </w:r>
      <w:r>
        <w:rPr>
          <w:lang w:eastAsia="zh-CN"/>
        </w:rPr>
        <w:t>年培育不少于</w:t>
      </w:r>
      <w:r>
        <w:rPr>
          <w:lang w:eastAsia="zh-CN"/>
        </w:rPr>
        <w:t>30</w:t>
      </w:r>
      <w:r>
        <w:rPr>
          <w:lang w:eastAsia="zh-CN"/>
        </w:rPr>
        <w:t>个</w:t>
      </w:r>
      <w:r>
        <w:rPr>
          <w:lang w:eastAsia="zh-CN"/>
        </w:rPr>
        <w:t>“</w:t>
      </w:r>
      <w:r>
        <w:rPr>
          <w:lang w:eastAsia="zh-CN"/>
        </w:rPr>
        <w:t>脑机接口</w:t>
      </w:r>
      <w:r>
        <w:rPr>
          <w:lang w:eastAsia="zh-CN"/>
        </w:rPr>
        <w:t>+</w:t>
      </w:r>
      <w:r>
        <w:rPr>
          <w:lang w:eastAsia="zh-CN"/>
        </w:rPr>
        <w:t>消费</w:t>
      </w:r>
      <w:r>
        <w:rPr>
          <w:lang w:eastAsia="zh-CN"/>
        </w:rPr>
        <w:t>”</w:t>
      </w:r>
      <w:r>
        <w:rPr>
          <w:lang w:eastAsia="zh-CN"/>
        </w:rPr>
        <w:t>典型应用场景。设备更新加速推进，</w:t>
      </w:r>
      <w:r>
        <w:rPr>
          <w:lang w:eastAsia="zh-CN"/>
        </w:rPr>
        <w:t>31</w:t>
      </w:r>
      <w:r>
        <w:rPr>
          <w:lang w:eastAsia="zh-CN"/>
        </w:rPr>
        <w:t>个省启动涉及商业设施等领域更新，降低投资额门槛并扩大惠及面，上海等地商场完成电子屏、卫生间改造后客流回升。政策层面，商务部优化入境消费环境，提升支付便利性和多语种标识覆盖率，并发布春节消费品以旧换新通知，加强补贴资金保障；金融监督管理总局修订金融消费投诉处理管理办法；设备更新政策支持商业设施改造，促进消</w:t>
      </w:r>
      <w:r>
        <w:rPr>
          <w:lang w:eastAsia="zh-CN"/>
        </w:rPr>
        <w:t>费场景创新。消费需求增长表明市场复苏趋势强劲，政策支持有望进一步激发消费潜力。</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pPr>
              <w:rPr>
                <w:lang w:eastAsia="zh-CN"/>
              </w:rPr>
            </w:pPr>
            <w:r>
              <w:rPr>
                <w:rFonts w:ascii="楷体" w:eastAsia="楷体" w:hAnsi="楷体"/>
                <w:lang w:eastAsia="zh-CN"/>
              </w:rPr>
              <w:t>食品饮料</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(516900.SH)</w:t>
            </w:r>
          </w:p>
        </w:tc>
        <w:tc>
          <w:tcPr>
            <w:tcW w:w="4323" w:type="dxa"/>
          </w:tcPr>
          <w:p w:rsidR="000A353C" w:rsidRDefault="00C45820">
            <w:pPr>
              <w:rPr>
                <w:lang w:eastAsia="zh-CN"/>
              </w:rPr>
            </w:pPr>
            <w:r>
              <w:rPr>
                <w:rFonts w:ascii="楷体" w:eastAsia="楷体" w:hAnsi="楷体"/>
                <w:lang w:eastAsia="zh-CN"/>
              </w:rPr>
              <w:t>港股</w:t>
            </w:r>
            <w:proofErr w:type="gramStart"/>
            <w:r>
              <w:rPr>
                <w:rFonts w:ascii="楷体" w:eastAsia="楷体" w:hAnsi="楷体"/>
                <w:lang w:eastAsia="zh-CN"/>
              </w:rPr>
              <w:t>通消费</w:t>
            </w:r>
            <w:proofErr w:type="gramEnd"/>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(159285.SZ)</w:t>
            </w:r>
          </w:p>
        </w:tc>
      </w:tr>
    </w:tbl>
    <w:p w:rsidR="000A353C" w:rsidRDefault="000A353C">
      <w:pPr>
        <w:spacing w:after="0" w:line="240" w:lineRule="auto"/>
        <w:rPr>
          <w:lang w:eastAsia="zh-CN"/>
        </w:rPr>
      </w:pPr>
    </w:p>
    <w:p w:rsidR="000A353C" w:rsidRDefault="00C45820">
      <w:pPr>
        <w:pStyle w:val="Sub"/>
        <w:rPr>
          <w:lang w:eastAsia="zh-CN"/>
        </w:rPr>
      </w:pPr>
      <w:r>
        <w:rPr>
          <w:lang w:eastAsia="zh-CN"/>
        </w:rPr>
        <w:t xml:space="preserve">※※ </w:t>
      </w:r>
      <w:r>
        <w:rPr>
          <w:lang w:eastAsia="zh-CN"/>
        </w:rPr>
        <w:t>金融地产</w:t>
      </w:r>
    </w:p>
    <w:p w:rsidR="000A353C" w:rsidRDefault="00C45820">
      <w:pPr>
        <w:pStyle w:val="Para"/>
        <w:rPr>
          <w:lang w:eastAsia="zh-CN"/>
        </w:rPr>
      </w:pPr>
      <w:r>
        <w:rPr>
          <w:lang w:eastAsia="zh-CN"/>
        </w:rPr>
        <w:t>金融地产行业近期热点集中在金融风险防控机制完善和房地产政策优化刺激需求上。中国房地产报社评指出市场出现</w:t>
      </w:r>
      <w:r>
        <w:rPr>
          <w:lang w:eastAsia="zh-CN"/>
        </w:rPr>
        <w:t>"</w:t>
      </w:r>
      <w:r>
        <w:rPr>
          <w:lang w:eastAsia="zh-CN"/>
        </w:rPr>
        <w:t>金三银四</w:t>
      </w:r>
      <w:r>
        <w:rPr>
          <w:lang w:eastAsia="zh-CN"/>
        </w:rPr>
        <w:t>"</w:t>
      </w:r>
      <w:r>
        <w:rPr>
          <w:lang w:eastAsia="zh-CN"/>
        </w:rPr>
        <w:t>运行好态势，表明房地产景气度有所回暖。金融法草案意见支持中长期资金入市以增强资本市场内在稳定性，这有助于提升市场抗风险能力；草案还要求建立健全金融市场风险快速反应机制应对市场异常波动和流动性枯竭等风险，强化系统性风险防范。央行可会同有关部门实施逆周期跨周期调节等宏观调控措施促进金融市场稳健，这利于</w:t>
      </w:r>
      <w:proofErr w:type="gramStart"/>
      <w:r>
        <w:rPr>
          <w:lang w:eastAsia="zh-CN"/>
        </w:rPr>
        <w:t>平抑短期</w:t>
      </w:r>
      <w:proofErr w:type="gramEnd"/>
      <w:r>
        <w:rPr>
          <w:lang w:eastAsia="zh-CN"/>
        </w:rPr>
        <w:t>波动。郑州新政鼓励金融机构面向青年群体推出特色住房信贷产品满足多元化需求，多子女家庭申请公积</w:t>
      </w:r>
      <w:r>
        <w:rPr>
          <w:lang w:eastAsia="zh-CN"/>
        </w:rPr>
        <w:t>金贷款时最高额度可上浮</w:t>
      </w:r>
      <w:r>
        <w:rPr>
          <w:lang w:eastAsia="zh-CN"/>
        </w:rPr>
        <w:t>20%</w:t>
      </w:r>
      <w:r>
        <w:rPr>
          <w:lang w:eastAsia="zh-CN"/>
        </w:rPr>
        <w:t>，可能刺激改善性购房需求增长；</w:t>
      </w:r>
      <w:r>
        <w:rPr>
          <w:lang w:eastAsia="zh-CN"/>
        </w:rPr>
        <w:t>2026</w:t>
      </w:r>
      <w:r>
        <w:rPr>
          <w:lang w:eastAsia="zh-CN"/>
        </w:rPr>
        <w:t>年计划通过收购新建等方式分配</w:t>
      </w:r>
      <w:r>
        <w:rPr>
          <w:lang w:eastAsia="zh-CN"/>
        </w:rPr>
        <w:t>1</w:t>
      </w:r>
      <w:r>
        <w:rPr>
          <w:lang w:eastAsia="zh-CN"/>
        </w:rPr>
        <w:t>万套保障性租赁住房增加供给，支持安居引才。政策层面坚持市场化法治化原则着力完善金融风险处置机制并加大违法违规惩处力度，同时地方政府加码公积金优惠和保障房供给等稳定楼市措施，旨在促进房地产市场平稳高质量发展。</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r>
              <w:rPr>
                <w:rFonts w:ascii="楷体" w:eastAsia="楷体" w:hAnsi="楷体"/>
              </w:rPr>
              <w:t>银行</w:t>
            </w:r>
            <w:r>
              <w:rPr>
                <w:rFonts w:ascii="楷体" w:eastAsia="楷体" w:hAnsi="楷体"/>
              </w:rPr>
              <w:t>ETF</w:t>
            </w:r>
            <w:r>
              <w:rPr>
                <w:rFonts w:ascii="楷体" w:eastAsia="楷体" w:hAnsi="楷体"/>
              </w:rPr>
              <w:t>华安</w:t>
            </w:r>
            <w:r>
              <w:rPr>
                <w:rFonts w:ascii="楷体" w:eastAsia="楷体" w:hAnsi="楷体"/>
              </w:rPr>
              <w:t>(516210.SH)</w:t>
            </w:r>
          </w:p>
        </w:tc>
        <w:tc>
          <w:tcPr>
            <w:tcW w:w="4323" w:type="dxa"/>
          </w:tcPr>
          <w:p w:rsidR="000A353C" w:rsidRDefault="00C45820">
            <w:r>
              <w:rPr>
                <w:rFonts w:ascii="楷体" w:eastAsia="楷体" w:hAnsi="楷体"/>
              </w:rPr>
              <w:t>证券</w:t>
            </w:r>
            <w:r>
              <w:rPr>
                <w:rFonts w:ascii="楷体" w:eastAsia="楷体" w:hAnsi="楷体"/>
              </w:rPr>
              <w:t>ETF</w:t>
            </w:r>
            <w:r>
              <w:rPr>
                <w:rFonts w:ascii="楷体" w:eastAsia="楷体" w:hAnsi="楷体"/>
              </w:rPr>
              <w:t>华安</w:t>
            </w:r>
            <w:r>
              <w:rPr>
                <w:rFonts w:ascii="楷体" w:eastAsia="楷体" w:hAnsi="楷体"/>
              </w:rPr>
              <w:t>(516200.SH)</w:t>
            </w:r>
          </w:p>
        </w:tc>
      </w:tr>
    </w:tbl>
    <w:p w:rsidR="000A353C" w:rsidRDefault="000A353C">
      <w:pPr>
        <w:spacing w:after="0" w:line="240" w:lineRule="auto"/>
      </w:pPr>
    </w:p>
    <w:p w:rsidR="000A353C" w:rsidRDefault="00C45820">
      <w:pPr>
        <w:pStyle w:val="Sub"/>
      </w:pPr>
      <w:r>
        <w:t xml:space="preserve">※※ </w:t>
      </w:r>
      <w:r>
        <w:t>医药生物</w:t>
      </w:r>
    </w:p>
    <w:p w:rsidR="000A353C" w:rsidRDefault="00C45820">
      <w:pPr>
        <w:pStyle w:val="Para"/>
        <w:rPr>
          <w:lang w:eastAsia="zh-CN"/>
        </w:rPr>
      </w:pPr>
      <w:r>
        <w:rPr>
          <w:lang w:eastAsia="zh-CN"/>
        </w:rPr>
        <w:t>医药生物行业近期热点集中在创新药研发与国际化。</w:t>
      </w:r>
      <w:r>
        <w:rPr>
          <w:lang w:eastAsia="zh-CN"/>
        </w:rPr>
        <w:t>2026</w:t>
      </w:r>
      <w:r>
        <w:rPr>
          <w:lang w:eastAsia="zh-CN"/>
        </w:rPr>
        <w:t>年政府工作报告首次将生物医药列为国家</w:t>
      </w:r>
      <w:r>
        <w:rPr>
          <w:lang w:eastAsia="zh-CN"/>
        </w:rPr>
        <w:t>"</w:t>
      </w:r>
      <w:r>
        <w:rPr>
          <w:lang w:eastAsia="zh-CN"/>
        </w:rPr>
        <w:t>新兴支柱产业</w:t>
      </w:r>
      <w:r>
        <w:rPr>
          <w:lang w:eastAsia="zh-CN"/>
        </w:rPr>
        <w:t>"</w:t>
      </w:r>
      <w:r>
        <w:rPr>
          <w:lang w:eastAsia="zh-CN"/>
        </w:rPr>
        <w:t>，政策支持力度升级；</w:t>
      </w:r>
      <w:r>
        <w:rPr>
          <w:lang w:eastAsia="zh-CN"/>
        </w:rPr>
        <w:t>2025</w:t>
      </w:r>
      <w:r>
        <w:rPr>
          <w:lang w:eastAsia="zh-CN"/>
        </w:rPr>
        <w:t>年对外授权交易总额达</w:t>
      </w:r>
      <w:r>
        <w:rPr>
          <w:lang w:eastAsia="zh-CN"/>
        </w:rPr>
        <w:t>1357</w:t>
      </w:r>
      <w:r>
        <w:rPr>
          <w:lang w:eastAsia="zh-CN"/>
        </w:rPr>
        <w:t>亿美元，首付款较</w:t>
      </w:r>
      <w:r>
        <w:rPr>
          <w:lang w:eastAsia="zh-CN"/>
        </w:rPr>
        <w:t>2024</w:t>
      </w:r>
      <w:r>
        <w:rPr>
          <w:lang w:eastAsia="zh-CN"/>
        </w:rPr>
        <w:t>年实现翻倍增长，显示全球竞争力提升；</w:t>
      </w:r>
      <w:r>
        <w:rPr>
          <w:lang w:eastAsia="zh-CN"/>
        </w:rPr>
        <w:t>2025</w:t>
      </w:r>
      <w:r>
        <w:rPr>
          <w:lang w:eastAsia="zh-CN"/>
        </w:rPr>
        <w:t>年新药上市申请数量同比增加超</w:t>
      </w:r>
      <w:r>
        <w:rPr>
          <w:lang w:eastAsia="zh-CN"/>
        </w:rPr>
        <w:t>20%</w:t>
      </w:r>
      <w:r>
        <w:rPr>
          <w:lang w:eastAsia="zh-CN"/>
        </w:rPr>
        <w:t>，审结药品注册申请</w:t>
      </w:r>
      <w:r>
        <w:rPr>
          <w:lang w:eastAsia="zh-CN"/>
        </w:rPr>
        <w:t>19375</w:t>
      </w:r>
      <w:r>
        <w:rPr>
          <w:lang w:eastAsia="zh-CN"/>
        </w:rPr>
        <w:t>件创历史新高，创新活力持续释放。产业层面，</w:t>
      </w:r>
      <w:r>
        <w:rPr>
          <w:lang w:eastAsia="zh-CN"/>
        </w:rPr>
        <w:lastRenderedPageBreak/>
        <w:t>中国创新药从</w:t>
      </w:r>
      <w:r>
        <w:rPr>
          <w:lang w:eastAsia="zh-CN"/>
        </w:rPr>
        <w:t>"</w:t>
      </w:r>
      <w:r>
        <w:rPr>
          <w:lang w:eastAsia="zh-CN"/>
        </w:rPr>
        <w:t>引进模仿</w:t>
      </w:r>
      <w:r>
        <w:rPr>
          <w:lang w:eastAsia="zh-CN"/>
        </w:rPr>
        <w:t>"</w:t>
      </w:r>
      <w:r>
        <w:rPr>
          <w:lang w:eastAsia="zh-CN"/>
        </w:rPr>
        <w:t>转向</w:t>
      </w:r>
      <w:r>
        <w:rPr>
          <w:lang w:eastAsia="zh-CN"/>
        </w:rPr>
        <w:t>"</w:t>
      </w:r>
      <w:r>
        <w:rPr>
          <w:lang w:eastAsia="zh-CN"/>
        </w:rPr>
        <w:t>创新输出</w:t>
      </w:r>
      <w:r>
        <w:rPr>
          <w:lang w:eastAsia="zh-CN"/>
        </w:rPr>
        <w:t>"</w:t>
      </w:r>
      <w:r>
        <w:rPr>
          <w:lang w:eastAsia="zh-CN"/>
        </w:rPr>
        <w:t>，</w:t>
      </w:r>
      <w:r>
        <w:rPr>
          <w:lang w:eastAsia="zh-CN"/>
        </w:rPr>
        <w:t>2026</w:t>
      </w:r>
      <w:r>
        <w:rPr>
          <w:lang w:eastAsia="zh-CN"/>
        </w:rPr>
        <w:t>年前三个月对外授权交易总额突破</w:t>
      </w:r>
      <w:r>
        <w:rPr>
          <w:lang w:eastAsia="zh-CN"/>
        </w:rPr>
        <w:t>600</w:t>
      </w:r>
      <w:r>
        <w:rPr>
          <w:lang w:eastAsia="zh-CN"/>
        </w:rPr>
        <w:t>亿美元，接近</w:t>
      </w:r>
      <w:r>
        <w:rPr>
          <w:lang w:eastAsia="zh-CN"/>
        </w:rPr>
        <w:t>2025</w:t>
      </w:r>
      <w:r>
        <w:rPr>
          <w:lang w:eastAsia="zh-CN"/>
        </w:rPr>
        <w:t>年全年一半，国产创新</w:t>
      </w:r>
      <w:proofErr w:type="gramStart"/>
      <w:r>
        <w:rPr>
          <w:lang w:eastAsia="zh-CN"/>
        </w:rPr>
        <w:t>药获批占</w:t>
      </w:r>
      <w:proofErr w:type="gramEnd"/>
      <w:r>
        <w:rPr>
          <w:lang w:eastAsia="zh-CN"/>
        </w:rPr>
        <w:t>比达</w:t>
      </w:r>
      <w:r>
        <w:rPr>
          <w:lang w:eastAsia="zh-CN"/>
        </w:rPr>
        <w:t>80%</w:t>
      </w:r>
      <w:r>
        <w:rPr>
          <w:lang w:eastAsia="zh-CN"/>
        </w:rPr>
        <w:t>；行业经历调整后估值较</w:t>
      </w:r>
      <w:r>
        <w:rPr>
          <w:lang w:eastAsia="zh-CN"/>
        </w:rPr>
        <w:t>2025</w:t>
      </w:r>
      <w:r>
        <w:rPr>
          <w:lang w:eastAsia="zh-CN"/>
        </w:rPr>
        <w:t>年高</w:t>
      </w:r>
      <w:r>
        <w:rPr>
          <w:lang w:eastAsia="zh-CN"/>
        </w:rPr>
        <w:t>位明显降低，资金近</w:t>
      </w:r>
      <w:r>
        <w:rPr>
          <w:lang w:eastAsia="zh-CN"/>
        </w:rPr>
        <w:t>20</w:t>
      </w:r>
      <w:r>
        <w:rPr>
          <w:lang w:eastAsia="zh-CN"/>
        </w:rPr>
        <w:t>日净申购额达</w:t>
      </w:r>
      <w:r>
        <w:rPr>
          <w:lang w:eastAsia="zh-CN"/>
        </w:rPr>
        <w:t>1.67</w:t>
      </w:r>
      <w:r>
        <w:rPr>
          <w:lang w:eastAsia="zh-CN"/>
        </w:rPr>
        <w:t>亿元。技术层面，</w:t>
      </w:r>
      <w:r>
        <w:rPr>
          <w:lang w:eastAsia="zh-CN"/>
        </w:rPr>
        <w:t>AI</w:t>
      </w:r>
      <w:r>
        <w:rPr>
          <w:lang w:eastAsia="zh-CN"/>
        </w:rPr>
        <w:t>制药将药物发现周期从数年压缩至数周，跨国</w:t>
      </w:r>
      <w:proofErr w:type="gramStart"/>
      <w:r>
        <w:rPr>
          <w:lang w:eastAsia="zh-CN"/>
        </w:rPr>
        <w:t>药企全面</w:t>
      </w:r>
      <w:proofErr w:type="gramEnd"/>
      <w:r>
        <w:rPr>
          <w:lang w:eastAsia="zh-CN"/>
        </w:rPr>
        <w:t>拥抱</w:t>
      </w:r>
      <w:r>
        <w:rPr>
          <w:lang w:eastAsia="zh-CN"/>
        </w:rPr>
        <w:t>AI</w:t>
      </w:r>
      <w:r>
        <w:rPr>
          <w:lang w:eastAsia="zh-CN"/>
        </w:rPr>
        <w:t>技术，行业研发效率迎来系统性提升。政策层面，</w:t>
      </w:r>
      <w:proofErr w:type="gramStart"/>
      <w:r>
        <w:rPr>
          <w:lang w:eastAsia="zh-CN"/>
        </w:rPr>
        <w:t>医</w:t>
      </w:r>
      <w:proofErr w:type="gramEnd"/>
      <w:r>
        <w:rPr>
          <w:lang w:eastAsia="zh-CN"/>
        </w:rPr>
        <w:t>保目录调整明确未获</w:t>
      </w:r>
      <w:proofErr w:type="gramStart"/>
      <w:r>
        <w:rPr>
          <w:lang w:eastAsia="zh-CN"/>
        </w:rPr>
        <w:t>批创新药完成</w:t>
      </w:r>
      <w:proofErr w:type="gramEnd"/>
      <w:r>
        <w:rPr>
          <w:lang w:eastAsia="zh-CN"/>
        </w:rPr>
        <w:t>技术审评后可预申报，独家创新药实施</w:t>
      </w:r>
      <w:r>
        <w:rPr>
          <w:lang w:eastAsia="zh-CN"/>
        </w:rPr>
        <w:t>8</w:t>
      </w:r>
      <w:r>
        <w:rPr>
          <w:lang w:eastAsia="zh-CN"/>
        </w:rPr>
        <w:t>年价格保护期，商保与</w:t>
      </w:r>
      <w:proofErr w:type="gramStart"/>
      <w:r>
        <w:rPr>
          <w:lang w:eastAsia="zh-CN"/>
        </w:rPr>
        <w:t>医</w:t>
      </w:r>
      <w:proofErr w:type="gramEnd"/>
      <w:r>
        <w:rPr>
          <w:lang w:eastAsia="zh-CN"/>
        </w:rPr>
        <w:t>保目录衔接强化，直接改善创新药现金流预期。</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r>
              <w:rPr>
                <w:rFonts w:ascii="楷体" w:eastAsia="楷体" w:hAnsi="楷体"/>
              </w:rPr>
              <w:t>医药</w:t>
            </w:r>
            <w:r>
              <w:rPr>
                <w:rFonts w:ascii="楷体" w:eastAsia="楷体" w:hAnsi="楷体"/>
              </w:rPr>
              <w:t>ETF</w:t>
            </w:r>
            <w:r>
              <w:rPr>
                <w:rFonts w:ascii="楷体" w:eastAsia="楷体" w:hAnsi="楷体"/>
              </w:rPr>
              <w:t>华安</w:t>
            </w:r>
            <w:r>
              <w:rPr>
                <w:rFonts w:ascii="楷体" w:eastAsia="楷体" w:hAnsi="楷体"/>
              </w:rPr>
              <w:t>(512120.SH)</w:t>
            </w:r>
          </w:p>
        </w:tc>
        <w:tc>
          <w:tcPr>
            <w:tcW w:w="4323" w:type="dxa"/>
          </w:tcPr>
          <w:p w:rsidR="000A353C" w:rsidRDefault="00C45820">
            <w:pPr>
              <w:rPr>
                <w:lang w:eastAsia="zh-CN"/>
              </w:rPr>
            </w:pPr>
            <w:r>
              <w:rPr>
                <w:rFonts w:ascii="楷体" w:eastAsia="楷体" w:hAnsi="楷体"/>
                <w:lang w:eastAsia="zh-CN"/>
              </w:rPr>
              <w:t>生物医药</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(159508.SZ)</w:t>
            </w:r>
          </w:p>
        </w:tc>
      </w:tr>
      <w:tr w:rsidR="000A353C">
        <w:trPr>
          <w:jc w:val="center"/>
        </w:trPr>
        <w:tc>
          <w:tcPr>
            <w:tcW w:w="4323" w:type="dxa"/>
          </w:tcPr>
          <w:p w:rsidR="000A353C" w:rsidRDefault="00C45820">
            <w:proofErr w:type="spellStart"/>
            <w:r>
              <w:rPr>
                <w:rFonts w:ascii="楷体" w:eastAsia="楷体" w:hAnsi="楷体"/>
              </w:rPr>
              <w:t>港股通生物科技</w:t>
            </w:r>
            <w:r>
              <w:rPr>
                <w:rFonts w:ascii="楷体" w:eastAsia="楷体" w:hAnsi="楷体"/>
              </w:rPr>
              <w:t>ETF</w:t>
            </w:r>
            <w:r>
              <w:rPr>
                <w:rFonts w:ascii="楷体" w:eastAsia="楷体" w:hAnsi="楷体"/>
              </w:rPr>
              <w:t>华安</w:t>
            </w:r>
            <w:proofErr w:type="spellEnd"/>
            <w:r>
              <w:rPr>
                <w:rFonts w:ascii="楷体" w:eastAsia="楷体" w:hAnsi="楷体"/>
              </w:rPr>
              <w:t>(159102</w:t>
            </w:r>
            <w:r>
              <w:rPr>
                <w:rFonts w:ascii="楷体" w:eastAsia="楷体" w:hAnsi="楷体"/>
              </w:rPr>
              <w:t>.SZ)</w:t>
            </w:r>
          </w:p>
        </w:tc>
        <w:tc>
          <w:tcPr>
            <w:tcW w:w="4323" w:type="dxa"/>
          </w:tcPr>
          <w:p w:rsidR="000A353C" w:rsidRDefault="000A353C"/>
        </w:tc>
      </w:tr>
    </w:tbl>
    <w:p w:rsidR="000A353C" w:rsidRDefault="000A353C">
      <w:pPr>
        <w:spacing w:after="0" w:line="240" w:lineRule="auto"/>
      </w:pPr>
    </w:p>
    <w:p w:rsidR="000A353C" w:rsidRDefault="00C45820">
      <w:r>
        <w:br w:type="page"/>
      </w:r>
    </w:p>
    <w:p w:rsidR="000A353C" w:rsidRDefault="00C45820">
      <w:pPr>
        <w:pStyle w:val="Head"/>
      </w:pPr>
      <w:r>
        <w:lastRenderedPageBreak/>
        <w:t xml:space="preserve">■ </w:t>
      </w:r>
      <w:r>
        <w:t>海外市场</w:t>
      </w:r>
    </w:p>
    <w:p w:rsidR="000A353C" w:rsidRDefault="00C45820">
      <w:pPr>
        <w:pStyle w:val="Para"/>
        <w:rPr>
          <w:lang w:eastAsia="zh-CN"/>
        </w:rPr>
      </w:pPr>
      <w:r>
        <w:rPr>
          <w:lang w:eastAsia="zh-CN"/>
        </w:rPr>
        <w:t>本周海外权益方面，全球市场表现分化，港股市场下跌，亚洲市场普遍下跌，美股市场上涨，欧洲市场普遍上涨。</w:t>
      </w:r>
    </w:p>
    <w:p w:rsidR="000A353C" w:rsidRDefault="00C45820">
      <w:pPr>
        <w:pStyle w:val="Cap"/>
        <w:rPr>
          <w:lang w:eastAsia="zh-CN"/>
        </w:rPr>
      </w:pPr>
      <w:r>
        <w:rPr>
          <w:lang w:eastAsia="zh-CN"/>
        </w:rPr>
        <w:t>表</w:t>
      </w:r>
      <w:proofErr w:type="gramStart"/>
      <w:r>
        <w:rPr>
          <w:lang w:eastAsia="zh-CN"/>
        </w:rPr>
        <w:t>一</w:t>
      </w:r>
      <w:proofErr w:type="gramEnd"/>
      <w:r>
        <w:rPr>
          <w:lang w:eastAsia="zh-CN"/>
        </w:rPr>
        <w:t>：全球主要市场地区指数周内涨跌幅</w:t>
      </w:r>
    </w:p>
    <w:tbl>
      <w:tblPr>
        <w:tblStyle w:val="aff1"/>
        <w:tblW w:w="0" w:type="auto"/>
        <w:jc w:val="center"/>
        <w:tblLook w:val="04A0" w:firstRow="1" w:lastRow="0" w:firstColumn="1" w:lastColumn="0" w:noHBand="0" w:noVBand="1"/>
      </w:tblPr>
      <w:tblGrid>
        <w:gridCol w:w="2882"/>
        <w:gridCol w:w="2882"/>
        <w:gridCol w:w="2882"/>
      </w:tblGrid>
      <w:tr w:rsidR="000A353C">
        <w:trPr>
          <w:jc w:val="center"/>
        </w:trPr>
        <w:tc>
          <w:tcPr>
            <w:tcW w:w="2882" w:type="dxa"/>
          </w:tcPr>
          <w:p w:rsidR="000A353C" w:rsidRDefault="00C45820">
            <w:proofErr w:type="spellStart"/>
            <w:r>
              <w:rPr>
                <w:rFonts w:ascii="楷体" w:eastAsia="楷体" w:hAnsi="楷体"/>
                <w:b/>
              </w:rPr>
              <w:t>指数名称</w:t>
            </w:r>
            <w:proofErr w:type="spellEnd"/>
          </w:p>
        </w:tc>
        <w:tc>
          <w:tcPr>
            <w:tcW w:w="2882" w:type="dxa"/>
          </w:tcPr>
          <w:p w:rsidR="000A353C" w:rsidRDefault="00C45820">
            <w:r>
              <w:rPr>
                <w:rFonts w:ascii="楷体" w:eastAsia="楷体" w:hAnsi="楷体"/>
                <w:b/>
              </w:rPr>
              <w:t>指数代码</w:t>
            </w:r>
          </w:p>
        </w:tc>
        <w:tc>
          <w:tcPr>
            <w:tcW w:w="2882" w:type="dxa"/>
          </w:tcPr>
          <w:p w:rsidR="000A353C" w:rsidRDefault="00C45820">
            <w:r>
              <w:rPr>
                <w:rFonts w:ascii="楷体" w:eastAsia="楷体" w:hAnsi="楷体"/>
                <w:b/>
              </w:rPr>
              <w:t>周内涨跌幅</w:t>
            </w:r>
          </w:p>
        </w:tc>
      </w:tr>
      <w:tr w:rsidR="000A353C">
        <w:trPr>
          <w:jc w:val="center"/>
        </w:trPr>
        <w:tc>
          <w:tcPr>
            <w:tcW w:w="2882" w:type="dxa"/>
          </w:tcPr>
          <w:p w:rsidR="000A353C" w:rsidRDefault="00C45820">
            <w:r>
              <w:rPr>
                <w:rFonts w:ascii="楷体" w:eastAsia="楷体" w:hAnsi="楷体"/>
              </w:rPr>
              <w:t>恒生指数</w:t>
            </w:r>
          </w:p>
        </w:tc>
        <w:tc>
          <w:tcPr>
            <w:tcW w:w="2882" w:type="dxa"/>
          </w:tcPr>
          <w:p w:rsidR="000A353C" w:rsidRDefault="00C45820">
            <w:r>
              <w:rPr>
                <w:rFonts w:ascii="楷体" w:eastAsia="楷体" w:hAnsi="楷体"/>
              </w:rPr>
              <w:t>HSI</w:t>
            </w:r>
          </w:p>
        </w:tc>
        <w:tc>
          <w:tcPr>
            <w:tcW w:w="2882" w:type="dxa"/>
          </w:tcPr>
          <w:p w:rsidR="000A353C" w:rsidRDefault="00C45820">
            <w:r>
              <w:rPr>
                <w:rFonts w:ascii="楷体" w:eastAsia="楷体" w:hAnsi="楷体"/>
              </w:rPr>
              <w:t>-1.63%</w:t>
            </w:r>
          </w:p>
        </w:tc>
      </w:tr>
      <w:tr w:rsidR="000A353C">
        <w:trPr>
          <w:jc w:val="center"/>
        </w:trPr>
        <w:tc>
          <w:tcPr>
            <w:tcW w:w="2882" w:type="dxa"/>
          </w:tcPr>
          <w:p w:rsidR="000A353C" w:rsidRDefault="00C45820">
            <w:r>
              <w:rPr>
                <w:rFonts w:ascii="楷体" w:eastAsia="楷体" w:hAnsi="楷体"/>
              </w:rPr>
              <w:t>恒生科技</w:t>
            </w:r>
          </w:p>
        </w:tc>
        <w:tc>
          <w:tcPr>
            <w:tcW w:w="2882" w:type="dxa"/>
          </w:tcPr>
          <w:p w:rsidR="000A353C" w:rsidRDefault="00C45820">
            <w:r>
              <w:rPr>
                <w:rFonts w:ascii="楷体" w:eastAsia="楷体" w:hAnsi="楷体"/>
              </w:rPr>
              <w:t>HSTECH</w:t>
            </w:r>
          </w:p>
        </w:tc>
        <w:tc>
          <w:tcPr>
            <w:tcW w:w="2882" w:type="dxa"/>
          </w:tcPr>
          <w:p w:rsidR="000A353C" w:rsidRDefault="00C45820">
            <w:r>
              <w:rPr>
                <w:rFonts w:ascii="楷体" w:eastAsia="楷体" w:hAnsi="楷体"/>
              </w:rPr>
              <w:t>-3.17%</w:t>
            </w:r>
          </w:p>
        </w:tc>
      </w:tr>
      <w:tr w:rsidR="000A353C">
        <w:trPr>
          <w:jc w:val="center"/>
        </w:trPr>
        <w:tc>
          <w:tcPr>
            <w:tcW w:w="2882" w:type="dxa"/>
          </w:tcPr>
          <w:p w:rsidR="000A353C" w:rsidRDefault="00C45820">
            <w:pPr>
              <w:rPr>
                <w:lang w:eastAsia="zh-CN"/>
              </w:rPr>
            </w:pPr>
            <w:r>
              <w:rPr>
                <w:rFonts w:ascii="楷体" w:eastAsia="楷体" w:hAnsi="楷体"/>
                <w:lang w:eastAsia="zh-CN"/>
              </w:rPr>
              <w:t>恒生港股通</w:t>
            </w:r>
            <w:proofErr w:type="gramStart"/>
            <w:r>
              <w:rPr>
                <w:rFonts w:ascii="楷体" w:eastAsia="楷体" w:hAnsi="楷体"/>
                <w:lang w:eastAsia="zh-CN"/>
              </w:rPr>
              <w:t>中国央企红利</w:t>
            </w:r>
            <w:proofErr w:type="gramEnd"/>
          </w:p>
        </w:tc>
        <w:tc>
          <w:tcPr>
            <w:tcW w:w="2882" w:type="dxa"/>
          </w:tcPr>
          <w:p w:rsidR="000A353C" w:rsidRDefault="00C45820">
            <w:r>
              <w:rPr>
                <w:rFonts w:ascii="楷体" w:eastAsia="楷体" w:hAnsi="楷体"/>
              </w:rPr>
              <w:t>HSSCSOY</w:t>
            </w:r>
          </w:p>
        </w:tc>
        <w:tc>
          <w:tcPr>
            <w:tcW w:w="2882" w:type="dxa"/>
          </w:tcPr>
          <w:p w:rsidR="000A353C" w:rsidRDefault="00C45820">
            <w:r>
              <w:rPr>
                <w:rFonts w:ascii="楷体" w:eastAsia="楷体" w:hAnsi="楷体"/>
              </w:rPr>
              <w:t>-1.82%</w:t>
            </w:r>
          </w:p>
        </w:tc>
      </w:tr>
      <w:tr w:rsidR="000A353C">
        <w:trPr>
          <w:jc w:val="center"/>
        </w:trPr>
        <w:tc>
          <w:tcPr>
            <w:tcW w:w="2882" w:type="dxa"/>
          </w:tcPr>
          <w:p w:rsidR="000A353C" w:rsidRDefault="00C45820">
            <w:r>
              <w:rPr>
                <w:rFonts w:ascii="楷体" w:eastAsia="楷体" w:hAnsi="楷体"/>
              </w:rPr>
              <w:t>纳斯达克</w:t>
            </w:r>
            <w:r>
              <w:rPr>
                <w:rFonts w:ascii="楷体" w:eastAsia="楷体" w:hAnsi="楷体"/>
              </w:rPr>
              <w:t>100</w:t>
            </w:r>
          </w:p>
        </w:tc>
        <w:tc>
          <w:tcPr>
            <w:tcW w:w="2882" w:type="dxa"/>
          </w:tcPr>
          <w:p w:rsidR="000A353C" w:rsidRDefault="00C45820">
            <w:r>
              <w:rPr>
                <w:rFonts w:ascii="楷体" w:eastAsia="楷体" w:hAnsi="楷体"/>
              </w:rPr>
              <w:t>NDX</w:t>
            </w:r>
          </w:p>
        </w:tc>
        <w:tc>
          <w:tcPr>
            <w:tcW w:w="2882" w:type="dxa"/>
          </w:tcPr>
          <w:p w:rsidR="000A353C" w:rsidRDefault="00C45820">
            <w:r>
              <w:rPr>
                <w:rFonts w:ascii="楷体" w:eastAsia="楷体" w:hAnsi="楷体"/>
              </w:rPr>
              <w:t>1.18%</w:t>
            </w:r>
          </w:p>
        </w:tc>
      </w:tr>
      <w:tr w:rsidR="000A353C">
        <w:trPr>
          <w:jc w:val="center"/>
        </w:trPr>
        <w:tc>
          <w:tcPr>
            <w:tcW w:w="2882" w:type="dxa"/>
          </w:tcPr>
          <w:p w:rsidR="000A353C" w:rsidRDefault="00C45820">
            <w:r>
              <w:rPr>
                <w:rFonts w:ascii="楷体" w:eastAsia="楷体" w:hAnsi="楷体"/>
              </w:rPr>
              <w:t>标普</w:t>
            </w:r>
            <w:r>
              <w:rPr>
                <w:rFonts w:ascii="楷体" w:eastAsia="楷体" w:hAnsi="楷体"/>
              </w:rPr>
              <w:t>500</w:t>
            </w:r>
          </w:p>
        </w:tc>
        <w:tc>
          <w:tcPr>
            <w:tcW w:w="2882" w:type="dxa"/>
          </w:tcPr>
          <w:p w:rsidR="000A353C" w:rsidRDefault="00C45820">
            <w:r>
              <w:rPr>
                <w:rFonts w:ascii="楷体" w:eastAsia="楷体" w:hAnsi="楷体"/>
              </w:rPr>
              <w:t>SPX</w:t>
            </w:r>
          </w:p>
        </w:tc>
        <w:tc>
          <w:tcPr>
            <w:tcW w:w="2882" w:type="dxa"/>
          </w:tcPr>
          <w:p w:rsidR="000A353C" w:rsidRDefault="00C45820">
            <w:r>
              <w:rPr>
                <w:rFonts w:ascii="楷体" w:eastAsia="楷体" w:hAnsi="楷体"/>
              </w:rPr>
              <w:t>1.38%</w:t>
            </w:r>
          </w:p>
        </w:tc>
      </w:tr>
      <w:tr w:rsidR="000A353C">
        <w:trPr>
          <w:jc w:val="center"/>
        </w:trPr>
        <w:tc>
          <w:tcPr>
            <w:tcW w:w="2882" w:type="dxa"/>
          </w:tcPr>
          <w:p w:rsidR="000A353C" w:rsidRDefault="00C45820">
            <w:r>
              <w:rPr>
                <w:rFonts w:ascii="楷体" w:eastAsia="楷体" w:hAnsi="楷体"/>
              </w:rPr>
              <w:t>道琼斯工业指数</w:t>
            </w:r>
          </w:p>
        </w:tc>
        <w:tc>
          <w:tcPr>
            <w:tcW w:w="2882" w:type="dxa"/>
          </w:tcPr>
          <w:p w:rsidR="000A353C" w:rsidRDefault="00C45820">
            <w:r>
              <w:rPr>
                <w:rFonts w:ascii="楷体" w:eastAsia="楷体" w:hAnsi="楷体"/>
              </w:rPr>
              <w:t>DJI</w:t>
            </w:r>
          </w:p>
        </w:tc>
        <w:tc>
          <w:tcPr>
            <w:tcW w:w="2882" w:type="dxa"/>
          </w:tcPr>
          <w:p w:rsidR="000A353C" w:rsidRDefault="00C45820">
            <w:r>
              <w:rPr>
                <w:rFonts w:ascii="楷体" w:eastAsia="楷体" w:hAnsi="楷体"/>
              </w:rPr>
              <w:t>0.92%</w:t>
            </w:r>
          </w:p>
        </w:tc>
      </w:tr>
      <w:tr w:rsidR="000A353C">
        <w:trPr>
          <w:jc w:val="center"/>
        </w:trPr>
        <w:tc>
          <w:tcPr>
            <w:tcW w:w="2882" w:type="dxa"/>
          </w:tcPr>
          <w:p w:rsidR="000A353C" w:rsidRDefault="00C45820">
            <w:r>
              <w:rPr>
                <w:rFonts w:ascii="楷体" w:eastAsia="楷体" w:hAnsi="楷体"/>
              </w:rPr>
              <w:t>德国</w:t>
            </w:r>
            <w:r>
              <w:rPr>
                <w:rFonts w:ascii="楷体" w:eastAsia="楷体" w:hAnsi="楷体"/>
              </w:rPr>
              <w:t>DAX</w:t>
            </w:r>
          </w:p>
        </w:tc>
        <w:tc>
          <w:tcPr>
            <w:tcW w:w="2882" w:type="dxa"/>
          </w:tcPr>
          <w:p w:rsidR="000A353C" w:rsidRDefault="00C45820">
            <w:r>
              <w:rPr>
                <w:rFonts w:ascii="楷体" w:eastAsia="楷体" w:hAnsi="楷体"/>
              </w:rPr>
              <w:t>GDAXI</w:t>
            </w:r>
          </w:p>
        </w:tc>
        <w:tc>
          <w:tcPr>
            <w:tcW w:w="2882" w:type="dxa"/>
          </w:tcPr>
          <w:p w:rsidR="000A353C" w:rsidRDefault="00C45820">
            <w:r>
              <w:rPr>
                <w:rFonts w:ascii="楷体" w:eastAsia="楷体" w:hAnsi="楷体"/>
              </w:rPr>
              <w:t>0.48%</w:t>
            </w:r>
          </w:p>
        </w:tc>
      </w:tr>
      <w:tr w:rsidR="000A353C">
        <w:trPr>
          <w:jc w:val="center"/>
        </w:trPr>
        <w:tc>
          <w:tcPr>
            <w:tcW w:w="2882" w:type="dxa"/>
          </w:tcPr>
          <w:p w:rsidR="000A353C" w:rsidRDefault="00C45820">
            <w:r>
              <w:rPr>
                <w:rFonts w:ascii="楷体" w:eastAsia="楷体" w:hAnsi="楷体"/>
              </w:rPr>
              <w:t>法国</w:t>
            </w:r>
            <w:r>
              <w:rPr>
                <w:rFonts w:ascii="楷体" w:eastAsia="楷体" w:hAnsi="楷体"/>
              </w:rPr>
              <w:t>CAC40</w:t>
            </w:r>
          </w:p>
        </w:tc>
        <w:tc>
          <w:tcPr>
            <w:tcW w:w="2882" w:type="dxa"/>
          </w:tcPr>
          <w:p w:rsidR="000A353C" w:rsidRDefault="00C45820">
            <w:r>
              <w:rPr>
                <w:rFonts w:ascii="楷体" w:eastAsia="楷体" w:hAnsi="楷体"/>
              </w:rPr>
              <w:t>FCHI</w:t>
            </w:r>
          </w:p>
        </w:tc>
        <w:tc>
          <w:tcPr>
            <w:tcW w:w="2882" w:type="dxa"/>
          </w:tcPr>
          <w:p w:rsidR="000A353C" w:rsidRDefault="00C45820">
            <w:r>
              <w:rPr>
                <w:rFonts w:ascii="楷体" w:eastAsia="楷体" w:hAnsi="楷体"/>
              </w:rPr>
              <w:t>-0.37%</w:t>
            </w:r>
          </w:p>
        </w:tc>
      </w:tr>
      <w:tr w:rsidR="000A353C">
        <w:trPr>
          <w:jc w:val="center"/>
        </w:trPr>
        <w:tc>
          <w:tcPr>
            <w:tcW w:w="2882" w:type="dxa"/>
          </w:tcPr>
          <w:p w:rsidR="000A353C" w:rsidRDefault="00C45820">
            <w:r>
              <w:rPr>
                <w:rFonts w:ascii="楷体" w:eastAsia="楷体" w:hAnsi="楷体"/>
              </w:rPr>
              <w:t>英国富时</w:t>
            </w:r>
            <w:r>
              <w:rPr>
                <w:rFonts w:ascii="楷体" w:eastAsia="楷体" w:hAnsi="楷体"/>
              </w:rPr>
              <w:t>100</w:t>
            </w:r>
          </w:p>
        </w:tc>
        <w:tc>
          <w:tcPr>
            <w:tcW w:w="2882" w:type="dxa"/>
          </w:tcPr>
          <w:p w:rsidR="000A353C" w:rsidRDefault="00C45820">
            <w:r>
              <w:rPr>
                <w:rFonts w:ascii="楷体" w:eastAsia="楷体" w:hAnsi="楷体"/>
              </w:rPr>
              <w:t>FTSE</w:t>
            </w:r>
          </w:p>
        </w:tc>
        <w:tc>
          <w:tcPr>
            <w:tcW w:w="2882" w:type="dxa"/>
          </w:tcPr>
          <w:p w:rsidR="000A353C" w:rsidRDefault="00C45820">
            <w:r>
              <w:rPr>
                <w:rFonts w:ascii="楷体" w:eastAsia="楷体" w:hAnsi="楷体"/>
              </w:rPr>
              <w:t>1.37%</w:t>
            </w:r>
          </w:p>
        </w:tc>
      </w:tr>
      <w:tr w:rsidR="000A353C">
        <w:trPr>
          <w:jc w:val="center"/>
        </w:trPr>
        <w:tc>
          <w:tcPr>
            <w:tcW w:w="2882" w:type="dxa"/>
          </w:tcPr>
          <w:p w:rsidR="000A353C" w:rsidRDefault="00C45820">
            <w:r>
              <w:rPr>
                <w:rFonts w:ascii="楷体" w:eastAsia="楷体" w:hAnsi="楷体"/>
              </w:rPr>
              <w:t>日经</w:t>
            </w:r>
            <w:r>
              <w:rPr>
                <w:rFonts w:ascii="楷体" w:eastAsia="楷体" w:hAnsi="楷体"/>
              </w:rPr>
              <w:t>225</w:t>
            </w:r>
          </w:p>
        </w:tc>
        <w:tc>
          <w:tcPr>
            <w:tcW w:w="2882" w:type="dxa"/>
          </w:tcPr>
          <w:p w:rsidR="000A353C" w:rsidRDefault="00C45820">
            <w:r>
              <w:rPr>
                <w:rFonts w:ascii="楷体" w:eastAsia="楷体" w:hAnsi="楷体"/>
              </w:rPr>
              <w:t>N225</w:t>
            </w:r>
          </w:p>
        </w:tc>
        <w:tc>
          <w:tcPr>
            <w:tcW w:w="2882" w:type="dxa"/>
          </w:tcPr>
          <w:p w:rsidR="000A353C" w:rsidRDefault="00C45820">
            <w:r>
              <w:rPr>
                <w:rFonts w:ascii="楷体" w:eastAsia="楷体" w:hAnsi="楷体"/>
              </w:rPr>
              <w:t>-2.08%</w:t>
            </w:r>
          </w:p>
        </w:tc>
      </w:tr>
      <w:tr w:rsidR="000A353C">
        <w:trPr>
          <w:jc w:val="center"/>
        </w:trPr>
        <w:tc>
          <w:tcPr>
            <w:tcW w:w="2882" w:type="dxa"/>
          </w:tcPr>
          <w:p w:rsidR="000A353C" w:rsidRDefault="00C45820">
            <w:r>
              <w:rPr>
                <w:rFonts w:ascii="楷体" w:eastAsia="楷体" w:hAnsi="楷体"/>
              </w:rPr>
              <w:t>韩国综合指数</w:t>
            </w:r>
          </w:p>
        </w:tc>
        <w:tc>
          <w:tcPr>
            <w:tcW w:w="2882" w:type="dxa"/>
          </w:tcPr>
          <w:p w:rsidR="000A353C" w:rsidRDefault="00C45820">
            <w:r>
              <w:rPr>
                <w:rFonts w:ascii="楷体" w:eastAsia="楷体" w:hAnsi="楷体"/>
              </w:rPr>
              <w:t>KS11</w:t>
            </w:r>
          </w:p>
        </w:tc>
        <w:tc>
          <w:tcPr>
            <w:tcW w:w="2882" w:type="dxa"/>
          </w:tcPr>
          <w:p w:rsidR="000A353C" w:rsidRDefault="00C45820">
            <w:r>
              <w:rPr>
                <w:rFonts w:ascii="楷体" w:eastAsia="楷体" w:hAnsi="楷体"/>
              </w:rPr>
              <w:t>-0.06%</w:t>
            </w:r>
          </w:p>
        </w:tc>
      </w:tr>
      <w:tr w:rsidR="000A353C">
        <w:trPr>
          <w:jc w:val="center"/>
        </w:trPr>
        <w:tc>
          <w:tcPr>
            <w:tcW w:w="2882" w:type="dxa"/>
          </w:tcPr>
          <w:p w:rsidR="000A353C" w:rsidRDefault="00C45820">
            <w:r>
              <w:rPr>
                <w:rFonts w:ascii="楷体" w:eastAsia="楷体" w:hAnsi="楷体"/>
              </w:rPr>
              <w:t>印度</w:t>
            </w:r>
            <w:r>
              <w:rPr>
                <w:rFonts w:ascii="楷体" w:eastAsia="楷体" w:hAnsi="楷体"/>
              </w:rPr>
              <w:t>Sensex30</w:t>
            </w:r>
          </w:p>
        </w:tc>
        <w:tc>
          <w:tcPr>
            <w:tcW w:w="2882" w:type="dxa"/>
          </w:tcPr>
          <w:p w:rsidR="000A353C" w:rsidRDefault="00C45820">
            <w:r>
              <w:rPr>
                <w:rFonts w:ascii="楷体" w:eastAsia="楷体" w:hAnsi="楷体"/>
              </w:rPr>
              <w:t>SENSEX</w:t>
            </w:r>
          </w:p>
        </w:tc>
        <w:tc>
          <w:tcPr>
            <w:tcW w:w="2882" w:type="dxa"/>
          </w:tcPr>
          <w:p w:rsidR="000A353C" w:rsidRDefault="00C45820">
            <w:r>
              <w:rPr>
                <w:rFonts w:ascii="楷体" w:eastAsia="楷体" w:hAnsi="楷体"/>
              </w:rPr>
              <w:t>-2.50%</w:t>
            </w:r>
          </w:p>
        </w:tc>
      </w:tr>
    </w:tbl>
    <w:p w:rsidR="000A353C" w:rsidRDefault="00C45820">
      <w:pPr>
        <w:pStyle w:val="Source"/>
        <w:rPr>
          <w:lang w:eastAsia="zh-CN"/>
        </w:rPr>
      </w:pPr>
      <w:r>
        <w:rPr>
          <w:lang w:eastAsia="zh-CN"/>
        </w:rPr>
        <w:t>数据来源：</w:t>
      </w:r>
      <w:r>
        <w:rPr>
          <w:lang w:eastAsia="zh-CN"/>
        </w:rPr>
        <w:t>Wind</w:t>
      </w:r>
      <w:r>
        <w:rPr>
          <w:lang w:eastAsia="zh-CN"/>
        </w:rPr>
        <w:t>，华安基金，截至</w:t>
      </w:r>
      <w:r>
        <w:rPr>
          <w:lang w:eastAsia="zh-CN"/>
        </w:rPr>
        <w:t>2026-05-15</w:t>
      </w:r>
    </w:p>
    <w:p w:rsidR="000A353C" w:rsidRDefault="000A353C">
      <w:pPr>
        <w:spacing w:after="0" w:line="240" w:lineRule="auto"/>
        <w:rPr>
          <w:lang w:eastAsia="zh-CN"/>
        </w:rPr>
      </w:pPr>
    </w:p>
    <w:p w:rsidR="000A353C" w:rsidRDefault="00C45820">
      <w:pPr>
        <w:pStyle w:val="Para"/>
        <w:rPr>
          <w:lang w:eastAsia="zh-CN"/>
        </w:rPr>
      </w:pPr>
      <w:r>
        <w:rPr>
          <w:lang w:eastAsia="zh-CN"/>
        </w:rPr>
        <w:t>本周港股科技板块表现震荡分化，恒生科技指数整体波动中有所回升。半导体板块持续领涨，芯片股多次大幅上扬；互联网科技股经历下挫后逐步企稳；生物医药领域</w:t>
      </w:r>
      <w:proofErr w:type="gramStart"/>
      <w:r>
        <w:rPr>
          <w:lang w:eastAsia="zh-CN"/>
        </w:rPr>
        <w:t>受创新药产业</w:t>
      </w:r>
      <w:proofErr w:type="gramEnd"/>
      <w:r>
        <w:rPr>
          <w:lang w:eastAsia="zh-CN"/>
        </w:rPr>
        <w:t>会议催化及药价机制优化推动，获得阶段性关注。港股上市科技企业方面，大模型板块显著走高，创新药方向在政策支持下展现中长期配置价值；此外，南向资金</w:t>
      </w:r>
      <w:proofErr w:type="gramStart"/>
      <w:r>
        <w:rPr>
          <w:lang w:eastAsia="zh-CN"/>
        </w:rPr>
        <w:t>年内净买入超</w:t>
      </w:r>
      <w:proofErr w:type="gramEnd"/>
      <w:r>
        <w:rPr>
          <w:lang w:eastAsia="zh-CN"/>
        </w:rPr>
        <w:t>1500</w:t>
      </w:r>
      <w:r>
        <w:rPr>
          <w:lang w:eastAsia="zh-CN"/>
        </w:rPr>
        <w:t>亿港元，部分科技企业股价出现显著上涨。整体来看，影响港股科技的因素包括估值处于历史相对低位、流动性改善如降息预期存在、政策利好深化人工智能发展及</w:t>
      </w:r>
      <w:r>
        <w:rPr>
          <w:lang w:eastAsia="zh-CN"/>
        </w:rPr>
        <w:t>AI</w:t>
      </w:r>
      <w:r>
        <w:rPr>
          <w:lang w:eastAsia="zh-CN"/>
        </w:rPr>
        <w:t>商业化加速落地，其中招商证券指出板块相对估值</w:t>
      </w:r>
      <w:r>
        <w:rPr>
          <w:lang w:eastAsia="zh-CN"/>
        </w:rPr>
        <w:t>已降至历史较低水平。</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r>
              <w:rPr>
                <w:rFonts w:ascii="楷体" w:eastAsia="楷体" w:hAnsi="楷体"/>
              </w:rPr>
              <w:t>恒生科技</w:t>
            </w:r>
            <w:r>
              <w:rPr>
                <w:rFonts w:ascii="楷体" w:eastAsia="楷体" w:hAnsi="楷体"/>
              </w:rPr>
              <w:t>ETF</w:t>
            </w:r>
            <w:r>
              <w:rPr>
                <w:rFonts w:ascii="楷体" w:eastAsia="楷体" w:hAnsi="楷体"/>
              </w:rPr>
              <w:t>华安</w:t>
            </w:r>
            <w:r>
              <w:rPr>
                <w:rFonts w:ascii="楷体" w:eastAsia="楷体" w:hAnsi="楷体"/>
              </w:rPr>
              <w:t>(513580.SH)</w:t>
            </w:r>
          </w:p>
        </w:tc>
        <w:tc>
          <w:tcPr>
            <w:tcW w:w="4323" w:type="dxa"/>
          </w:tcPr>
          <w:p w:rsidR="000A353C" w:rsidRDefault="00C45820">
            <w:pPr>
              <w:rPr>
                <w:lang w:eastAsia="zh-CN"/>
              </w:rPr>
            </w:pPr>
            <w:r>
              <w:rPr>
                <w:rFonts w:ascii="楷体" w:eastAsia="楷体" w:hAnsi="楷体"/>
                <w:lang w:eastAsia="zh-CN"/>
              </w:rPr>
              <w:t>恒生互联网</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(159688.SZ)</w:t>
            </w:r>
          </w:p>
        </w:tc>
      </w:tr>
      <w:tr w:rsidR="000A353C">
        <w:trPr>
          <w:jc w:val="center"/>
        </w:trPr>
        <w:tc>
          <w:tcPr>
            <w:tcW w:w="4323" w:type="dxa"/>
          </w:tcPr>
          <w:p w:rsidR="000A353C" w:rsidRDefault="00C45820">
            <w:proofErr w:type="spellStart"/>
            <w:r>
              <w:rPr>
                <w:rFonts w:ascii="楷体" w:eastAsia="楷体" w:hAnsi="楷体"/>
              </w:rPr>
              <w:t>港股通恒生科技</w:t>
            </w:r>
            <w:r>
              <w:rPr>
                <w:rFonts w:ascii="楷体" w:eastAsia="楷体" w:hAnsi="楷体"/>
              </w:rPr>
              <w:t>ETF</w:t>
            </w:r>
            <w:r>
              <w:rPr>
                <w:rFonts w:ascii="楷体" w:eastAsia="楷体" w:hAnsi="楷体"/>
              </w:rPr>
              <w:t>华安</w:t>
            </w:r>
            <w:proofErr w:type="spellEnd"/>
            <w:r>
              <w:rPr>
                <w:rFonts w:ascii="楷体" w:eastAsia="楷体" w:hAnsi="楷体"/>
              </w:rPr>
              <w:t>(520840.SH)</w:t>
            </w:r>
          </w:p>
        </w:tc>
        <w:tc>
          <w:tcPr>
            <w:tcW w:w="4323" w:type="dxa"/>
          </w:tcPr>
          <w:p w:rsidR="000A353C" w:rsidRDefault="00C45820">
            <w:r>
              <w:rPr>
                <w:rFonts w:ascii="楷体" w:eastAsia="楷体" w:hAnsi="楷体"/>
              </w:rPr>
              <w:t>港股通恒生</w:t>
            </w:r>
            <w:r>
              <w:rPr>
                <w:rFonts w:ascii="楷体" w:eastAsia="楷体" w:hAnsi="楷体"/>
              </w:rPr>
              <w:t>ETF</w:t>
            </w:r>
            <w:r>
              <w:rPr>
                <w:rFonts w:ascii="楷体" w:eastAsia="楷体" w:hAnsi="楷体"/>
              </w:rPr>
              <w:t>华安</w:t>
            </w:r>
            <w:r>
              <w:rPr>
                <w:rFonts w:ascii="楷体" w:eastAsia="楷体" w:hAnsi="楷体"/>
              </w:rPr>
              <w:t>(520940.SH)</w:t>
            </w:r>
          </w:p>
        </w:tc>
      </w:tr>
      <w:tr w:rsidR="000A353C">
        <w:trPr>
          <w:jc w:val="center"/>
        </w:trPr>
        <w:tc>
          <w:tcPr>
            <w:tcW w:w="4323" w:type="dxa"/>
          </w:tcPr>
          <w:p w:rsidR="000A353C" w:rsidRDefault="00C45820">
            <w:r>
              <w:rPr>
                <w:rFonts w:ascii="楷体" w:eastAsia="楷体" w:hAnsi="楷体"/>
              </w:rPr>
              <w:t>港股通</w:t>
            </w:r>
            <w:r>
              <w:rPr>
                <w:rFonts w:ascii="楷体" w:eastAsia="楷体" w:hAnsi="楷体"/>
              </w:rPr>
              <w:t>100ETF</w:t>
            </w:r>
            <w:r>
              <w:rPr>
                <w:rFonts w:ascii="楷体" w:eastAsia="楷体" w:hAnsi="楷体"/>
              </w:rPr>
              <w:t>华安</w:t>
            </w:r>
            <w:r>
              <w:rPr>
                <w:rFonts w:ascii="楷体" w:eastAsia="楷体" w:hAnsi="楷体"/>
              </w:rPr>
              <w:t>(513900.SH)</w:t>
            </w:r>
          </w:p>
        </w:tc>
        <w:tc>
          <w:tcPr>
            <w:tcW w:w="4323" w:type="dxa"/>
          </w:tcPr>
          <w:p w:rsidR="000A353C" w:rsidRDefault="00C45820">
            <w:pPr>
              <w:rPr>
                <w:lang w:eastAsia="zh-CN"/>
              </w:rPr>
            </w:pPr>
            <w:r>
              <w:rPr>
                <w:rFonts w:ascii="楷体" w:eastAsia="楷体" w:hAnsi="楷体"/>
                <w:lang w:eastAsia="zh-CN"/>
              </w:rPr>
              <w:t>沪港深科技</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(517360.SH)</w:t>
            </w:r>
          </w:p>
        </w:tc>
      </w:tr>
    </w:tbl>
    <w:p w:rsidR="000A353C" w:rsidRDefault="000A353C">
      <w:pPr>
        <w:spacing w:after="0" w:line="240" w:lineRule="auto"/>
        <w:rPr>
          <w:lang w:eastAsia="zh-CN"/>
        </w:rPr>
      </w:pPr>
    </w:p>
    <w:p w:rsidR="000A353C" w:rsidRDefault="00C45820">
      <w:pPr>
        <w:pStyle w:val="Para"/>
        <w:rPr>
          <w:lang w:eastAsia="zh-CN"/>
        </w:rPr>
      </w:pPr>
      <w:proofErr w:type="gramStart"/>
      <w:r>
        <w:rPr>
          <w:lang w:eastAsia="zh-CN"/>
        </w:rPr>
        <w:t>港股央企红利</w:t>
      </w:r>
      <w:proofErr w:type="gramEnd"/>
      <w:r>
        <w:rPr>
          <w:lang w:eastAsia="zh-CN"/>
        </w:rPr>
        <w:t>板块近期表现整体上涨趋势明显，有色金属板块权重约</w:t>
      </w:r>
      <w:r>
        <w:rPr>
          <w:lang w:eastAsia="zh-CN"/>
        </w:rPr>
        <w:t>3%</w:t>
      </w:r>
      <w:r>
        <w:rPr>
          <w:lang w:eastAsia="zh-CN"/>
        </w:rPr>
        <w:t>，资源品和公用事业行业如石油石化权重约</w:t>
      </w:r>
      <w:r>
        <w:rPr>
          <w:lang w:eastAsia="zh-CN"/>
        </w:rPr>
        <w:t>30%</w:t>
      </w:r>
      <w:r>
        <w:rPr>
          <w:lang w:eastAsia="zh-CN"/>
        </w:rPr>
        <w:t>、煤炭</w:t>
      </w:r>
      <w:r>
        <w:rPr>
          <w:lang w:eastAsia="zh-CN"/>
        </w:rPr>
        <w:t>13%</w:t>
      </w:r>
      <w:r>
        <w:rPr>
          <w:lang w:eastAsia="zh-CN"/>
        </w:rPr>
        <w:t>、通信</w:t>
      </w:r>
      <w:r>
        <w:rPr>
          <w:lang w:eastAsia="zh-CN"/>
        </w:rPr>
        <w:t>20%</w:t>
      </w:r>
      <w:r>
        <w:rPr>
          <w:lang w:eastAsia="zh-CN"/>
        </w:rPr>
        <w:t>、电力</w:t>
      </w:r>
      <w:r>
        <w:rPr>
          <w:lang w:eastAsia="zh-CN"/>
        </w:rPr>
        <w:t>8%</w:t>
      </w:r>
      <w:r>
        <w:rPr>
          <w:lang w:eastAsia="zh-CN"/>
        </w:rPr>
        <w:t>占据主导地位；这些行业作为国民经济的压舱石和资源战略安全的重要保障环节，央国企龙头地位稳固，经营稳健并保持稳定高分红特性，支撑了板块稳健发展；</w:t>
      </w:r>
      <w:proofErr w:type="gramStart"/>
      <w:r>
        <w:rPr>
          <w:lang w:eastAsia="zh-CN"/>
        </w:rPr>
        <w:t>港股央企红利</w:t>
      </w:r>
      <w:proofErr w:type="gramEnd"/>
      <w:r>
        <w:rPr>
          <w:lang w:eastAsia="zh-CN"/>
        </w:rPr>
        <w:t>板块受益于高分红和战略资源保障，前景持续向好。</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0A353C">
        <w:trPr>
          <w:jc w:val="center"/>
        </w:trPr>
        <w:tc>
          <w:tcPr>
            <w:tcW w:w="8646" w:type="dxa"/>
          </w:tcPr>
          <w:p w:rsidR="000A353C" w:rsidRDefault="00C45820">
            <w:proofErr w:type="spellStart"/>
            <w:r>
              <w:rPr>
                <w:rFonts w:ascii="楷体" w:eastAsia="楷体" w:hAnsi="楷体"/>
                <w:b/>
              </w:rPr>
              <w:t>相关产品</w:t>
            </w:r>
            <w:proofErr w:type="spellEnd"/>
          </w:p>
        </w:tc>
      </w:tr>
      <w:tr w:rsidR="000A353C">
        <w:trPr>
          <w:jc w:val="center"/>
        </w:trPr>
        <w:tc>
          <w:tcPr>
            <w:tcW w:w="8646" w:type="dxa"/>
          </w:tcPr>
          <w:p w:rsidR="000A353C" w:rsidRDefault="00C45820">
            <w:pPr>
              <w:rPr>
                <w:lang w:eastAsia="zh-CN"/>
              </w:rPr>
            </w:pPr>
            <w:r>
              <w:rPr>
                <w:rFonts w:ascii="楷体" w:eastAsia="楷体" w:hAnsi="楷体"/>
                <w:lang w:eastAsia="zh-CN"/>
              </w:rPr>
              <w:t>港股</w:t>
            </w:r>
            <w:proofErr w:type="gramStart"/>
            <w:r>
              <w:rPr>
                <w:rFonts w:ascii="楷体" w:eastAsia="楷体" w:hAnsi="楷体"/>
                <w:lang w:eastAsia="zh-CN"/>
              </w:rPr>
              <w:t>通央企</w:t>
            </w:r>
            <w:proofErr w:type="gramEnd"/>
            <w:r>
              <w:rPr>
                <w:rFonts w:ascii="楷体" w:eastAsia="楷体" w:hAnsi="楷体"/>
                <w:lang w:eastAsia="zh-CN"/>
              </w:rPr>
              <w:t>红利</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(513920.SH)</w:t>
            </w:r>
          </w:p>
        </w:tc>
      </w:tr>
    </w:tbl>
    <w:p w:rsidR="000A353C" w:rsidRDefault="000A353C">
      <w:pPr>
        <w:spacing w:after="0" w:line="240" w:lineRule="auto"/>
        <w:rPr>
          <w:lang w:eastAsia="zh-CN"/>
        </w:rPr>
      </w:pPr>
    </w:p>
    <w:p w:rsidR="000A353C" w:rsidRDefault="00C45820">
      <w:pPr>
        <w:pStyle w:val="Para"/>
        <w:rPr>
          <w:lang w:eastAsia="zh-CN"/>
        </w:rPr>
      </w:pPr>
      <w:r>
        <w:rPr>
          <w:lang w:eastAsia="zh-CN"/>
        </w:rPr>
        <w:t>美联储</w:t>
      </w:r>
      <w:proofErr w:type="gramStart"/>
      <w:r>
        <w:rPr>
          <w:lang w:eastAsia="zh-CN"/>
        </w:rPr>
        <w:t>褐</w:t>
      </w:r>
      <w:proofErr w:type="gramEnd"/>
      <w:r>
        <w:rPr>
          <w:lang w:eastAsia="zh-CN"/>
        </w:rPr>
        <w:t>皮书指出经济活动以轻微速度增长，伊朗战争推高能源成本，外国持有美国国债规模创纪录新高</w:t>
      </w:r>
      <w:r>
        <w:rPr>
          <w:lang w:eastAsia="zh-CN"/>
        </w:rPr>
        <w:t>9.49</w:t>
      </w:r>
      <w:proofErr w:type="gramStart"/>
      <w:r>
        <w:rPr>
          <w:lang w:eastAsia="zh-CN"/>
        </w:rPr>
        <w:t>万</w:t>
      </w:r>
      <w:r>
        <w:rPr>
          <w:lang w:eastAsia="zh-CN"/>
        </w:rPr>
        <w:t>亿</w:t>
      </w:r>
      <w:proofErr w:type="gramEnd"/>
      <w:r>
        <w:rPr>
          <w:lang w:eastAsia="zh-CN"/>
        </w:rPr>
        <w:t>美元。</w:t>
      </w:r>
      <w:proofErr w:type="gramStart"/>
      <w:r>
        <w:rPr>
          <w:lang w:eastAsia="zh-CN"/>
        </w:rPr>
        <w:t>特朗普威胁</w:t>
      </w:r>
      <w:proofErr w:type="gramEnd"/>
      <w:r>
        <w:rPr>
          <w:lang w:eastAsia="zh-CN"/>
        </w:rPr>
        <w:t>对向伊朗提供武器的国家征收</w:t>
      </w:r>
      <w:r>
        <w:rPr>
          <w:lang w:eastAsia="zh-CN"/>
        </w:rPr>
        <w:t>50%</w:t>
      </w:r>
      <w:r>
        <w:rPr>
          <w:lang w:eastAsia="zh-CN"/>
        </w:rPr>
        <w:t>关税，立即生效且无豁免。</w:t>
      </w:r>
      <w:proofErr w:type="gramStart"/>
      <w:r>
        <w:rPr>
          <w:lang w:eastAsia="zh-CN"/>
        </w:rPr>
        <w:t>特朗普</w:t>
      </w:r>
      <w:proofErr w:type="gramEnd"/>
      <w:r>
        <w:rPr>
          <w:lang w:eastAsia="zh-CN"/>
        </w:rPr>
        <w:t>推迟打击伊朗发电站五天，交易员预计到年底前美联储加息</w:t>
      </w:r>
      <w:r>
        <w:rPr>
          <w:lang w:eastAsia="zh-CN"/>
        </w:rPr>
        <w:t>20</w:t>
      </w:r>
      <w:r>
        <w:rPr>
          <w:lang w:eastAsia="zh-CN"/>
        </w:rPr>
        <w:t>个基点。特朗普计划未来两到三周内猛烈打击伊朗，多国央行减</w:t>
      </w:r>
      <w:proofErr w:type="gramStart"/>
      <w:r>
        <w:rPr>
          <w:lang w:eastAsia="zh-CN"/>
        </w:rPr>
        <w:t>持美债至</w:t>
      </w:r>
      <w:proofErr w:type="gramEnd"/>
      <w:r>
        <w:rPr>
          <w:lang w:eastAsia="zh-CN"/>
        </w:rPr>
        <w:t>2.7</w:t>
      </w:r>
      <w:proofErr w:type="gramStart"/>
      <w:r>
        <w:rPr>
          <w:lang w:eastAsia="zh-CN"/>
        </w:rPr>
        <w:t>万亿</w:t>
      </w:r>
      <w:proofErr w:type="gramEnd"/>
      <w:r>
        <w:rPr>
          <w:lang w:eastAsia="zh-CN"/>
        </w:rPr>
        <w:t>美元，为</w:t>
      </w:r>
      <w:r>
        <w:rPr>
          <w:lang w:eastAsia="zh-CN"/>
        </w:rPr>
        <w:t>2012</w:t>
      </w:r>
      <w:r>
        <w:rPr>
          <w:lang w:eastAsia="zh-CN"/>
        </w:rPr>
        <w:t>年以来最低。特朗普考虑封锁哈尔克岛施压伊朗重新开放霍尔木兹海峡，国际能源署警告恢复海湾石油输送可能需要六个月。后续需关注美伊冲突升级风险、美联储利率决策及全球石油供应波动。</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0A353C">
        <w:trPr>
          <w:jc w:val="center"/>
        </w:trPr>
        <w:tc>
          <w:tcPr>
            <w:tcW w:w="8646" w:type="dxa"/>
          </w:tcPr>
          <w:p w:rsidR="000A353C" w:rsidRDefault="00C45820">
            <w:proofErr w:type="spellStart"/>
            <w:r>
              <w:rPr>
                <w:rFonts w:ascii="楷体" w:eastAsia="楷体" w:hAnsi="楷体"/>
                <w:b/>
              </w:rPr>
              <w:t>相关产品</w:t>
            </w:r>
            <w:proofErr w:type="spellEnd"/>
          </w:p>
        </w:tc>
      </w:tr>
      <w:tr w:rsidR="000A353C">
        <w:trPr>
          <w:jc w:val="center"/>
        </w:trPr>
        <w:tc>
          <w:tcPr>
            <w:tcW w:w="8646" w:type="dxa"/>
          </w:tcPr>
          <w:p w:rsidR="000A353C" w:rsidRDefault="00C45820">
            <w:pPr>
              <w:rPr>
                <w:lang w:eastAsia="zh-CN"/>
              </w:rPr>
            </w:pPr>
            <w:r>
              <w:rPr>
                <w:rFonts w:ascii="楷体" w:eastAsia="楷体" w:hAnsi="楷体"/>
                <w:lang w:eastAsia="zh-CN"/>
              </w:rPr>
              <w:t>纳斯达克</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(159632.SZ)</w:t>
            </w:r>
          </w:p>
        </w:tc>
      </w:tr>
    </w:tbl>
    <w:p w:rsidR="000A353C" w:rsidRDefault="000A353C">
      <w:pPr>
        <w:spacing w:after="0" w:line="240" w:lineRule="auto"/>
        <w:rPr>
          <w:lang w:eastAsia="zh-CN"/>
        </w:rPr>
      </w:pPr>
    </w:p>
    <w:p w:rsidR="000A353C" w:rsidRDefault="00C45820">
      <w:pPr>
        <w:pStyle w:val="Para"/>
        <w:rPr>
          <w:lang w:eastAsia="zh-CN"/>
        </w:rPr>
      </w:pPr>
      <w:r>
        <w:rPr>
          <w:lang w:eastAsia="zh-CN"/>
        </w:rPr>
        <w:t>欧洲主要股市近期表现波动，部分交易日开盘集体上涨，但</w:t>
      </w:r>
      <w:r>
        <w:rPr>
          <w:lang w:eastAsia="zh-CN"/>
        </w:rPr>
        <w:t>随后收盘普遍下跌趋势明显。欧洲央行计划公布利率决议，行长拉加德将召开新闻发布会讨论政策动向。德国总理将与欧洲央行行长共同发表讲话，聚焦经济前景。货币市场对欧洲央行未来加息的概率显示减弱迹象。部分交易日市场出现大幅下跌，反映出整体风险情绪。后续需关注欧洲央行政策调整和德法经济指标变化。</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r>
              <w:rPr>
                <w:rFonts w:ascii="楷体" w:eastAsia="楷体" w:hAnsi="楷体"/>
              </w:rPr>
              <w:t>德国</w:t>
            </w:r>
            <w:r>
              <w:rPr>
                <w:rFonts w:ascii="楷体" w:eastAsia="楷体" w:hAnsi="楷体"/>
              </w:rPr>
              <w:t>ETF</w:t>
            </w:r>
            <w:r>
              <w:rPr>
                <w:rFonts w:ascii="楷体" w:eastAsia="楷体" w:hAnsi="楷体"/>
              </w:rPr>
              <w:t>华安</w:t>
            </w:r>
            <w:r>
              <w:rPr>
                <w:rFonts w:ascii="楷体" w:eastAsia="楷体" w:hAnsi="楷体"/>
              </w:rPr>
              <w:t>(513030.SH)</w:t>
            </w:r>
          </w:p>
        </w:tc>
        <w:tc>
          <w:tcPr>
            <w:tcW w:w="4323" w:type="dxa"/>
          </w:tcPr>
          <w:p w:rsidR="000A353C" w:rsidRDefault="00C45820">
            <w:r>
              <w:rPr>
                <w:rFonts w:ascii="楷体" w:eastAsia="楷体" w:hAnsi="楷体"/>
              </w:rPr>
              <w:t>法国</w:t>
            </w:r>
            <w:r>
              <w:rPr>
                <w:rFonts w:ascii="楷体" w:eastAsia="楷体" w:hAnsi="楷体"/>
              </w:rPr>
              <w:t>ETF</w:t>
            </w:r>
            <w:r>
              <w:rPr>
                <w:rFonts w:ascii="楷体" w:eastAsia="楷体" w:hAnsi="楷体"/>
              </w:rPr>
              <w:t>华安</w:t>
            </w:r>
            <w:r>
              <w:rPr>
                <w:rFonts w:ascii="楷体" w:eastAsia="楷体" w:hAnsi="楷体"/>
              </w:rPr>
              <w:t>(513080.SH)</w:t>
            </w:r>
          </w:p>
        </w:tc>
      </w:tr>
    </w:tbl>
    <w:p w:rsidR="000A353C" w:rsidRDefault="000A353C">
      <w:pPr>
        <w:spacing w:after="0" w:line="240" w:lineRule="auto"/>
      </w:pPr>
    </w:p>
    <w:p w:rsidR="000A353C" w:rsidRDefault="00C45820">
      <w:pPr>
        <w:pStyle w:val="Para"/>
        <w:rPr>
          <w:lang w:eastAsia="zh-CN"/>
        </w:rPr>
      </w:pPr>
      <w:r>
        <w:rPr>
          <w:lang w:eastAsia="zh-CN"/>
        </w:rPr>
        <w:t>日本央行行长植田和</w:t>
      </w:r>
      <w:proofErr w:type="gramStart"/>
      <w:r>
        <w:rPr>
          <w:lang w:eastAsia="zh-CN"/>
        </w:rPr>
        <w:t>男召开</w:t>
      </w:r>
      <w:proofErr w:type="gramEnd"/>
      <w:r>
        <w:rPr>
          <w:lang w:eastAsia="zh-CN"/>
        </w:rPr>
        <w:t>新闻发布会。</w:t>
      </w:r>
      <w:proofErr w:type="gramStart"/>
      <w:r>
        <w:rPr>
          <w:lang w:eastAsia="zh-CN"/>
        </w:rPr>
        <w:t>据财联社</w:t>
      </w:r>
      <w:proofErr w:type="gramEnd"/>
      <w:r>
        <w:rPr>
          <w:lang w:eastAsia="zh-CN"/>
        </w:rPr>
        <w:t>报道，日本</w:t>
      </w:r>
      <w:r>
        <w:rPr>
          <w:lang w:eastAsia="zh-CN"/>
        </w:rPr>
        <w:t>20</w:t>
      </w:r>
      <w:r>
        <w:rPr>
          <w:lang w:eastAsia="zh-CN"/>
        </w:rPr>
        <w:t>年期国债收益率升至</w:t>
      </w:r>
      <w:r>
        <w:rPr>
          <w:lang w:eastAsia="zh-CN"/>
        </w:rPr>
        <w:t>3.495%</w:t>
      </w:r>
      <w:r>
        <w:rPr>
          <w:lang w:eastAsia="zh-CN"/>
        </w:rPr>
        <w:t>，为</w:t>
      </w:r>
      <w:r>
        <w:rPr>
          <w:lang w:eastAsia="zh-CN"/>
        </w:rPr>
        <w:t>1997</w:t>
      </w:r>
      <w:r>
        <w:rPr>
          <w:lang w:eastAsia="zh-CN"/>
        </w:rPr>
        <w:t>年以来最高水平，超长期国债收益率继续走高。外资流出日</w:t>
      </w:r>
      <w:proofErr w:type="gramStart"/>
      <w:r>
        <w:rPr>
          <w:lang w:eastAsia="zh-CN"/>
        </w:rPr>
        <w:t>股趋势</w:t>
      </w:r>
      <w:proofErr w:type="gramEnd"/>
      <w:r>
        <w:rPr>
          <w:lang w:eastAsia="zh-CN"/>
        </w:rPr>
        <w:t>显现，至</w:t>
      </w:r>
      <w:r>
        <w:rPr>
          <w:lang w:eastAsia="zh-CN"/>
        </w:rPr>
        <w:t>3</w:t>
      </w:r>
      <w:r>
        <w:rPr>
          <w:lang w:eastAsia="zh-CN"/>
        </w:rPr>
        <w:t>月</w:t>
      </w:r>
      <w:r>
        <w:rPr>
          <w:lang w:eastAsia="zh-CN"/>
        </w:rPr>
        <w:t>20</w:t>
      </w:r>
      <w:r>
        <w:rPr>
          <w:lang w:eastAsia="zh-CN"/>
        </w:rPr>
        <w:t>日当周买进额为负值。日本投资者买进外国股票。受中东局势恶化影响，日本政府开始追加释放国家石油储备，释放量可满足国内</w:t>
      </w:r>
      <w:r>
        <w:rPr>
          <w:lang w:eastAsia="zh-CN"/>
        </w:rPr>
        <w:t>20</w:t>
      </w:r>
      <w:r>
        <w:rPr>
          <w:lang w:eastAsia="zh-CN"/>
        </w:rPr>
        <w:t>天需求。后续需关注中东局势对能源供应和市场稳定的影响。</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0A353C">
        <w:trPr>
          <w:jc w:val="center"/>
        </w:trPr>
        <w:tc>
          <w:tcPr>
            <w:tcW w:w="8646" w:type="dxa"/>
          </w:tcPr>
          <w:p w:rsidR="000A353C" w:rsidRDefault="00C45820">
            <w:proofErr w:type="spellStart"/>
            <w:r>
              <w:rPr>
                <w:rFonts w:ascii="楷体" w:eastAsia="楷体" w:hAnsi="楷体"/>
                <w:b/>
              </w:rPr>
              <w:t>相关产品</w:t>
            </w:r>
            <w:proofErr w:type="spellEnd"/>
          </w:p>
        </w:tc>
      </w:tr>
      <w:tr w:rsidR="000A353C">
        <w:trPr>
          <w:jc w:val="center"/>
        </w:trPr>
        <w:tc>
          <w:tcPr>
            <w:tcW w:w="8646" w:type="dxa"/>
          </w:tcPr>
          <w:p w:rsidR="000A353C" w:rsidRDefault="00C45820">
            <w:r>
              <w:rPr>
                <w:rFonts w:ascii="楷体" w:eastAsia="楷体" w:hAnsi="楷体"/>
              </w:rPr>
              <w:t>日经</w:t>
            </w:r>
            <w:r>
              <w:rPr>
                <w:rFonts w:ascii="楷体" w:eastAsia="楷体" w:hAnsi="楷体"/>
              </w:rPr>
              <w:t>225ETF</w:t>
            </w:r>
            <w:r>
              <w:rPr>
                <w:rFonts w:ascii="楷体" w:eastAsia="楷体" w:hAnsi="楷体"/>
              </w:rPr>
              <w:t>华安</w:t>
            </w:r>
            <w:r>
              <w:rPr>
                <w:rFonts w:ascii="楷体" w:eastAsia="楷体" w:hAnsi="楷体"/>
              </w:rPr>
              <w:t>(513880.SH)</w:t>
            </w:r>
          </w:p>
        </w:tc>
      </w:tr>
    </w:tbl>
    <w:p w:rsidR="000A353C" w:rsidRDefault="000A353C">
      <w:pPr>
        <w:spacing w:after="0" w:line="240" w:lineRule="auto"/>
      </w:pPr>
    </w:p>
    <w:p w:rsidR="000A353C" w:rsidRDefault="00C45820">
      <w:pPr>
        <w:pStyle w:val="Cap"/>
        <w:rPr>
          <w:lang w:eastAsia="zh-CN"/>
        </w:rPr>
      </w:pPr>
      <w:r>
        <w:rPr>
          <w:lang w:eastAsia="zh-CN"/>
        </w:rPr>
        <w:t>表二：周内海外主要新闻一览</w:t>
      </w:r>
    </w:p>
    <w:tbl>
      <w:tblPr>
        <w:tblStyle w:val="aff1"/>
        <w:tblW w:w="0" w:type="auto"/>
        <w:jc w:val="center"/>
        <w:tblLook w:val="04A0" w:firstRow="1" w:lastRow="0" w:firstColumn="1" w:lastColumn="0" w:noHBand="0" w:noVBand="1"/>
      </w:tblPr>
      <w:tblGrid>
        <w:gridCol w:w="1134"/>
        <w:gridCol w:w="5783"/>
        <w:gridCol w:w="1701"/>
      </w:tblGrid>
      <w:tr w:rsidR="000A353C">
        <w:trPr>
          <w:jc w:val="center"/>
        </w:trPr>
        <w:tc>
          <w:tcPr>
            <w:tcW w:w="1134" w:type="dxa"/>
          </w:tcPr>
          <w:p w:rsidR="000A353C" w:rsidRDefault="00C45820">
            <w:proofErr w:type="spellStart"/>
            <w:r>
              <w:rPr>
                <w:rFonts w:ascii="楷体" w:eastAsia="楷体" w:hAnsi="楷体"/>
                <w:b/>
              </w:rPr>
              <w:t>地区</w:t>
            </w:r>
            <w:proofErr w:type="spellEnd"/>
          </w:p>
        </w:tc>
        <w:tc>
          <w:tcPr>
            <w:tcW w:w="5783" w:type="dxa"/>
          </w:tcPr>
          <w:p w:rsidR="000A353C" w:rsidRDefault="00C45820">
            <w:r>
              <w:rPr>
                <w:rFonts w:ascii="楷体" w:eastAsia="楷体" w:hAnsi="楷体"/>
                <w:b/>
              </w:rPr>
              <w:t>周内新闻</w:t>
            </w:r>
          </w:p>
        </w:tc>
        <w:tc>
          <w:tcPr>
            <w:tcW w:w="1701" w:type="dxa"/>
          </w:tcPr>
          <w:p w:rsidR="000A353C" w:rsidRDefault="00C45820">
            <w:r>
              <w:rPr>
                <w:rFonts w:ascii="楷体" w:eastAsia="楷体" w:hAnsi="楷体"/>
                <w:b/>
              </w:rPr>
              <w:t>影响标的</w:t>
            </w:r>
          </w:p>
        </w:tc>
      </w:tr>
      <w:tr w:rsidR="000A353C">
        <w:trPr>
          <w:jc w:val="center"/>
        </w:trPr>
        <w:tc>
          <w:tcPr>
            <w:tcW w:w="1134" w:type="dxa"/>
          </w:tcPr>
          <w:p w:rsidR="000A353C" w:rsidRDefault="00C45820">
            <w:r>
              <w:rPr>
                <w:rFonts w:ascii="楷体" w:eastAsia="楷体" w:hAnsi="楷体"/>
              </w:rPr>
              <w:t>美国</w:t>
            </w:r>
          </w:p>
        </w:tc>
        <w:tc>
          <w:tcPr>
            <w:tcW w:w="5783" w:type="dxa"/>
          </w:tcPr>
          <w:p w:rsidR="000A353C" w:rsidRDefault="00C45820">
            <w:r>
              <w:rPr>
                <w:rFonts w:ascii="楷体" w:eastAsia="楷体" w:hAnsi="楷体"/>
                <w:lang w:eastAsia="zh-CN"/>
              </w:rPr>
              <w:t>美联储数据显示各国央行</w:t>
            </w:r>
            <w:proofErr w:type="gramStart"/>
            <w:r>
              <w:rPr>
                <w:rFonts w:ascii="楷体" w:eastAsia="楷体" w:hAnsi="楷体"/>
                <w:lang w:eastAsia="zh-CN"/>
              </w:rPr>
              <w:t>减持美债</w:t>
            </w:r>
            <w:proofErr w:type="gramEnd"/>
            <w:r>
              <w:rPr>
                <w:rFonts w:ascii="楷体" w:eastAsia="楷体" w:hAnsi="楷体"/>
                <w:lang w:eastAsia="zh-CN"/>
              </w:rPr>
              <w:t>，国债价值缩减</w:t>
            </w:r>
            <w:r>
              <w:rPr>
                <w:rFonts w:ascii="楷体" w:eastAsia="楷体" w:hAnsi="楷体"/>
                <w:lang w:eastAsia="zh-CN"/>
              </w:rPr>
              <w:t>820</w:t>
            </w:r>
            <w:r>
              <w:rPr>
                <w:rFonts w:ascii="楷体" w:eastAsia="楷体" w:hAnsi="楷体"/>
                <w:lang w:eastAsia="zh-CN"/>
              </w:rPr>
              <w:t>亿美元至</w:t>
            </w:r>
            <w:r>
              <w:rPr>
                <w:rFonts w:ascii="楷体" w:eastAsia="楷体" w:hAnsi="楷体"/>
                <w:lang w:eastAsia="zh-CN"/>
              </w:rPr>
              <w:t>2.7</w:t>
            </w:r>
            <w:proofErr w:type="gramStart"/>
            <w:r>
              <w:rPr>
                <w:rFonts w:ascii="楷体" w:eastAsia="楷体" w:hAnsi="楷体"/>
                <w:lang w:eastAsia="zh-CN"/>
              </w:rPr>
              <w:t>万亿</w:t>
            </w:r>
            <w:proofErr w:type="gramEnd"/>
            <w:r>
              <w:rPr>
                <w:rFonts w:ascii="楷体" w:eastAsia="楷体" w:hAnsi="楷体"/>
                <w:lang w:eastAsia="zh-CN"/>
              </w:rPr>
              <w:t>美元最低水平；同时，外国持有美国国债</w:t>
            </w:r>
            <w:r>
              <w:rPr>
                <w:rFonts w:ascii="楷体" w:eastAsia="楷体" w:hAnsi="楷体"/>
                <w:lang w:eastAsia="zh-CN"/>
              </w:rPr>
              <w:lastRenderedPageBreak/>
              <w:t>规模在</w:t>
            </w:r>
            <w:r>
              <w:rPr>
                <w:rFonts w:ascii="楷体" w:eastAsia="楷体" w:hAnsi="楷体"/>
                <w:lang w:eastAsia="zh-CN"/>
              </w:rPr>
              <w:t>2</w:t>
            </w:r>
            <w:r>
              <w:rPr>
                <w:rFonts w:ascii="楷体" w:eastAsia="楷体" w:hAnsi="楷体"/>
                <w:lang w:eastAsia="zh-CN"/>
              </w:rPr>
              <w:t>月达到纪录新高</w:t>
            </w:r>
            <w:r>
              <w:rPr>
                <w:rFonts w:ascii="楷体" w:eastAsia="楷体" w:hAnsi="楷体"/>
                <w:lang w:eastAsia="zh-CN"/>
              </w:rPr>
              <w:t>9.49</w:t>
            </w:r>
            <w:proofErr w:type="gramStart"/>
            <w:r>
              <w:rPr>
                <w:rFonts w:ascii="楷体" w:eastAsia="楷体" w:hAnsi="楷体"/>
                <w:lang w:eastAsia="zh-CN"/>
              </w:rPr>
              <w:t>万亿</w:t>
            </w:r>
            <w:proofErr w:type="gramEnd"/>
            <w:r>
              <w:rPr>
                <w:rFonts w:ascii="楷体" w:eastAsia="楷体" w:hAnsi="楷体"/>
                <w:lang w:eastAsia="zh-CN"/>
              </w:rPr>
              <w:t>美元。</w:t>
            </w:r>
            <w:proofErr w:type="spellStart"/>
            <w:r>
              <w:rPr>
                <w:rFonts w:ascii="楷体" w:eastAsia="楷体" w:hAnsi="楷体"/>
              </w:rPr>
              <w:t>美元指数上涨，美股连续四周下跌</w:t>
            </w:r>
            <w:proofErr w:type="spellEnd"/>
            <w:r>
              <w:rPr>
                <w:rFonts w:ascii="楷体" w:eastAsia="楷体" w:hAnsi="楷体"/>
              </w:rPr>
              <w:t>。</w:t>
            </w:r>
          </w:p>
        </w:tc>
        <w:tc>
          <w:tcPr>
            <w:tcW w:w="1701" w:type="dxa"/>
          </w:tcPr>
          <w:p w:rsidR="000A353C" w:rsidRDefault="00C45820">
            <w:r>
              <w:rPr>
                <w:rFonts w:ascii="楷体" w:eastAsia="楷体" w:hAnsi="楷体"/>
              </w:rPr>
              <w:lastRenderedPageBreak/>
              <w:t>美元，美债，美股</w:t>
            </w:r>
          </w:p>
        </w:tc>
      </w:tr>
      <w:tr w:rsidR="000A353C">
        <w:trPr>
          <w:jc w:val="center"/>
        </w:trPr>
        <w:tc>
          <w:tcPr>
            <w:tcW w:w="1134" w:type="dxa"/>
          </w:tcPr>
          <w:p w:rsidR="000A353C" w:rsidRDefault="00C45820">
            <w:r>
              <w:rPr>
                <w:rFonts w:ascii="楷体" w:eastAsia="楷体" w:hAnsi="楷体"/>
              </w:rPr>
              <w:lastRenderedPageBreak/>
              <w:t>欧元区</w:t>
            </w:r>
          </w:p>
        </w:tc>
        <w:tc>
          <w:tcPr>
            <w:tcW w:w="5783" w:type="dxa"/>
          </w:tcPr>
          <w:p w:rsidR="000A353C" w:rsidRDefault="00C45820">
            <w:pPr>
              <w:rPr>
                <w:lang w:eastAsia="zh-CN"/>
              </w:rPr>
            </w:pPr>
            <w:r>
              <w:rPr>
                <w:rFonts w:ascii="楷体" w:eastAsia="楷体" w:hAnsi="楷体"/>
                <w:lang w:eastAsia="zh-CN"/>
              </w:rPr>
              <w:t>德国和法国股票市场呈现下跌趋势，财联社报道中东局势升级导致国际油价大幅上涨，引发能源供应风险；俄罗斯总统特别代表警告欧盟面临能源价格急剧攀升，可能冲击经济稳定；欧盟对俄罗斯实施新一轮制裁加剧不确定性，影响整体区域金融环境。</w:t>
            </w:r>
          </w:p>
        </w:tc>
        <w:tc>
          <w:tcPr>
            <w:tcW w:w="1701" w:type="dxa"/>
          </w:tcPr>
          <w:p w:rsidR="000A353C" w:rsidRDefault="00C45820">
            <w:pPr>
              <w:rPr>
                <w:lang w:eastAsia="zh-CN"/>
              </w:rPr>
            </w:pPr>
            <w:r>
              <w:rPr>
                <w:rFonts w:ascii="楷体" w:eastAsia="楷体" w:hAnsi="楷体"/>
                <w:lang w:eastAsia="zh-CN"/>
              </w:rPr>
              <w:t>欧元，欧债，德国权益，法国权益</w:t>
            </w:r>
          </w:p>
        </w:tc>
      </w:tr>
    </w:tbl>
    <w:p w:rsidR="000A353C" w:rsidRDefault="00C45820">
      <w:pPr>
        <w:pStyle w:val="Source"/>
        <w:rPr>
          <w:lang w:eastAsia="zh-CN"/>
        </w:rPr>
      </w:pPr>
      <w:r>
        <w:rPr>
          <w:lang w:eastAsia="zh-CN"/>
        </w:rPr>
        <w:t>数据来源：</w:t>
      </w:r>
      <w:r>
        <w:rPr>
          <w:lang w:eastAsia="zh-CN"/>
        </w:rPr>
        <w:t>Wind</w:t>
      </w:r>
      <w:r>
        <w:rPr>
          <w:lang w:eastAsia="zh-CN"/>
        </w:rPr>
        <w:t>，华安基金，截至</w:t>
      </w:r>
      <w:r>
        <w:rPr>
          <w:lang w:eastAsia="zh-CN"/>
        </w:rPr>
        <w:t>2026-05-15</w:t>
      </w:r>
    </w:p>
    <w:p w:rsidR="000A353C" w:rsidRDefault="00C45820">
      <w:pPr>
        <w:rPr>
          <w:lang w:eastAsia="zh-CN"/>
        </w:rPr>
      </w:pPr>
      <w:r>
        <w:rPr>
          <w:lang w:eastAsia="zh-CN"/>
        </w:rPr>
        <w:br w:type="page"/>
      </w:r>
    </w:p>
    <w:p w:rsidR="000A353C" w:rsidRDefault="00C45820">
      <w:pPr>
        <w:pStyle w:val="Head"/>
        <w:rPr>
          <w:lang w:eastAsia="zh-CN"/>
        </w:rPr>
      </w:pPr>
      <w:r>
        <w:rPr>
          <w:lang w:eastAsia="zh-CN"/>
        </w:rPr>
        <w:lastRenderedPageBreak/>
        <w:t xml:space="preserve">■ </w:t>
      </w:r>
      <w:r>
        <w:rPr>
          <w:lang w:eastAsia="zh-CN"/>
        </w:rPr>
        <w:t>大宗商品</w:t>
      </w:r>
    </w:p>
    <w:p w:rsidR="000A353C" w:rsidRDefault="00C45820">
      <w:pPr>
        <w:pStyle w:val="Sub"/>
        <w:rPr>
          <w:lang w:eastAsia="zh-CN"/>
        </w:rPr>
      </w:pPr>
      <w:r>
        <w:rPr>
          <w:lang w:eastAsia="zh-CN"/>
        </w:rPr>
        <w:t xml:space="preserve">※※ </w:t>
      </w:r>
      <w:r>
        <w:rPr>
          <w:lang w:eastAsia="zh-CN"/>
        </w:rPr>
        <w:t>黄金</w:t>
      </w:r>
    </w:p>
    <w:p w:rsidR="000A353C" w:rsidRDefault="00C45820">
      <w:pPr>
        <w:pStyle w:val="Para"/>
        <w:rPr>
          <w:lang w:eastAsia="zh-CN"/>
        </w:rPr>
      </w:pPr>
      <w:r>
        <w:rPr>
          <w:lang w:eastAsia="zh-CN"/>
        </w:rPr>
        <w:t>截止本周，伦敦现货黄金收于</w:t>
      </w:r>
      <w:r>
        <w:rPr>
          <w:lang w:eastAsia="zh-CN"/>
        </w:rPr>
        <w:t>4649.50</w:t>
      </w:r>
      <w:r>
        <w:rPr>
          <w:lang w:eastAsia="zh-CN"/>
        </w:rPr>
        <w:t>美元</w:t>
      </w:r>
      <w:r>
        <w:rPr>
          <w:lang w:eastAsia="zh-CN"/>
        </w:rPr>
        <w:t>/</w:t>
      </w:r>
      <w:r>
        <w:rPr>
          <w:lang w:eastAsia="zh-CN"/>
        </w:rPr>
        <w:t>盎司（周环比</w:t>
      </w:r>
      <w:r>
        <w:rPr>
          <w:lang w:eastAsia="zh-CN"/>
        </w:rPr>
        <w:t>-1.36%</w:t>
      </w:r>
      <w:r>
        <w:rPr>
          <w:lang w:eastAsia="zh-CN"/>
        </w:rPr>
        <w:t>），国内</w:t>
      </w:r>
      <w:r>
        <w:rPr>
          <w:lang w:eastAsia="zh-CN"/>
        </w:rPr>
        <w:t>AU9999</w:t>
      </w:r>
      <w:r>
        <w:rPr>
          <w:lang w:eastAsia="zh-CN"/>
        </w:rPr>
        <w:t>黄金收于</w:t>
      </w:r>
      <w:r>
        <w:rPr>
          <w:lang w:eastAsia="zh-CN"/>
        </w:rPr>
        <w:t>1006.01</w:t>
      </w:r>
      <w:r>
        <w:rPr>
          <w:lang w:eastAsia="zh-CN"/>
        </w:rPr>
        <w:t>元</w:t>
      </w:r>
      <w:r>
        <w:rPr>
          <w:lang w:eastAsia="zh-CN"/>
        </w:rPr>
        <w:t>/</w:t>
      </w:r>
      <w:r>
        <w:rPr>
          <w:lang w:eastAsia="zh-CN"/>
        </w:rPr>
        <w:t>克（周环比</w:t>
      </w:r>
      <w:r>
        <w:rPr>
          <w:lang w:eastAsia="zh-CN"/>
        </w:rPr>
        <w:t>-2.86%</w:t>
      </w:r>
      <w:r>
        <w:rPr>
          <w:lang w:eastAsia="zh-CN"/>
        </w:rPr>
        <w:t>）。</w:t>
      </w:r>
    </w:p>
    <w:p w:rsidR="000A353C" w:rsidRDefault="00C45820">
      <w:pPr>
        <w:pStyle w:val="Cap"/>
        <w:rPr>
          <w:lang w:eastAsia="zh-CN"/>
        </w:rPr>
      </w:pPr>
      <w:r>
        <w:rPr>
          <w:lang w:eastAsia="zh-CN"/>
        </w:rPr>
        <w:t>图一：黄金</w:t>
      </w:r>
      <w:r>
        <w:rPr>
          <w:lang w:eastAsia="zh-CN"/>
        </w:rPr>
        <w:t>Au9999</w:t>
      </w:r>
      <w:r>
        <w:rPr>
          <w:lang w:eastAsia="zh-CN"/>
        </w:rPr>
        <w:t>和伦敦金价格</w:t>
      </w:r>
    </w:p>
    <w:p w:rsidR="000A353C" w:rsidRDefault="00C45820">
      <w:pPr>
        <w:jc w:val="center"/>
      </w:pPr>
      <w:r>
        <w:rPr>
          <w:noProof/>
          <w:lang w:eastAsia="zh-CN"/>
        </w:rPr>
        <w:drawing>
          <wp:inline distT="0" distB="0" distL="0" distR="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黄金.png"/>
                    <pic:cNvPicPr/>
                  </pic:nvPicPr>
                  <pic:blipFill>
                    <a:blip r:embed="rId9"/>
                    <a:stretch>
                      <a:fillRect/>
                    </a:stretch>
                  </pic:blipFill>
                  <pic:spPr>
                    <a:xfrm>
                      <a:off x="0" y="0"/>
                      <a:ext cx="4572000" cy="2743200"/>
                    </a:xfrm>
                    <a:prstGeom prst="rect">
                      <a:avLst/>
                    </a:prstGeom>
                  </pic:spPr>
                </pic:pic>
              </a:graphicData>
            </a:graphic>
          </wp:inline>
        </w:drawing>
      </w:r>
    </w:p>
    <w:p w:rsidR="000A353C" w:rsidRDefault="00C45820">
      <w:pPr>
        <w:pStyle w:val="Source"/>
        <w:rPr>
          <w:lang w:eastAsia="zh-CN"/>
        </w:rPr>
      </w:pPr>
      <w:r>
        <w:rPr>
          <w:lang w:eastAsia="zh-CN"/>
        </w:rPr>
        <w:t>数据来源：</w:t>
      </w:r>
      <w:r>
        <w:rPr>
          <w:lang w:eastAsia="zh-CN"/>
        </w:rPr>
        <w:t>Wind</w:t>
      </w:r>
      <w:r>
        <w:rPr>
          <w:lang w:eastAsia="zh-CN"/>
        </w:rPr>
        <w:t>，华安基金，截至</w:t>
      </w:r>
      <w:r>
        <w:rPr>
          <w:lang w:eastAsia="zh-CN"/>
        </w:rPr>
        <w:t>2026-05-15</w:t>
      </w:r>
    </w:p>
    <w:p w:rsidR="000A353C" w:rsidRDefault="00C45820">
      <w:pPr>
        <w:pStyle w:val="Para"/>
        <w:rPr>
          <w:lang w:eastAsia="zh-CN"/>
        </w:rPr>
      </w:pPr>
      <w:r>
        <w:rPr>
          <w:lang w:eastAsia="zh-CN"/>
        </w:rPr>
        <w:t>近期黄金价格受多重因素影响：美联储加息预期基本充分定价，中期维持利率不变概率较大，短期利空逐步出尽；中东冲突推升油价引发输入性通胀风险，初期市场流动性收紧导致金价调整，但滞胀特征显现后避</w:t>
      </w:r>
      <w:r>
        <w:rPr>
          <w:lang w:eastAsia="zh-CN"/>
        </w:rPr>
        <w:t>险与抗通胀属性强化。资金行为方面，央行购金行为持续支撑市场，高</w:t>
      </w:r>
      <w:proofErr w:type="gramStart"/>
      <w:r>
        <w:rPr>
          <w:lang w:eastAsia="zh-CN"/>
        </w:rPr>
        <w:t>盛预测</w:t>
      </w:r>
      <w:proofErr w:type="gramEnd"/>
      <w:r>
        <w:rPr>
          <w:lang w:eastAsia="zh-CN"/>
        </w:rPr>
        <w:t>央行购金和私人投资者</w:t>
      </w:r>
      <w:proofErr w:type="gramStart"/>
      <w:r>
        <w:rPr>
          <w:lang w:eastAsia="zh-CN"/>
        </w:rPr>
        <w:t>增持将推动</w:t>
      </w:r>
      <w:proofErr w:type="gramEnd"/>
      <w:r>
        <w:rPr>
          <w:lang w:eastAsia="zh-CN"/>
        </w:rPr>
        <w:t>2026</w:t>
      </w:r>
      <w:r>
        <w:rPr>
          <w:lang w:eastAsia="zh-CN"/>
        </w:rPr>
        <w:t>年金价升至</w:t>
      </w:r>
      <w:r>
        <w:rPr>
          <w:lang w:eastAsia="zh-CN"/>
        </w:rPr>
        <w:t>5400</w:t>
      </w:r>
      <w:r>
        <w:rPr>
          <w:lang w:eastAsia="zh-CN"/>
        </w:rPr>
        <w:t>美元，摩根士丹利维持</w:t>
      </w:r>
      <w:r>
        <w:rPr>
          <w:lang w:eastAsia="zh-CN"/>
        </w:rPr>
        <w:t>2026</w:t>
      </w:r>
      <w:r>
        <w:rPr>
          <w:lang w:eastAsia="zh-CN"/>
        </w:rPr>
        <w:t>年下半年</w:t>
      </w:r>
      <w:r>
        <w:rPr>
          <w:lang w:eastAsia="zh-CN"/>
        </w:rPr>
        <w:t>5200</w:t>
      </w:r>
      <w:r>
        <w:rPr>
          <w:lang w:eastAsia="zh-CN"/>
        </w:rPr>
        <w:t>美元预测，但</w:t>
      </w:r>
      <w:r>
        <w:rPr>
          <w:lang w:eastAsia="zh-CN"/>
        </w:rPr>
        <w:t>ETF</w:t>
      </w:r>
      <w:r>
        <w:rPr>
          <w:lang w:eastAsia="zh-CN"/>
        </w:rPr>
        <w:t>实物抛售带来阶段性压力；富国银行指出全球经济进入货币贬值周期，债务和通胀侵蚀法币价值，预计</w:t>
      </w:r>
      <w:r>
        <w:rPr>
          <w:lang w:eastAsia="zh-CN"/>
        </w:rPr>
        <w:t>2027</w:t>
      </w:r>
      <w:r>
        <w:rPr>
          <w:lang w:eastAsia="zh-CN"/>
        </w:rPr>
        <w:t>年金价或飙升至</w:t>
      </w:r>
      <w:r>
        <w:rPr>
          <w:lang w:eastAsia="zh-CN"/>
        </w:rPr>
        <w:t>8000</w:t>
      </w:r>
      <w:r>
        <w:rPr>
          <w:lang w:eastAsia="zh-CN"/>
        </w:rPr>
        <w:t>美元。短期或维持高波动，但长期</w:t>
      </w:r>
      <w:proofErr w:type="gramStart"/>
      <w:r>
        <w:rPr>
          <w:lang w:eastAsia="zh-CN"/>
        </w:rPr>
        <w:t>去美元</w:t>
      </w:r>
      <w:proofErr w:type="gramEnd"/>
      <w:r>
        <w:rPr>
          <w:lang w:eastAsia="zh-CN"/>
        </w:rPr>
        <w:t>化、储备多元化及抗通胀需求等结构性支撑稳固</w:t>
      </w:r>
      <w:r>
        <w:rPr>
          <w:lang w:eastAsia="zh-CN"/>
        </w:rPr>
        <w:t>。</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0A353C">
        <w:trPr>
          <w:jc w:val="center"/>
        </w:trPr>
        <w:tc>
          <w:tcPr>
            <w:tcW w:w="4323" w:type="dxa"/>
          </w:tcPr>
          <w:p w:rsidR="000A353C" w:rsidRDefault="00C45820">
            <w:proofErr w:type="spellStart"/>
            <w:r>
              <w:rPr>
                <w:rFonts w:ascii="楷体" w:eastAsia="楷体" w:hAnsi="楷体"/>
                <w:b/>
              </w:rPr>
              <w:t>相关产品</w:t>
            </w:r>
            <w:proofErr w:type="spellEnd"/>
          </w:p>
        </w:tc>
        <w:tc>
          <w:tcPr>
            <w:tcW w:w="4323" w:type="dxa"/>
          </w:tcPr>
          <w:p w:rsidR="000A353C" w:rsidRDefault="00C45820">
            <w:r>
              <w:rPr>
                <w:rFonts w:ascii="楷体" w:eastAsia="楷体" w:hAnsi="楷体"/>
                <w:b/>
              </w:rPr>
              <w:t>相关产品</w:t>
            </w:r>
          </w:p>
        </w:tc>
      </w:tr>
      <w:tr w:rsidR="000A353C">
        <w:trPr>
          <w:jc w:val="center"/>
        </w:trPr>
        <w:tc>
          <w:tcPr>
            <w:tcW w:w="4323" w:type="dxa"/>
          </w:tcPr>
          <w:p w:rsidR="000A353C" w:rsidRDefault="00C45820">
            <w:r>
              <w:rPr>
                <w:rFonts w:ascii="楷体" w:eastAsia="楷体" w:hAnsi="楷体"/>
              </w:rPr>
              <w:t>黄金</w:t>
            </w:r>
            <w:r>
              <w:rPr>
                <w:rFonts w:ascii="楷体" w:eastAsia="楷体" w:hAnsi="楷体"/>
              </w:rPr>
              <w:t>ETF</w:t>
            </w:r>
            <w:r>
              <w:rPr>
                <w:rFonts w:ascii="楷体" w:eastAsia="楷体" w:hAnsi="楷体"/>
              </w:rPr>
              <w:t>华安</w:t>
            </w:r>
            <w:r>
              <w:rPr>
                <w:rFonts w:ascii="楷体" w:eastAsia="楷体" w:hAnsi="楷体"/>
              </w:rPr>
              <w:t>(518880.SH)</w:t>
            </w:r>
          </w:p>
        </w:tc>
        <w:tc>
          <w:tcPr>
            <w:tcW w:w="4323" w:type="dxa"/>
          </w:tcPr>
          <w:p w:rsidR="000A353C" w:rsidRDefault="00C45820">
            <w:pPr>
              <w:rPr>
                <w:lang w:eastAsia="zh-CN"/>
              </w:rPr>
            </w:pPr>
            <w:r>
              <w:rPr>
                <w:rFonts w:ascii="楷体" w:eastAsia="楷体" w:hAnsi="楷体"/>
                <w:lang w:eastAsia="zh-CN"/>
              </w:rPr>
              <w:t>黄金股</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(159321.SZ)</w:t>
            </w:r>
          </w:p>
        </w:tc>
      </w:tr>
    </w:tbl>
    <w:p w:rsidR="000A353C" w:rsidRDefault="00C45820">
      <w:pPr>
        <w:rPr>
          <w:lang w:eastAsia="zh-CN"/>
        </w:rPr>
      </w:pPr>
      <w:r>
        <w:rPr>
          <w:lang w:eastAsia="zh-CN"/>
        </w:rPr>
        <w:br w:type="page"/>
      </w:r>
    </w:p>
    <w:p w:rsidR="000A353C" w:rsidRDefault="00C45820">
      <w:pPr>
        <w:pStyle w:val="Sub"/>
        <w:rPr>
          <w:lang w:eastAsia="zh-CN"/>
        </w:rPr>
      </w:pPr>
      <w:r>
        <w:rPr>
          <w:lang w:eastAsia="zh-CN"/>
        </w:rPr>
        <w:lastRenderedPageBreak/>
        <w:t xml:space="preserve">※※ </w:t>
      </w:r>
      <w:r>
        <w:rPr>
          <w:lang w:eastAsia="zh-CN"/>
        </w:rPr>
        <w:t>石油</w:t>
      </w:r>
    </w:p>
    <w:p w:rsidR="000A353C" w:rsidRDefault="00C45820">
      <w:pPr>
        <w:pStyle w:val="Para"/>
        <w:rPr>
          <w:lang w:eastAsia="zh-CN"/>
        </w:rPr>
      </w:pPr>
      <w:r>
        <w:rPr>
          <w:lang w:eastAsia="zh-CN"/>
        </w:rPr>
        <w:t>截至本周，布伦</w:t>
      </w:r>
      <w:proofErr w:type="gramStart"/>
      <w:r>
        <w:rPr>
          <w:lang w:eastAsia="zh-CN"/>
        </w:rPr>
        <w:t>特</w:t>
      </w:r>
      <w:proofErr w:type="gramEnd"/>
      <w:r>
        <w:rPr>
          <w:lang w:eastAsia="zh-CN"/>
        </w:rPr>
        <w:t>原油</w:t>
      </w:r>
      <w:proofErr w:type="gramStart"/>
      <w:r>
        <w:rPr>
          <w:lang w:eastAsia="zh-CN"/>
        </w:rPr>
        <w:t>期货周均价</w:t>
      </w:r>
      <w:proofErr w:type="gramEnd"/>
      <w:r>
        <w:rPr>
          <w:lang w:eastAsia="zh-CN"/>
        </w:rPr>
        <w:t>为</w:t>
      </w:r>
      <w:r>
        <w:rPr>
          <w:lang w:eastAsia="zh-CN"/>
        </w:rPr>
        <w:t>106.59</w:t>
      </w:r>
      <w:r>
        <w:rPr>
          <w:lang w:eastAsia="zh-CN"/>
        </w:rPr>
        <w:t>美元</w:t>
      </w:r>
      <w:r>
        <w:rPr>
          <w:lang w:eastAsia="zh-CN"/>
        </w:rPr>
        <w:t>/</w:t>
      </w:r>
      <w:r>
        <w:rPr>
          <w:lang w:eastAsia="zh-CN"/>
        </w:rPr>
        <w:t>桶，较上周五涨</w:t>
      </w:r>
      <w:r>
        <w:rPr>
          <w:lang w:eastAsia="zh-CN"/>
        </w:rPr>
        <w:t>6.34</w:t>
      </w:r>
      <w:r>
        <w:rPr>
          <w:lang w:eastAsia="zh-CN"/>
        </w:rPr>
        <w:t>美元</w:t>
      </w:r>
      <w:r>
        <w:rPr>
          <w:lang w:eastAsia="zh-CN"/>
        </w:rPr>
        <w:t>/</w:t>
      </w:r>
      <w:r>
        <w:rPr>
          <w:lang w:eastAsia="zh-CN"/>
        </w:rPr>
        <w:t>桶；</w:t>
      </w:r>
      <w:r>
        <w:rPr>
          <w:lang w:eastAsia="zh-CN"/>
        </w:rPr>
        <w:t>WTI</w:t>
      </w:r>
      <w:r>
        <w:rPr>
          <w:lang w:eastAsia="zh-CN"/>
        </w:rPr>
        <w:t>原油</w:t>
      </w:r>
      <w:proofErr w:type="gramStart"/>
      <w:r>
        <w:rPr>
          <w:lang w:eastAsia="zh-CN"/>
        </w:rPr>
        <w:t>期货周均价</w:t>
      </w:r>
      <w:proofErr w:type="gramEnd"/>
      <w:r>
        <w:rPr>
          <w:lang w:eastAsia="zh-CN"/>
        </w:rPr>
        <w:t>为</w:t>
      </w:r>
      <w:r>
        <w:rPr>
          <w:lang w:eastAsia="zh-CN"/>
        </w:rPr>
        <w:t>102.02</w:t>
      </w:r>
      <w:r>
        <w:rPr>
          <w:lang w:eastAsia="zh-CN"/>
        </w:rPr>
        <w:t>美元</w:t>
      </w:r>
      <w:r>
        <w:rPr>
          <w:lang w:eastAsia="zh-CN"/>
        </w:rPr>
        <w:t>/</w:t>
      </w:r>
      <w:r>
        <w:rPr>
          <w:lang w:eastAsia="zh-CN"/>
        </w:rPr>
        <w:t>桶，较上周五涨</w:t>
      </w:r>
      <w:r>
        <w:rPr>
          <w:lang w:eastAsia="zh-CN"/>
        </w:rPr>
        <w:t>7.34</w:t>
      </w:r>
      <w:r>
        <w:rPr>
          <w:lang w:eastAsia="zh-CN"/>
        </w:rPr>
        <w:t>美元</w:t>
      </w:r>
      <w:r>
        <w:rPr>
          <w:lang w:eastAsia="zh-CN"/>
        </w:rPr>
        <w:t>/</w:t>
      </w:r>
      <w:r>
        <w:rPr>
          <w:lang w:eastAsia="zh-CN"/>
        </w:rPr>
        <w:t>桶。和周初相比主要油品涨跌幅分别为：布伦</w:t>
      </w:r>
      <w:proofErr w:type="gramStart"/>
      <w:r>
        <w:rPr>
          <w:lang w:eastAsia="zh-CN"/>
        </w:rPr>
        <w:t>特</w:t>
      </w:r>
      <w:proofErr w:type="gramEnd"/>
      <w:r>
        <w:rPr>
          <w:lang w:eastAsia="zh-CN"/>
        </w:rPr>
        <w:t>原油（</w:t>
      </w:r>
      <w:r>
        <w:rPr>
          <w:lang w:eastAsia="zh-CN"/>
        </w:rPr>
        <w:t>5.23%</w:t>
      </w:r>
      <w:r>
        <w:rPr>
          <w:lang w:eastAsia="zh-CN"/>
        </w:rPr>
        <w:t>）、</w:t>
      </w:r>
      <w:r>
        <w:rPr>
          <w:lang w:eastAsia="zh-CN"/>
        </w:rPr>
        <w:t>WTI</w:t>
      </w:r>
      <w:r>
        <w:rPr>
          <w:lang w:eastAsia="zh-CN"/>
        </w:rPr>
        <w:t>原油（</w:t>
      </w:r>
      <w:r>
        <w:rPr>
          <w:lang w:eastAsia="zh-CN"/>
        </w:rPr>
        <w:t>6.92%</w:t>
      </w:r>
      <w:r>
        <w:rPr>
          <w:lang w:eastAsia="zh-CN"/>
        </w:rPr>
        <w:t>）。</w:t>
      </w:r>
    </w:p>
    <w:p w:rsidR="000A353C" w:rsidRDefault="00C45820">
      <w:pPr>
        <w:pStyle w:val="Cap"/>
        <w:rPr>
          <w:lang w:eastAsia="zh-CN"/>
        </w:rPr>
      </w:pPr>
      <w:r>
        <w:rPr>
          <w:lang w:eastAsia="zh-CN"/>
        </w:rPr>
        <w:t>图二：</w:t>
      </w:r>
      <w:r>
        <w:rPr>
          <w:lang w:eastAsia="zh-CN"/>
        </w:rPr>
        <w:t>WTI</w:t>
      </w:r>
      <w:r>
        <w:rPr>
          <w:lang w:eastAsia="zh-CN"/>
        </w:rPr>
        <w:t>原油现货价和布伦</w:t>
      </w:r>
      <w:proofErr w:type="gramStart"/>
      <w:r>
        <w:rPr>
          <w:lang w:eastAsia="zh-CN"/>
        </w:rPr>
        <w:t>特</w:t>
      </w:r>
      <w:proofErr w:type="gramEnd"/>
      <w:r>
        <w:rPr>
          <w:lang w:eastAsia="zh-CN"/>
        </w:rPr>
        <w:t>原油现货价</w:t>
      </w:r>
    </w:p>
    <w:p w:rsidR="000A353C" w:rsidRDefault="00C45820">
      <w:pPr>
        <w:jc w:val="center"/>
      </w:pPr>
      <w:r>
        <w:rPr>
          <w:noProof/>
          <w:lang w:eastAsia="zh-CN"/>
        </w:rPr>
        <w:drawing>
          <wp:inline distT="0" distB="0" distL="0" distR="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原油.png"/>
                    <pic:cNvPicPr/>
                  </pic:nvPicPr>
                  <pic:blipFill>
                    <a:blip r:embed="rId10"/>
                    <a:stretch>
                      <a:fillRect/>
                    </a:stretch>
                  </pic:blipFill>
                  <pic:spPr>
                    <a:xfrm>
                      <a:off x="0" y="0"/>
                      <a:ext cx="4572000" cy="2743200"/>
                    </a:xfrm>
                    <a:prstGeom prst="rect">
                      <a:avLst/>
                    </a:prstGeom>
                  </pic:spPr>
                </pic:pic>
              </a:graphicData>
            </a:graphic>
          </wp:inline>
        </w:drawing>
      </w:r>
    </w:p>
    <w:p w:rsidR="000A353C" w:rsidRDefault="00C45820">
      <w:pPr>
        <w:pStyle w:val="Source"/>
        <w:rPr>
          <w:lang w:eastAsia="zh-CN"/>
        </w:rPr>
      </w:pPr>
      <w:r>
        <w:rPr>
          <w:lang w:eastAsia="zh-CN"/>
        </w:rPr>
        <w:t>数据来源：</w:t>
      </w:r>
      <w:r>
        <w:rPr>
          <w:lang w:eastAsia="zh-CN"/>
        </w:rPr>
        <w:t>Wind</w:t>
      </w:r>
      <w:r>
        <w:rPr>
          <w:lang w:eastAsia="zh-CN"/>
        </w:rPr>
        <w:t>，华安基金，截至</w:t>
      </w:r>
      <w:r>
        <w:rPr>
          <w:lang w:eastAsia="zh-CN"/>
        </w:rPr>
        <w:t>2026-05-15</w:t>
      </w:r>
    </w:p>
    <w:p w:rsidR="000A353C" w:rsidRDefault="00C45820">
      <w:pPr>
        <w:pStyle w:val="Para"/>
        <w:rPr>
          <w:lang w:eastAsia="zh-CN"/>
        </w:rPr>
      </w:pPr>
      <w:r>
        <w:rPr>
          <w:lang w:eastAsia="zh-CN"/>
        </w:rPr>
        <w:t>本周原油市场呈现大幅波动上涨趋势，</w:t>
      </w:r>
      <w:r>
        <w:rPr>
          <w:lang w:eastAsia="zh-CN"/>
        </w:rPr>
        <w:t>WTI</w:t>
      </w:r>
      <w:r>
        <w:rPr>
          <w:lang w:eastAsia="zh-CN"/>
        </w:rPr>
        <w:t>原油和布伦</w:t>
      </w:r>
      <w:proofErr w:type="gramStart"/>
      <w:r>
        <w:rPr>
          <w:lang w:eastAsia="zh-CN"/>
        </w:rPr>
        <w:t>特</w:t>
      </w:r>
      <w:proofErr w:type="gramEnd"/>
      <w:r>
        <w:rPr>
          <w:lang w:eastAsia="zh-CN"/>
        </w:rPr>
        <w:t>原油价格高位震荡，布伦</w:t>
      </w:r>
      <w:proofErr w:type="gramStart"/>
      <w:r>
        <w:rPr>
          <w:lang w:eastAsia="zh-CN"/>
        </w:rPr>
        <w:t>特</w:t>
      </w:r>
      <w:proofErr w:type="gramEnd"/>
      <w:r>
        <w:rPr>
          <w:lang w:eastAsia="zh-CN"/>
        </w:rPr>
        <w:t>原油曾触及</w:t>
      </w:r>
      <w:r>
        <w:rPr>
          <w:lang w:eastAsia="zh-CN"/>
        </w:rPr>
        <w:t>112</w:t>
      </w:r>
      <w:r>
        <w:rPr>
          <w:lang w:eastAsia="zh-CN"/>
        </w:rPr>
        <w:t>美元</w:t>
      </w:r>
      <w:r>
        <w:rPr>
          <w:lang w:eastAsia="zh-CN"/>
        </w:rPr>
        <w:t>/</w:t>
      </w:r>
      <w:r>
        <w:rPr>
          <w:lang w:eastAsia="zh-CN"/>
        </w:rPr>
        <w:t>桶以上。从供给端来看，霍尔木兹海峡运输受阻可能导致全</w:t>
      </w:r>
      <w:r>
        <w:rPr>
          <w:lang w:eastAsia="zh-CN"/>
        </w:rPr>
        <w:t>球供应缺口高达</w:t>
      </w:r>
      <w:r>
        <w:rPr>
          <w:lang w:eastAsia="zh-CN"/>
        </w:rPr>
        <w:t>1500</w:t>
      </w:r>
      <w:r>
        <w:rPr>
          <w:lang w:eastAsia="zh-CN"/>
        </w:rPr>
        <w:t>万桶</w:t>
      </w:r>
      <w:r>
        <w:rPr>
          <w:lang w:eastAsia="zh-CN"/>
        </w:rPr>
        <w:t>/</w:t>
      </w:r>
      <w:r>
        <w:rPr>
          <w:lang w:eastAsia="zh-CN"/>
        </w:rPr>
        <w:t>日（</w:t>
      </w:r>
      <w:r>
        <w:rPr>
          <w:lang w:eastAsia="zh-CN"/>
        </w:rPr>
        <w:t>CNBC</w:t>
      </w:r>
      <w:r>
        <w:rPr>
          <w:lang w:eastAsia="zh-CN"/>
        </w:rPr>
        <w:t>分析），国际能源署投放</w:t>
      </w:r>
      <w:r>
        <w:rPr>
          <w:lang w:eastAsia="zh-CN"/>
        </w:rPr>
        <w:t>4</w:t>
      </w:r>
      <w:r>
        <w:rPr>
          <w:lang w:eastAsia="zh-CN"/>
        </w:rPr>
        <w:t>亿桶战略石油储备（国际能源署公报），日本考虑追加释放相当于</w:t>
      </w:r>
      <w:r>
        <w:rPr>
          <w:lang w:eastAsia="zh-CN"/>
        </w:rPr>
        <w:t>20</w:t>
      </w:r>
      <w:r>
        <w:rPr>
          <w:lang w:eastAsia="zh-CN"/>
        </w:rPr>
        <w:t>天用量的国家储备（日本媒体），中东国家如伊拉克和卡塔尔宣布减产，委内瑞拉恢复稀释原油出口。从需求端来看，全球原油需求受冲突影响显著，蒸发</w:t>
      </w:r>
      <w:r>
        <w:rPr>
          <w:lang w:eastAsia="zh-CN"/>
        </w:rPr>
        <w:t>5</w:t>
      </w:r>
      <w:r>
        <w:rPr>
          <w:lang w:eastAsia="zh-CN"/>
        </w:rPr>
        <w:t>亿桶原油相当于全球机动车停运</w:t>
      </w:r>
      <w:r>
        <w:rPr>
          <w:lang w:eastAsia="zh-CN"/>
        </w:rPr>
        <w:t>11</w:t>
      </w:r>
      <w:r>
        <w:rPr>
          <w:lang w:eastAsia="zh-CN"/>
        </w:rPr>
        <w:t>天（伍德麦肯兹分析师），巴基斯坦上调柴油和汽油价格反映需求压力，国际能源署署长表示全球石油供应仍充足但物流中断带来挑战。全球机构判断布伦</w:t>
      </w:r>
      <w:proofErr w:type="gramStart"/>
      <w:r>
        <w:rPr>
          <w:lang w:eastAsia="zh-CN"/>
        </w:rPr>
        <w:t>特</w:t>
      </w:r>
      <w:proofErr w:type="gramEnd"/>
      <w:r>
        <w:rPr>
          <w:lang w:eastAsia="zh-CN"/>
        </w:rPr>
        <w:t>原油可能试探</w:t>
      </w:r>
      <w:r>
        <w:rPr>
          <w:lang w:eastAsia="zh-CN"/>
        </w:rPr>
        <w:t>120</w:t>
      </w:r>
      <w:r>
        <w:rPr>
          <w:lang w:eastAsia="zh-CN"/>
        </w:rPr>
        <w:t>美元</w:t>
      </w:r>
      <w:r>
        <w:rPr>
          <w:lang w:eastAsia="zh-CN"/>
        </w:rPr>
        <w:t>/</w:t>
      </w:r>
      <w:r>
        <w:rPr>
          <w:lang w:eastAsia="zh-CN"/>
        </w:rPr>
        <w:t>桶（巴克莱预测），分析人士指出油价可能升至三位数水平（</w:t>
      </w:r>
      <w:r>
        <w:rPr>
          <w:lang w:eastAsia="zh-CN"/>
        </w:rPr>
        <w:t>CNBC</w:t>
      </w:r>
      <w:r>
        <w:rPr>
          <w:lang w:eastAsia="zh-CN"/>
        </w:rPr>
        <w:t>分析），国际能源</w:t>
      </w:r>
      <w:proofErr w:type="gramStart"/>
      <w:r>
        <w:rPr>
          <w:lang w:eastAsia="zh-CN"/>
        </w:rPr>
        <w:t>署称</w:t>
      </w:r>
      <w:proofErr w:type="gramEnd"/>
      <w:r>
        <w:rPr>
          <w:lang w:eastAsia="zh-CN"/>
        </w:rPr>
        <w:t>供应充足但地缘风险推高价格。全球地缘冲突包括中东局势持续紧张，霍尔木兹海峡进入事实关闭状态，以及美伊冲突升级，伊朗军方发射导弹并限制船只通行，多国部署军事力量。展望后市，原油价格预计继续宽幅震荡</w:t>
      </w:r>
      <w:r>
        <w:rPr>
          <w:lang w:eastAsia="zh-CN"/>
        </w:rPr>
        <w:t>。受供给减少如运输受阻和减产、需求端冲击以及地缘政治紧张加剧供需失衡</w:t>
      </w:r>
      <w:r>
        <w:rPr>
          <w:lang w:eastAsia="zh-CN"/>
        </w:rPr>
        <w:t>。</w:t>
      </w:r>
    </w:p>
    <w:p w:rsidR="000A353C" w:rsidRDefault="000A353C">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0A353C">
        <w:trPr>
          <w:jc w:val="center"/>
        </w:trPr>
        <w:tc>
          <w:tcPr>
            <w:tcW w:w="8646" w:type="dxa"/>
          </w:tcPr>
          <w:p w:rsidR="000A353C" w:rsidRDefault="00C45820">
            <w:proofErr w:type="spellStart"/>
            <w:r>
              <w:rPr>
                <w:rFonts w:ascii="楷体" w:eastAsia="楷体" w:hAnsi="楷体"/>
                <w:b/>
              </w:rPr>
              <w:t>相关产品</w:t>
            </w:r>
            <w:proofErr w:type="spellEnd"/>
          </w:p>
        </w:tc>
      </w:tr>
      <w:tr w:rsidR="000A353C">
        <w:trPr>
          <w:jc w:val="center"/>
        </w:trPr>
        <w:tc>
          <w:tcPr>
            <w:tcW w:w="8646" w:type="dxa"/>
          </w:tcPr>
          <w:p w:rsidR="000A353C" w:rsidRDefault="00C45820">
            <w:r>
              <w:rPr>
                <w:rFonts w:ascii="楷体" w:eastAsia="楷体" w:hAnsi="楷体"/>
              </w:rPr>
              <w:t>石油基金</w:t>
            </w:r>
            <w:r>
              <w:rPr>
                <w:rFonts w:ascii="楷体" w:eastAsia="楷体" w:hAnsi="楷体"/>
              </w:rPr>
              <w:t>LOF(160416.SZ)</w:t>
            </w:r>
          </w:p>
        </w:tc>
      </w:tr>
    </w:tbl>
    <w:p w:rsidR="000A353C" w:rsidRDefault="00C45820" w:rsidP="003F2D1A">
      <w:pPr>
        <w:pStyle w:val="Head"/>
        <w:ind w:firstLine="720"/>
      </w:pPr>
      <w:r>
        <w:lastRenderedPageBreak/>
        <w:t xml:space="preserve">■ </w:t>
      </w:r>
      <w:proofErr w:type="spellStart"/>
      <w:r>
        <w:t>下周全球投资日历</w:t>
      </w:r>
      <w:proofErr w:type="spellEnd"/>
    </w:p>
    <w:tbl>
      <w:tblPr>
        <w:tblStyle w:val="aff1"/>
        <w:tblW w:w="0" w:type="auto"/>
        <w:jc w:val="center"/>
        <w:tblLook w:val="04A0" w:firstRow="1" w:lastRow="0" w:firstColumn="1" w:lastColumn="0" w:noHBand="0" w:noVBand="1"/>
      </w:tblPr>
      <w:tblGrid>
        <w:gridCol w:w="1417"/>
        <w:gridCol w:w="1247"/>
        <w:gridCol w:w="5953"/>
      </w:tblGrid>
      <w:tr w:rsidR="000A353C">
        <w:trPr>
          <w:jc w:val="center"/>
        </w:trPr>
        <w:tc>
          <w:tcPr>
            <w:tcW w:w="1417" w:type="dxa"/>
          </w:tcPr>
          <w:p w:rsidR="000A353C" w:rsidRDefault="00C45820">
            <w:r>
              <w:rPr>
                <w:rFonts w:ascii="楷体" w:eastAsia="楷体" w:hAnsi="楷体"/>
                <w:b/>
              </w:rPr>
              <w:t>日期</w:t>
            </w:r>
          </w:p>
        </w:tc>
        <w:tc>
          <w:tcPr>
            <w:tcW w:w="1247" w:type="dxa"/>
          </w:tcPr>
          <w:p w:rsidR="000A353C" w:rsidRDefault="00C45820">
            <w:r>
              <w:rPr>
                <w:rFonts w:ascii="楷体" w:eastAsia="楷体" w:hAnsi="楷体"/>
                <w:b/>
              </w:rPr>
              <w:t>国家</w:t>
            </w:r>
            <w:r>
              <w:rPr>
                <w:rFonts w:ascii="楷体" w:eastAsia="楷体" w:hAnsi="楷体"/>
                <w:b/>
              </w:rPr>
              <w:t>/</w:t>
            </w:r>
            <w:r>
              <w:rPr>
                <w:rFonts w:ascii="楷体" w:eastAsia="楷体" w:hAnsi="楷体"/>
                <w:b/>
              </w:rPr>
              <w:t>地区</w:t>
            </w:r>
          </w:p>
        </w:tc>
        <w:tc>
          <w:tcPr>
            <w:tcW w:w="5953" w:type="dxa"/>
          </w:tcPr>
          <w:p w:rsidR="000A353C" w:rsidRDefault="00C45820">
            <w:r>
              <w:rPr>
                <w:rFonts w:ascii="楷体" w:eastAsia="楷体" w:hAnsi="楷体"/>
                <w:b/>
              </w:rPr>
              <w:t>指标名称</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月固定资产投资</w:t>
            </w:r>
            <w:r>
              <w:rPr>
                <w:rFonts w:ascii="楷体" w:eastAsia="楷体" w:hAnsi="楷体"/>
                <w:b/>
                <w:lang w:eastAsia="zh-CN"/>
              </w:rPr>
              <w:t>:</w:t>
            </w:r>
            <w:r>
              <w:rPr>
                <w:rFonts w:ascii="楷体" w:eastAsia="楷体" w:hAnsi="楷体"/>
                <w:b/>
                <w:lang w:eastAsia="zh-CN"/>
              </w:rPr>
              <w:t>累计同比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月社会消费品零售总额</w:t>
            </w:r>
            <w:r>
              <w:rPr>
                <w:rFonts w:ascii="楷体" w:eastAsia="楷体" w:hAnsi="楷体"/>
                <w:b/>
                <w:lang w:eastAsia="zh-CN"/>
              </w:rPr>
              <w:t>:</w:t>
            </w:r>
            <w:r>
              <w:rPr>
                <w:rFonts w:ascii="楷体" w:eastAsia="楷体" w:hAnsi="楷体"/>
                <w:b/>
                <w:lang w:eastAsia="zh-CN"/>
              </w:rPr>
              <w:t>当月同比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月工业增加值</w:t>
            </w:r>
            <w:r>
              <w:rPr>
                <w:rFonts w:ascii="楷体" w:eastAsia="楷体" w:hAnsi="楷体"/>
                <w:b/>
                <w:lang w:eastAsia="zh-CN"/>
              </w:rPr>
              <w:t>:</w:t>
            </w:r>
            <w:r>
              <w:rPr>
                <w:rFonts w:ascii="楷体" w:eastAsia="楷体" w:hAnsi="楷体"/>
                <w:b/>
                <w:lang w:eastAsia="zh-CN"/>
              </w:rPr>
              <w:t>当月同比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r>
              <w:rPr>
                <w:rFonts w:ascii="楷体" w:eastAsia="楷体" w:hAnsi="楷体"/>
                <w:b/>
              </w:rPr>
              <w:t>4</w:t>
            </w:r>
            <w:r>
              <w:rPr>
                <w:rFonts w:ascii="楷体" w:eastAsia="楷体" w:hAnsi="楷体"/>
                <w:b/>
              </w:rPr>
              <w:t>月城镇调查失业率</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月本地户籍人口调查失业率</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月外来户籍人口调查失业率</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月外来农业户籍人口调查失业率</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w:t>
            </w:r>
            <w:r>
              <w:rPr>
                <w:rFonts w:ascii="楷体" w:eastAsia="楷体" w:hAnsi="楷体"/>
                <w:b/>
                <w:lang w:eastAsia="zh-CN"/>
              </w:rPr>
              <w:t>31</w:t>
            </w:r>
            <w:proofErr w:type="gramStart"/>
            <w:r>
              <w:rPr>
                <w:rFonts w:ascii="楷体" w:eastAsia="楷体" w:hAnsi="楷体"/>
                <w:b/>
                <w:lang w:eastAsia="zh-CN"/>
              </w:rPr>
              <w:t>个</w:t>
            </w:r>
            <w:proofErr w:type="gramEnd"/>
            <w:r>
              <w:rPr>
                <w:rFonts w:ascii="楷体" w:eastAsia="楷体" w:hAnsi="楷体"/>
                <w:b/>
                <w:lang w:eastAsia="zh-CN"/>
              </w:rPr>
              <w:t>大城市城镇调查失业率</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月就业人员平均工作时间</w:t>
            </w:r>
            <w:r>
              <w:rPr>
                <w:rFonts w:ascii="楷体" w:eastAsia="楷体" w:hAnsi="楷体"/>
                <w:b/>
                <w:lang w:eastAsia="zh-CN"/>
              </w:rPr>
              <w:t>(</w:t>
            </w:r>
            <w:r>
              <w:rPr>
                <w:rFonts w:ascii="楷体" w:eastAsia="楷体" w:hAnsi="楷体"/>
                <w:b/>
                <w:lang w:eastAsia="zh-CN"/>
              </w:rPr>
              <w:t>小时</w:t>
            </w:r>
            <w:r>
              <w:rPr>
                <w:rFonts w:ascii="楷体" w:eastAsia="楷体" w:hAnsi="楷体"/>
                <w:b/>
                <w:lang w:eastAsia="zh-CN"/>
              </w:rPr>
              <w:t>/</w:t>
            </w:r>
            <w:r>
              <w:rPr>
                <w:rFonts w:ascii="楷体" w:eastAsia="楷体" w:hAnsi="楷体"/>
                <w:b/>
                <w:lang w:eastAsia="zh-CN"/>
              </w:rPr>
              <w:t>周</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月房屋新开工面积</w:t>
            </w:r>
            <w:r>
              <w:rPr>
                <w:rFonts w:ascii="楷体" w:eastAsia="楷体" w:hAnsi="楷体"/>
                <w:b/>
                <w:lang w:eastAsia="zh-CN"/>
              </w:rPr>
              <w:t>:</w:t>
            </w:r>
            <w:r>
              <w:rPr>
                <w:rFonts w:ascii="楷体" w:eastAsia="楷体" w:hAnsi="楷体"/>
                <w:b/>
                <w:lang w:eastAsia="zh-CN"/>
              </w:rPr>
              <w:t>累计值</w:t>
            </w:r>
            <w:r>
              <w:rPr>
                <w:rFonts w:ascii="楷体" w:eastAsia="楷体" w:hAnsi="楷体"/>
                <w:b/>
                <w:lang w:eastAsia="zh-CN"/>
              </w:rPr>
              <w:t>(</w:t>
            </w:r>
            <w:proofErr w:type="gramStart"/>
            <w:r>
              <w:rPr>
                <w:rFonts w:ascii="楷体" w:eastAsia="楷体" w:hAnsi="楷体"/>
                <w:b/>
                <w:lang w:eastAsia="zh-CN"/>
              </w:rPr>
              <w:t>万平方米</w:t>
            </w:r>
            <w:proofErr w:type="gramEnd"/>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月房屋施工面积</w:t>
            </w:r>
            <w:r>
              <w:rPr>
                <w:rFonts w:ascii="楷体" w:eastAsia="楷体" w:hAnsi="楷体"/>
                <w:b/>
                <w:lang w:eastAsia="zh-CN"/>
              </w:rPr>
              <w:t>:</w:t>
            </w:r>
            <w:r>
              <w:rPr>
                <w:rFonts w:ascii="楷体" w:eastAsia="楷体" w:hAnsi="楷体"/>
                <w:b/>
                <w:lang w:eastAsia="zh-CN"/>
              </w:rPr>
              <w:t>累计值</w:t>
            </w:r>
            <w:r>
              <w:rPr>
                <w:rFonts w:ascii="楷体" w:eastAsia="楷体" w:hAnsi="楷体"/>
                <w:b/>
                <w:lang w:eastAsia="zh-CN"/>
              </w:rPr>
              <w:t>(</w:t>
            </w:r>
            <w:proofErr w:type="gramStart"/>
            <w:r>
              <w:rPr>
                <w:rFonts w:ascii="楷体" w:eastAsia="楷体" w:hAnsi="楷体"/>
                <w:b/>
                <w:lang w:eastAsia="zh-CN"/>
              </w:rPr>
              <w:t>万平方米</w:t>
            </w:r>
            <w:proofErr w:type="gramEnd"/>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月房屋竣工面积</w:t>
            </w:r>
            <w:r>
              <w:rPr>
                <w:rFonts w:ascii="楷体" w:eastAsia="楷体" w:hAnsi="楷体"/>
                <w:b/>
                <w:lang w:eastAsia="zh-CN"/>
              </w:rPr>
              <w:t>:</w:t>
            </w:r>
            <w:r>
              <w:rPr>
                <w:rFonts w:ascii="楷体" w:eastAsia="楷体" w:hAnsi="楷体"/>
                <w:b/>
                <w:lang w:eastAsia="zh-CN"/>
              </w:rPr>
              <w:t>累计值</w:t>
            </w:r>
            <w:r>
              <w:rPr>
                <w:rFonts w:ascii="楷体" w:eastAsia="楷体" w:hAnsi="楷体"/>
                <w:b/>
                <w:lang w:eastAsia="zh-CN"/>
              </w:rPr>
              <w:t>(</w:t>
            </w:r>
            <w:proofErr w:type="gramStart"/>
            <w:r>
              <w:rPr>
                <w:rFonts w:ascii="楷体" w:eastAsia="楷体" w:hAnsi="楷体"/>
                <w:b/>
                <w:lang w:eastAsia="zh-CN"/>
              </w:rPr>
              <w:t>万平方米</w:t>
            </w:r>
            <w:proofErr w:type="gramEnd"/>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月商品房待售面积</w:t>
            </w:r>
            <w:r>
              <w:rPr>
                <w:rFonts w:ascii="楷体" w:eastAsia="楷体" w:hAnsi="楷体"/>
                <w:b/>
                <w:lang w:eastAsia="zh-CN"/>
              </w:rPr>
              <w:t>:</w:t>
            </w:r>
            <w:r>
              <w:rPr>
                <w:rFonts w:ascii="楷体" w:eastAsia="楷体" w:hAnsi="楷体"/>
                <w:b/>
                <w:lang w:eastAsia="zh-CN"/>
              </w:rPr>
              <w:t>累计值</w:t>
            </w:r>
            <w:r>
              <w:rPr>
                <w:rFonts w:ascii="楷体" w:eastAsia="楷体" w:hAnsi="楷体"/>
                <w:b/>
                <w:lang w:eastAsia="zh-CN"/>
              </w:rPr>
              <w:t>(</w:t>
            </w:r>
            <w:proofErr w:type="gramStart"/>
            <w:r>
              <w:rPr>
                <w:rFonts w:ascii="楷体" w:eastAsia="楷体" w:hAnsi="楷体"/>
                <w:b/>
                <w:lang w:eastAsia="zh-CN"/>
              </w:rPr>
              <w:t>万平方米</w:t>
            </w:r>
            <w:proofErr w:type="gramEnd"/>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2026-05-18</w:t>
            </w:r>
          </w:p>
        </w:tc>
        <w:tc>
          <w:tcPr>
            <w:tcW w:w="1247" w:type="dxa"/>
          </w:tcPr>
          <w:p w:rsidR="000A353C" w:rsidRDefault="00C45820">
            <w:r>
              <w:rPr>
                <w:rFonts w:ascii="楷体" w:eastAsia="楷体" w:hAnsi="楷体"/>
                <w:b/>
              </w:rPr>
              <w:t>中国</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月房地产开发资金来源</w:t>
            </w:r>
            <w:r>
              <w:rPr>
                <w:rFonts w:ascii="楷体" w:eastAsia="楷体" w:hAnsi="楷体"/>
                <w:b/>
                <w:lang w:eastAsia="zh-CN"/>
              </w:rPr>
              <w:t>:</w:t>
            </w:r>
            <w:r>
              <w:rPr>
                <w:rFonts w:ascii="楷体" w:eastAsia="楷体" w:hAnsi="楷体"/>
                <w:b/>
                <w:lang w:eastAsia="zh-CN"/>
              </w:rPr>
              <w:t>累计值</w:t>
            </w:r>
            <w:r>
              <w:rPr>
                <w:rFonts w:ascii="楷体" w:eastAsia="楷体" w:hAnsi="楷体"/>
                <w:b/>
                <w:lang w:eastAsia="zh-CN"/>
              </w:rPr>
              <w:t>(</w:t>
            </w:r>
            <w:r>
              <w:rPr>
                <w:rFonts w:ascii="楷体" w:eastAsia="楷体" w:hAnsi="楷体"/>
                <w:b/>
                <w:lang w:eastAsia="zh-CN"/>
              </w:rPr>
              <w:t>亿元</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日本</w:t>
            </w:r>
          </w:p>
        </w:tc>
        <w:tc>
          <w:tcPr>
            <w:tcW w:w="5953" w:type="dxa"/>
          </w:tcPr>
          <w:p w:rsidR="000A353C" w:rsidRDefault="00C45820">
            <w:pPr>
              <w:rPr>
                <w:lang w:eastAsia="zh-CN"/>
              </w:rPr>
            </w:pPr>
            <w:r>
              <w:rPr>
                <w:rFonts w:ascii="楷体" w:eastAsia="楷体" w:hAnsi="楷体"/>
                <w:b/>
                <w:lang w:eastAsia="zh-CN"/>
              </w:rPr>
              <w:t>第一季度不变价</w:t>
            </w:r>
            <w:r>
              <w:rPr>
                <w:rFonts w:ascii="楷体" w:eastAsia="楷体" w:hAnsi="楷体"/>
                <w:b/>
                <w:lang w:eastAsia="zh-CN"/>
              </w:rPr>
              <w:t>GDP:</w:t>
            </w:r>
            <w:r>
              <w:rPr>
                <w:rFonts w:ascii="楷体" w:eastAsia="楷体" w:hAnsi="楷体"/>
                <w:b/>
                <w:lang w:eastAsia="zh-CN"/>
              </w:rPr>
              <w:t>同比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日本</w:t>
            </w:r>
          </w:p>
        </w:tc>
        <w:tc>
          <w:tcPr>
            <w:tcW w:w="5953" w:type="dxa"/>
          </w:tcPr>
          <w:p w:rsidR="000A353C" w:rsidRDefault="00C45820">
            <w:pPr>
              <w:rPr>
                <w:lang w:eastAsia="zh-CN"/>
              </w:rPr>
            </w:pPr>
            <w:r>
              <w:rPr>
                <w:rFonts w:ascii="楷体" w:eastAsia="楷体" w:hAnsi="楷体"/>
                <w:b/>
                <w:lang w:eastAsia="zh-CN"/>
              </w:rPr>
              <w:t>第一季度不变价</w:t>
            </w:r>
            <w:r>
              <w:rPr>
                <w:rFonts w:ascii="楷体" w:eastAsia="楷体" w:hAnsi="楷体"/>
                <w:b/>
                <w:lang w:eastAsia="zh-CN"/>
              </w:rPr>
              <w:t>GDP:</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环比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日本</w:t>
            </w:r>
          </w:p>
        </w:tc>
        <w:tc>
          <w:tcPr>
            <w:tcW w:w="5953" w:type="dxa"/>
          </w:tcPr>
          <w:p w:rsidR="000A353C" w:rsidRDefault="00C45820">
            <w:pPr>
              <w:rPr>
                <w:lang w:eastAsia="zh-CN"/>
              </w:rPr>
            </w:pPr>
            <w:r>
              <w:rPr>
                <w:rFonts w:ascii="楷体" w:eastAsia="楷体" w:hAnsi="楷体"/>
                <w:b/>
                <w:lang w:eastAsia="zh-CN"/>
              </w:rPr>
              <w:t>第一季度现价</w:t>
            </w:r>
            <w:r>
              <w:rPr>
                <w:rFonts w:ascii="楷体" w:eastAsia="楷体" w:hAnsi="楷体"/>
                <w:b/>
                <w:lang w:eastAsia="zh-CN"/>
              </w:rPr>
              <w:t>GDP(</w:t>
            </w:r>
            <w:r>
              <w:rPr>
                <w:rFonts w:ascii="楷体" w:eastAsia="楷体" w:hAnsi="楷体"/>
                <w:b/>
                <w:lang w:eastAsia="zh-CN"/>
              </w:rPr>
              <w:t>初值</w:t>
            </w:r>
            <w:r>
              <w:rPr>
                <w:rFonts w:ascii="楷体" w:eastAsia="楷体" w:hAnsi="楷体"/>
                <w:b/>
                <w:lang w:eastAsia="zh-CN"/>
              </w:rPr>
              <w:t>)(</w:t>
            </w:r>
            <w:r>
              <w:rPr>
                <w:rFonts w:ascii="楷体" w:eastAsia="楷体" w:hAnsi="楷体"/>
                <w:b/>
                <w:lang w:eastAsia="zh-CN"/>
              </w:rPr>
              <w:t>十亿日元</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日本</w:t>
            </w:r>
          </w:p>
        </w:tc>
        <w:tc>
          <w:tcPr>
            <w:tcW w:w="5953" w:type="dxa"/>
          </w:tcPr>
          <w:p w:rsidR="000A353C" w:rsidRDefault="00C45820">
            <w:pPr>
              <w:rPr>
                <w:lang w:eastAsia="zh-CN"/>
              </w:rPr>
            </w:pPr>
            <w:r>
              <w:rPr>
                <w:rFonts w:ascii="楷体" w:eastAsia="楷体" w:hAnsi="楷体"/>
                <w:b/>
                <w:lang w:eastAsia="zh-CN"/>
              </w:rPr>
              <w:t>3</w:t>
            </w:r>
            <w:r>
              <w:rPr>
                <w:rFonts w:ascii="楷体" w:eastAsia="楷体" w:hAnsi="楷体"/>
                <w:b/>
                <w:lang w:eastAsia="zh-CN"/>
              </w:rPr>
              <w:t>月工业生产指数</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环比</w:t>
            </w:r>
            <w:r>
              <w:rPr>
                <w:rFonts w:ascii="楷体" w:eastAsia="楷体" w:hAnsi="楷体"/>
                <w:b/>
                <w:lang w:eastAsia="zh-CN"/>
              </w:rPr>
              <w:t>(</w:t>
            </w:r>
            <w:r>
              <w:rPr>
                <w:rFonts w:ascii="楷体" w:eastAsia="楷体" w:hAnsi="楷体"/>
                <w:b/>
                <w:lang w:eastAsia="zh-CN"/>
              </w:rPr>
              <w:t>修正</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3</w:t>
            </w:r>
            <w:r>
              <w:rPr>
                <w:rFonts w:ascii="楷体" w:eastAsia="楷体" w:hAnsi="楷体"/>
                <w:b/>
                <w:lang w:eastAsia="zh-CN"/>
              </w:rPr>
              <w:t>月欧盟</w:t>
            </w:r>
            <w:r>
              <w:rPr>
                <w:rFonts w:ascii="楷体" w:eastAsia="楷体" w:hAnsi="楷体"/>
                <w:b/>
                <w:lang w:eastAsia="zh-CN"/>
              </w:rPr>
              <w:t>:</w:t>
            </w:r>
            <w:r>
              <w:rPr>
                <w:rFonts w:ascii="楷体" w:eastAsia="楷体" w:hAnsi="楷体"/>
                <w:b/>
                <w:lang w:eastAsia="zh-CN"/>
              </w:rPr>
              <w:t>商品出口金额</w:t>
            </w:r>
            <w:r>
              <w:rPr>
                <w:rFonts w:ascii="楷体" w:eastAsia="楷体" w:hAnsi="楷体"/>
                <w:b/>
                <w:lang w:eastAsia="zh-CN"/>
              </w:rPr>
              <w:t>:</w:t>
            </w:r>
            <w:r>
              <w:rPr>
                <w:rFonts w:ascii="楷体" w:eastAsia="楷体" w:hAnsi="楷体"/>
                <w:b/>
                <w:lang w:eastAsia="zh-CN"/>
              </w:rPr>
              <w:t>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3</w:t>
            </w:r>
            <w:r>
              <w:rPr>
                <w:rFonts w:ascii="楷体" w:eastAsia="楷体" w:hAnsi="楷体"/>
                <w:b/>
                <w:lang w:eastAsia="zh-CN"/>
              </w:rPr>
              <w:t>月欧盟</w:t>
            </w:r>
            <w:r>
              <w:rPr>
                <w:rFonts w:ascii="楷体" w:eastAsia="楷体" w:hAnsi="楷体"/>
                <w:b/>
                <w:lang w:eastAsia="zh-CN"/>
              </w:rPr>
              <w:t>:</w:t>
            </w:r>
            <w:r>
              <w:rPr>
                <w:rFonts w:ascii="楷体" w:eastAsia="楷体" w:hAnsi="楷体"/>
                <w:b/>
                <w:lang w:eastAsia="zh-CN"/>
              </w:rPr>
              <w:t>商品进口金额</w:t>
            </w:r>
            <w:r>
              <w:rPr>
                <w:rFonts w:ascii="楷体" w:eastAsia="楷体" w:hAnsi="楷体"/>
                <w:b/>
                <w:lang w:eastAsia="zh-CN"/>
              </w:rPr>
              <w:t>:</w:t>
            </w:r>
            <w:r>
              <w:rPr>
                <w:rFonts w:ascii="楷体" w:eastAsia="楷体" w:hAnsi="楷体"/>
                <w:b/>
                <w:lang w:eastAsia="zh-CN"/>
              </w:rPr>
              <w:t>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3</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商品出口金额</w:t>
            </w:r>
            <w:r>
              <w:rPr>
                <w:rFonts w:ascii="楷体" w:eastAsia="楷体" w:hAnsi="楷体"/>
                <w:b/>
                <w:lang w:eastAsia="zh-CN"/>
              </w:rPr>
              <w:t>:</w:t>
            </w:r>
            <w:r>
              <w:rPr>
                <w:rFonts w:ascii="楷体" w:eastAsia="楷体" w:hAnsi="楷体"/>
                <w:b/>
                <w:lang w:eastAsia="zh-CN"/>
              </w:rPr>
              <w:t>当月同比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2026-05-19</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3</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商品进口金额</w:t>
            </w:r>
            <w:r>
              <w:rPr>
                <w:rFonts w:ascii="楷体" w:eastAsia="楷体" w:hAnsi="楷体"/>
                <w:b/>
                <w:lang w:eastAsia="zh-CN"/>
              </w:rPr>
              <w:t>:</w:t>
            </w:r>
            <w:r>
              <w:rPr>
                <w:rFonts w:ascii="楷体" w:eastAsia="楷体" w:hAnsi="楷体"/>
                <w:b/>
                <w:lang w:eastAsia="zh-CN"/>
              </w:rPr>
              <w:t>当月同比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r>
              <w:rPr>
                <w:rFonts w:ascii="楷体" w:eastAsia="楷体" w:hAnsi="楷体"/>
                <w:b/>
              </w:rPr>
              <w:t>4</w:t>
            </w:r>
            <w:r>
              <w:rPr>
                <w:rFonts w:ascii="楷体" w:eastAsia="楷体" w:hAnsi="楷体"/>
                <w:b/>
              </w:rPr>
              <w:t>月欧盟</w:t>
            </w:r>
            <w:r>
              <w:rPr>
                <w:rFonts w:ascii="楷体" w:eastAsia="楷体" w:hAnsi="楷体"/>
                <w:b/>
              </w:rPr>
              <w:t>:CPI:</w:t>
            </w:r>
            <w:r>
              <w:rPr>
                <w:rFonts w:ascii="楷体" w:eastAsia="楷体" w:hAnsi="楷体"/>
                <w:b/>
              </w:rPr>
              <w:t>同比</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r>
              <w:rPr>
                <w:rFonts w:ascii="楷体" w:eastAsia="楷体" w:hAnsi="楷体"/>
                <w:b/>
              </w:rPr>
              <w:t>4</w:t>
            </w:r>
            <w:r>
              <w:rPr>
                <w:rFonts w:ascii="楷体" w:eastAsia="楷体" w:hAnsi="楷体"/>
                <w:b/>
              </w:rPr>
              <w:t>月欧元区</w:t>
            </w:r>
            <w:r>
              <w:rPr>
                <w:rFonts w:ascii="楷体" w:eastAsia="楷体" w:hAnsi="楷体"/>
                <w:b/>
              </w:rPr>
              <w:t>:CPI:</w:t>
            </w:r>
            <w:r>
              <w:rPr>
                <w:rFonts w:ascii="楷体" w:eastAsia="楷体" w:hAnsi="楷体"/>
                <w:b/>
              </w:rPr>
              <w:t>环比</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r>
              <w:rPr>
                <w:rFonts w:ascii="楷体" w:eastAsia="楷体" w:hAnsi="楷体"/>
                <w:b/>
              </w:rPr>
              <w:t>4</w:t>
            </w:r>
            <w:r>
              <w:rPr>
                <w:rFonts w:ascii="楷体" w:eastAsia="楷体" w:hAnsi="楷体"/>
                <w:b/>
              </w:rPr>
              <w:t>月欧元区</w:t>
            </w:r>
            <w:r>
              <w:rPr>
                <w:rFonts w:ascii="楷体" w:eastAsia="楷体" w:hAnsi="楷体"/>
                <w:b/>
              </w:rPr>
              <w:t>:CPI:</w:t>
            </w:r>
            <w:r>
              <w:rPr>
                <w:rFonts w:ascii="楷体" w:eastAsia="楷体" w:hAnsi="楷体"/>
                <w:b/>
              </w:rPr>
              <w:t>同比</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核心</w:t>
            </w:r>
            <w:r>
              <w:rPr>
                <w:rFonts w:ascii="楷体" w:eastAsia="楷体" w:hAnsi="楷体"/>
                <w:b/>
                <w:lang w:eastAsia="zh-CN"/>
              </w:rPr>
              <w:t>CPI:</w:t>
            </w:r>
            <w:r>
              <w:rPr>
                <w:rFonts w:ascii="楷体" w:eastAsia="楷体" w:hAnsi="楷体"/>
                <w:b/>
                <w:lang w:eastAsia="zh-CN"/>
              </w:rPr>
              <w:t>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r>
              <w:rPr>
                <w:rFonts w:ascii="楷体" w:eastAsia="楷体" w:hAnsi="楷体"/>
                <w:b/>
              </w:rPr>
              <w:t>4</w:t>
            </w:r>
            <w:r>
              <w:rPr>
                <w:rFonts w:ascii="楷体" w:eastAsia="楷体" w:hAnsi="楷体"/>
                <w:b/>
              </w:rPr>
              <w:t>月欧盟</w:t>
            </w:r>
            <w:r>
              <w:rPr>
                <w:rFonts w:ascii="楷体" w:eastAsia="楷体" w:hAnsi="楷体"/>
                <w:b/>
              </w:rPr>
              <w:t>:CPI:</w:t>
            </w:r>
            <w:r>
              <w:rPr>
                <w:rFonts w:ascii="楷体" w:eastAsia="楷体" w:hAnsi="楷体"/>
                <w:b/>
              </w:rPr>
              <w:t>环比</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月欧盟</w:t>
            </w:r>
            <w:r>
              <w:rPr>
                <w:rFonts w:ascii="楷体" w:eastAsia="楷体" w:hAnsi="楷体"/>
                <w:b/>
                <w:lang w:eastAsia="zh-CN"/>
              </w:rPr>
              <w:t>:</w:t>
            </w:r>
            <w:r>
              <w:rPr>
                <w:rFonts w:ascii="楷体" w:eastAsia="楷体" w:hAnsi="楷体"/>
                <w:b/>
                <w:lang w:eastAsia="zh-CN"/>
              </w:rPr>
              <w:t>核心</w:t>
            </w:r>
            <w:r>
              <w:rPr>
                <w:rFonts w:ascii="楷体" w:eastAsia="楷体" w:hAnsi="楷体"/>
                <w:b/>
                <w:lang w:eastAsia="zh-CN"/>
              </w:rPr>
              <w:t>CPI:</w:t>
            </w:r>
            <w:r>
              <w:rPr>
                <w:rFonts w:ascii="楷体" w:eastAsia="楷体" w:hAnsi="楷体"/>
                <w:b/>
                <w:lang w:eastAsia="zh-CN"/>
              </w:rPr>
              <w:t>环比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pPr>
              <w:rPr>
                <w:lang w:eastAsia="zh-CN"/>
              </w:rPr>
            </w:pPr>
            <w:r>
              <w:rPr>
                <w:rFonts w:ascii="楷体" w:eastAsia="楷体" w:hAnsi="楷体"/>
                <w:b/>
                <w:lang w:eastAsia="zh-CN"/>
              </w:rPr>
              <w:t>4</w:t>
            </w:r>
            <w:r>
              <w:rPr>
                <w:rFonts w:ascii="楷体" w:eastAsia="楷体" w:hAnsi="楷体"/>
                <w:b/>
                <w:lang w:eastAsia="zh-CN"/>
              </w:rPr>
              <w:t>月欧盟</w:t>
            </w:r>
            <w:r>
              <w:rPr>
                <w:rFonts w:ascii="楷体" w:eastAsia="楷体" w:hAnsi="楷体"/>
                <w:b/>
                <w:lang w:eastAsia="zh-CN"/>
              </w:rPr>
              <w:t>:</w:t>
            </w:r>
            <w:r>
              <w:rPr>
                <w:rFonts w:ascii="楷体" w:eastAsia="楷体" w:hAnsi="楷体"/>
                <w:b/>
                <w:lang w:eastAsia="zh-CN"/>
              </w:rPr>
              <w:t>核心</w:t>
            </w:r>
            <w:r>
              <w:rPr>
                <w:rFonts w:ascii="楷体" w:eastAsia="楷体" w:hAnsi="楷体"/>
                <w:b/>
                <w:lang w:eastAsia="zh-CN"/>
              </w:rPr>
              <w:t>CPI:</w:t>
            </w:r>
            <w:r>
              <w:rPr>
                <w:rFonts w:ascii="楷体" w:eastAsia="楷体" w:hAnsi="楷体"/>
                <w:b/>
                <w:lang w:eastAsia="zh-CN"/>
              </w:rPr>
              <w:t>同比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2026-05-20</w:t>
            </w:r>
          </w:p>
        </w:tc>
        <w:tc>
          <w:tcPr>
            <w:tcW w:w="1247" w:type="dxa"/>
          </w:tcPr>
          <w:p w:rsidR="000A353C" w:rsidRDefault="00C45820">
            <w:r>
              <w:rPr>
                <w:rFonts w:ascii="楷体" w:eastAsia="楷体" w:hAnsi="楷体"/>
                <w:b/>
              </w:rPr>
              <w:t>欧盟</w:t>
            </w:r>
          </w:p>
        </w:tc>
        <w:tc>
          <w:tcPr>
            <w:tcW w:w="5953" w:type="dxa"/>
          </w:tcPr>
          <w:p w:rsidR="000A353C" w:rsidRDefault="00C45820">
            <w:r>
              <w:rPr>
                <w:rFonts w:ascii="楷体" w:eastAsia="楷体" w:hAnsi="楷体"/>
                <w:b/>
              </w:rPr>
              <w:t>4</w:t>
            </w:r>
            <w:r>
              <w:rPr>
                <w:rFonts w:ascii="楷体" w:eastAsia="楷体" w:hAnsi="楷体"/>
                <w:b/>
              </w:rPr>
              <w:t>月欧元区</w:t>
            </w:r>
            <w:r>
              <w:rPr>
                <w:rFonts w:ascii="楷体" w:eastAsia="楷体" w:hAnsi="楷体"/>
                <w:b/>
              </w:rPr>
              <w:t>:CPI(2025</w:t>
            </w:r>
            <w:r>
              <w:rPr>
                <w:rFonts w:ascii="楷体" w:eastAsia="楷体" w:hAnsi="楷体"/>
                <w:b/>
              </w:rPr>
              <w:t>年</w:t>
            </w:r>
            <w:r>
              <w:rPr>
                <w:rFonts w:ascii="楷体" w:eastAsia="楷体" w:hAnsi="楷体"/>
                <w:b/>
              </w:rPr>
              <w:t>=100)</w:t>
            </w:r>
          </w:p>
        </w:tc>
      </w:tr>
      <w:tr w:rsidR="000A353C">
        <w:trPr>
          <w:jc w:val="center"/>
        </w:trPr>
        <w:tc>
          <w:tcPr>
            <w:tcW w:w="1417" w:type="dxa"/>
          </w:tcPr>
          <w:p w:rsidR="000A353C" w:rsidRDefault="00C45820">
            <w:r>
              <w:rPr>
                <w:rFonts w:ascii="楷体" w:eastAsia="楷体" w:hAnsi="楷体"/>
                <w:b/>
              </w:rPr>
              <w:t>2026-05-21</w:t>
            </w:r>
          </w:p>
        </w:tc>
        <w:tc>
          <w:tcPr>
            <w:tcW w:w="1247" w:type="dxa"/>
          </w:tcPr>
          <w:p w:rsidR="000A353C" w:rsidRDefault="00C45820">
            <w:r>
              <w:rPr>
                <w:rFonts w:ascii="楷体" w:eastAsia="楷体" w:hAnsi="楷体"/>
                <w:b/>
              </w:rPr>
              <w:t>日本</w:t>
            </w:r>
          </w:p>
        </w:tc>
        <w:tc>
          <w:tcPr>
            <w:tcW w:w="5953" w:type="dxa"/>
          </w:tcPr>
          <w:p w:rsidR="000A353C" w:rsidRDefault="00C45820">
            <w:pPr>
              <w:rPr>
                <w:lang w:eastAsia="zh-CN"/>
              </w:rPr>
            </w:pPr>
            <w:r>
              <w:rPr>
                <w:rFonts w:ascii="楷体" w:eastAsia="楷体" w:hAnsi="楷体"/>
                <w:b/>
                <w:lang w:eastAsia="zh-CN"/>
              </w:rPr>
              <w:t>3</w:t>
            </w:r>
            <w:r>
              <w:rPr>
                <w:rFonts w:ascii="楷体" w:eastAsia="楷体" w:hAnsi="楷体"/>
                <w:b/>
                <w:lang w:eastAsia="zh-CN"/>
              </w:rPr>
              <w:t>月核心机械订单</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环比</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2026-05-21</w:t>
            </w:r>
          </w:p>
        </w:tc>
        <w:tc>
          <w:tcPr>
            <w:tcW w:w="1247" w:type="dxa"/>
          </w:tcPr>
          <w:p w:rsidR="000A353C" w:rsidRDefault="00C45820">
            <w:r>
              <w:rPr>
                <w:rFonts w:ascii="楷体" w:eastAsia="楷体" w:hAnsi="楷体"/>
                <w:b/>
              </w:rPr>
              <w:t>美国</w:t>
            </w:r>
          </w:p>
        </w:tc>
        <w:tc>
          <w:tcPr>
            <w:tcW w:w="5953" w:type="dxa"/>
          </w:tcPr>
          <w:p w:rsidR="000A353C" w:rsidRDefault="00C45820">
            <w:pPr>
              <w:rPr>
                <w:lang w:eastAsia="zh-CN"/>
              </w:rPr>
            </w:pPr>
            <w:r>
              <w:rPr>
                <w:rFonts w:ascii="楷体" w:eastAsia="楷体" w:hAnsi="楷体"/>
                <w:b/>
                <w:lang w:eastAsia="zh-CN"/>
              </w:rPr>
              <w:t>5</w:t>
            </w:r>
            <w:r>
              <w:rPr>
                <w:rFonts w:ascii="楷体" w:eastAsia="楷体" w:hAnsi="楷体"/>
                <w:b/>
                <w:lang w:eastAsia="zh-CN"/>
              </w:rPr>
              <w:t>月</w:t>
            </w:r>
            <w:r>
              <w:rPr>
                <w:rFonts w:ascii="楷体" w:eastAsia="楷体" w:hAnsi="楷体"/>
                <w:b/>
                <w:lang w:eastAsia="zh-CN"/>
              </w:rPr>
              <w:t>16</w:t>
            </w:r>
            <w:r>
              <w:rPr>
                <w:rFonts w:ascii="楷体" w:eastAsia="楷体" w:hAnsi="楷体"/>
                <w:b/>
                <w:lang w:eastAsia="zh-CN"/>
              </w:rPr>
              <w:t>日初请失业</w:t>
            </w:r>
            <w:proofErr w:type="gramStart"/>
            <w:r>
              <w:rPr>
                <w:rFonts w:ascii="楷体" w:eastAsia="楷体" w:hAnsi="楷体"/>
                <w:b/>
                <w:lang w:eastAsia="zh-CN"/>
              </w:rPr>
              <w:t>金人数</w:t>
            </w:r>
            <w:proofErr w:type="gramEnd"/>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人</w:t>
            </w:r>
            <w:r>
              <w:rPr>
                <w:rFonts w:ascii="楷体" w:eastAsia="楷体" w:hAnsi="楷体"/>
                <w:b/>
                <w:lang w:eastAsia="zh-CN"/>
              </w:rPr>
              <w:t>)</w:t>
            </w:r>
          </w:p>
        </w:tc>
      </w:tr>
      <w:tr w:rsidR="000A353C">
        <w:trPr>
          <w:jc w:val="center"/>
        </w:trPr>
        <w:tc>
          <w:tcPr>
            <w:tcW w:w="1417" w:type="dxa"/>
          </w:tcPr>
          <w:p w:rsidR="000A353C" w:rsidRDefault="00C45820">
            <w:r>
              <w:rPr>
                <w:rFonts w:ascii="楷体" w:eastAsia="楷体" w:hAnsi="楷体"/>
                <w:b/>
              </w:rPr>
              <w:t>2026-05-22</w:t>
            </w:r>
          </w:p>
        </w:tc>
        <w:tc>
          <w:tcPr>
            <w:tcW w:w="1247" w:type="dxa"/>
          </w:tcPr>
          <w:p w:rsidR="000A353C" w:rsidRDefault="00C45820">
            <w:r>
              <w:rPr>
                <w:rFonts w:ascii="楷体" w:eastAsia="楷体" w:hAnsi="楷体"/>
                <w:b/>
              </w:rPr>
              <w:t>日本</w:t>
            </w:r>
          </w:p>
        </w:tc>
        <w:tc>
          <w:tcPr>
            <w:tcW w:w="5953" w:type="dxa"/>
          </w:tcPr>
          <w:p w:rsidR="000A353C" w:rsidRDefault="00C45820">
            <w:r>
              <w:rPr>
                <w:rFonts w:ascii="楷体" w:eastAsia="楷体" w:hAnsi="楷体"/>
                <w:b/>
              </w:rPr>
              <w:t>4</w:t>
            </w:r>
            <w:r>
              <w:rPr>
                <w:rFonts w:ascii="楷体" w:eastAsia="楷体" w:hAnsi="楷体"/>
                <w:b/>
              </w:rPr>
              <w:t>月</w:t>
            </w:r>
            <w:r>
              <w:rPr>
                <w:rFonts w:ascii="楷体" w:eastAsia="楷体" w:hAnsi="楷体"/>
                <w:b/>
              </w:rPr>
              <w:t>CPI:</w:t>
            </w:r>
            <w:r>
              <w:rPr>
                <w:rFonts w:ascii="楷体" w:eastAsia="楷体" w:hAnsi="楷体"/>
                <w:b/>
              </w:rPr>
              <w:t>同比</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2026-05-22</w:t>
            </w:r>
          </w:p>
        </w:tc>
        <w:tc>
          <w:tcPr>
            <w:tcW w:w="1247" w:type="dxa"/>
          </w:tcPr>
          <w:p w:rsidR="000A353C" w:rsidRDefault="00C45820">
            <w:r>
              <w:rPr>
                <w:rFonts w:ascii="楷体" w:eastAsia="楷体" w:hAnsi="楷体"/>
                <w:b/>
              </w:rPr>
              <w:t>日本</w:t>
            </w:r>
          </w:p>
        </w:tc>
        <w:tc>
          <w:tcPr>
            <w:tcW w:w="5953" w:type="dxa"/>
          </w:tcPr>
          <w:p w:rsidR="000A353C" w:rsidRDefault="00C45820">
            <w:r>
              <w:rPr>
                <w:rFonts w:ascii="楷体" w:eastAsia="楷体" w:hAnsi="楷体"/>
                <w:b/>
              </w:rPr>
              <w:t>4</w:t>
            </w:r>
            <w:r>
              <w:rPr>
                <w:rFonts w:ascii="楷体" w:eastAsia="楷体" w:hAnsi="楷体"/>
                <w:b/>
              </w:rPr>
              <w:t>月</w:t>
            </w:r>
            <w:r>
              <w:rPr>
                <w:rFonts w:ascii="楷体" w:eastAsia="楷体" w:hAnsi="楷体"/>
                <w:b/>
              </w:rPr>
              <w:t>CPI:</w:t>
            </w:r>
            <w:r>
              <w:rPr>
                <w:rFonts w:ascii="楷体" w:eastAsia="楷体" w:hAnsi="楷体"/>
                <w:b/>
              </w:rPr>
              <w:t>环比</w:t>
            </w:r>
            <w:r>
              <w:rPr>
                <w:rFonts w:ascii="楷体" w:eastAsia="楷体" w:hAnsi="楷体"/>
                <w:b/>
              </w:rPr>
              <w:t>(%)</w:t>
            </w:r>
          </w:p>
        </w:tc>
      </w:tr>
      <w:tr w:rsidR="000A353C">
        <w:trPr>
          <w:jc w:val="center"/>
        </w:trPr>
        <w:tc>
          <w:tcPr>
            <w:tcW w:w="1417" w:type="dxa"/>
          </w:tcPr>
          <w:p w:rsidR="000A353C" w:rsidRDefault="00C45820">
            <w:r>
              <w:rPr>
                <w:rFonts w:ascii="楷体" w:eastAsia="楷体" w:hAnsi="楷体"/>
                <w:b/>
              </w:rPr>
              <w:t>2026-05-22</w:t>
            </w:r>
          </w:p>
        </w:tc>
        <w:tc>
          <w:tcPr>
            <w:tcW w:w="1247" w:type="dxa"/>
          </w:tcPr>
          <w:p w:rsidR="000A353C" w:rsidRDefault="00C45820">
            <w:r>
              <w:rPr>
                <w:rFonts w:ascii="楷体" w:eastAsia="楷体" w:hAnsi="楷体"/>
                <w:b/>
              </w:rPr>
              <w:t>日本</w:t>
            </w:r>
          </w:p>
        </w:tc>
        <w:tc>
          <w:tcPr>
            <w:tcW w:w="5953" w:type="dxa"/>
          </w:tcPr>
          <w:p w:rsidR="000A353C" w:rsidRDefault="00C45820">
            <w:r>
              <w:rPr>
                <w:rFonts w:ascii="楷体" w:eastAsia="楷体" w:hAnsi="楷体"/>
                <w:b/>
              </w:rPr>
              <w:t>4</w:t>
            </w:r>
            <w:r>
              <w:rPr>
                <w:rFonts w:ascii="楷体" w:eastAsia="楷体" w:hAnsi="楷体"/>
                <w:b/>
              </w:rPr>
              <w:t>月核心</w:t>
            </w:r>
            <w:r>
              <w:rPr>
                <w:rFonts w:ascii="楷体" w:eastAsia="楷体" w:hAnsi="楷体"/>
                <w:b/>
              </w:rPr>
              <w:t>CPI:</w:t>
            </w:r>
            <w:r>
              <w:rPr>
                <w:rFonts w:ascii="楷体" w:eastAsia="楷体" w:hAnsi="楷体"/>
                <w:b/>
              </w:rPr>
              <w:t>环比</w:t>
            </w:r>
            <w:r>
              <w:rPr>
                <w:rFonts w:ascii="楷体" w:eastAsia="楷体" w:hAnsi="楷体"/>
                <w:b/>
              </w:rPr>
              <w:t>(%)</w:t>
            </w:r>
          </w:p>
        </w:tc>
      </w:tr>
    </w:tbl>
    <w:p w:rsidR="000A353C" w:rsidRDefault="00C45820">
      <w:pPr>
        <w:pStyle w:val="Source"/>
        <w:rPr>
          <w:lang w:eastAsia="zh-CN"/>
        </w:rPr>
      </w:pPr>
      <w:r>
        <w:rPr>
          <w:lang w:eastAsia="zh-CN"/>
        </w:rPr>
        <w:t>数据来源：</w:t>
      </w:r>
      <w:r>
        <w:rPr>
          <w:lang w:eastAsia="zh-CN"/>
        </w:rPr>
        <w:t>Wind</w:t>
      </w:r>
      <w:r>
        <w:rPr>
          <w:lang w:eastAsia="zh-CN"/>
        </w:rPr>
        <w:t>，华安基金，截至</w:t>
      </w:r>
      <w:r>
        <w:rPr>
          <w:lang w:eastAsia="zh-CN"/>
        </w:rPr>
        <w:t>2026-05-15</w:t>
      </w:r>
    </w:p>
    <w:p w:rsidR="000A353C" w:rsidRDefault="000A353C">
      <w:pPr>
        <w:spacing w:after="0" w:line="240" w:lineRule="auto"/>
        <w:rPr>
          <w:lang w:eastAsia="zh-CN"/>
        </w:rPr>
      </w:pPr>
    </w:p>
    <w:p w:rsidR="000A353C" w:rsidRDefault="00C45820">
      <w:pPr>
        <w:pStyle w:val="Source"/>
        <w:rPr>
          <w:lang w:eastAsia="zh-CN"/>
        </w:rPr>
      </w:pPr>
      <w:r>
        <w:rPr>
          <w:lang w:eastAsia="zh-CN"/>
        </w:rPr>
        <w:t>风险提示：本报告所载信息或所表达的意见仅为提供参考之目的，并不构成对买入或卖出此报告中所提及的任何证券的建议。</w:t>
      </w:r>
    </w:p>
    <w:p w:rsidR="003F2D1A" w:rsidRDefault="00C45820">
      <w:pPr>
        <w:pStyle w:val="Source"/>
      </w:pPr>
      <w:r>
        <w:rPr>
          <w:lang w:eastAsia="zh-CN"/>
        </w:rPr>
        <w:t>本报告并非基金宣传推介资料，亦不构成任何法律文件，仅</w:t>
      </w:r>
      <w:proofErr w:type="gramStart"/>
      <w:r>
        <w:rPr>
          <w:lang w:eastAsia="zh-CN"/>
        </w:rPr>
        <w:t>供渠道</w:t>
      </w:r>
      <w:proofErr w:type="gramEnd"/>
      <w:r>
        <w:rPr>
          <w:lang w:eastAsia="zh-CN"/>
        </w:rPr>
        <w:t>交流使用，不得以任何方式提供给任何投资者。本</w:t>
      </w:r>
      <w:proofErr w:type="gramStart"/>
      <w:r>
        <w:rPr>
          <w:lang w:eastAsia="zh-CN"/>
        </w:rPr>
        <w:t>报告非</w:t>
      </w:r>
      <w:proofErr w:type="gramEnd"/>
      <w:r>
        <w:rPr>
          <w:lang w:eastAsia="zh-CN"/>
        </w:rPr>
        <w:t>为对相关证券或市场的完整表述或概括，有关数据仅供参考，本公司不对其中的任何错漏和疏忽承担法律责任。投资者购买本公司旗下的产品时，应认真阅读相关法律文件。基金有风险，投资需谨慎。黄金</w:t>
      </w:r>
      <w:r>
        <w:rPr>
          <w:lang w:eastAsia="zh-CN"/>
        </w:rPr>
        <w:t>ETF,</w:t>
      </w:r>
      <w:r>
        <w:rPr>
          <w:lang w:eastAsia="zh-CN"/>
        </w:rPr>
        <w:t>其风险收益特征与国内黄金现货价格的风险收益特征相似</w:t>
      </w:r>
      <w:r>
        <w:rPr>
          <w:lang w:eastAsia="zh-CN"/>
        </w:rPr>
        <w:t>,</w:t>
      </w:r>
      <w:r>
        <w:rPr>
          <w:lang w:eastAsia="zh-CN"/>
        </w:rPr>
        <w:t>不同于股票基金、混合基金、债券基金和货币市场基金。其联接基金主要通过投资目标</w:t>
      </w:r>
      <w:r>
        <w:rPr>
          <w:lang w:eastAsia="zh-CN"/>
        </w:rPr>
        <w:t>ETF</w:t>
      </w:r>
      <w:r>
        <w:rPr>
          <w:lang w:eastAsia="zh-CN"/>
        </w:rPr>
        <w:t>紧密跟踪标的指数的表现。对于境外基金产品，投资者应认真阅读基金招募说明书的风险揭示</w:t>
      </w:r>
      <w:r>
        <w:rPr>
          <w:lang w:eastAsia="zh-CN"/>
        </w:rPr>
        <w:t>章节以更好的了解海外资产的投资风险。</w:t>
      </w:r>
      <w:proofErr w:type="spellStart"/>
      <w:r>
        <w:t>基金有风险，投资需谨慎</w:t>
      </w:r>
      <w:proofErr w:type="spellEnd"/>
      <w:r>
        <w:t>。</w:t>
      </w:r>
    </w:p>
    <w:p w:rsidR="000A353C" w:rsidRPr="003F2D1A" w:rsidRDefault="003F2D1A" w:rsidP="003F2D1A">
      <w:pPr>
        <w:tabs>
          <w:tab w:val="left" w:pos="5355"/>
        </w:tabs>
      </w:pPr>
      <w:r>
        <w:tab/>
      </w:r>
      <w:bookmarkStart w:id="0" w:name="_GoBack"/>
      <w:bookmarkEnd w:id="0"/>
    </w:p>
    <w:sectPr w:rsidR="000A353C" w:rsidRPr="003F2D1A" w:rsidSect="00034616">
      <w:headerReference w:type="default" r:id="rId11"/>
      <w:pgSz w:w="12240" w:h="15840"/>
      <w:pgMar w:top="2835" w:right="1797" w:bottom="1440" w:left="1797"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820" w:rsidRDefault="00C45820">
      <w:pPr>
        <w:spacing w:after="0" w:line="240" w:lineRule="auto"/>
      </w:pPr>
      <w:r>
        <w:separator/>
      </w:r>
    </w:p>
  </w:endnote>
  <w:endnote w:type="continuationSeparator" w:id="0">
    <w:p w:rsidR="00C45820" w:rsidRDefault="00C45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820" w:rsidRDefault="00C45820">
      <w:pPr>
        <w:spacing w:after="0" w:line="240" w:lineRule="auto"/>
      </w:pPr>
      <w:r>
        <w:separator/>
      </w:r>
    </w:p>
  </w:footnote>
  <w:footnote w:type="continuationSeparator" w:id="0">
    <w:p w:rsidR="00C45820" w:rsidRDefault="00C45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53C" w:rsidRDefault="00C45820">
    <w:pPr>
      <w:pStyle w:val="a5"/>
      <w:spacing w:after="283"/>
      <w:ind w:left="-1797"/>
    </w:pPr>
    <w:r>
      <w:rPr>
        <w:noProof/>
        <w:lang w:eastAsia="zh-CN"/>
      </w:rPr>
      <w:drawing>
        <wp:inline distT="0" distB="0" distL="0" distR="0">
          <wp:extent cx="7772400" cy="171590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周报页眉.png"/>
                  <pic:cNvPicPr/>
                </pic:nvPicPr>
                <pic:blipFill>
                  <a:blip r:embed="rId1"/>
                  <a:stretch>
                    <a:fillRect/>
                  </a:stretch>
                </pic:blipFill>
                <pic:spPr>
                  <a:xfrm>
                    <a:off x="0" y="0"/>
                    <a:ext cx="7772400" cy="17159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53C"/>
    <w:rsid w:val="0015074B"/>
    <w:rsid w:val="0029639D"/>
    <w:rsid w:val="00326F90"/>
    <w:rsid w:val="003F2D1A"/>
    <w:rsid w:val="00AA1D8D"/>
    <w:rsid w:val="00B47730"/>
    <w:rsid w:val="00C458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B5028"/>
  <w14:defaultImageDpi w14:val="300"/>
  <w15:docId w15:val="{A1133346-55F9-4DE4-8CEC-D0D268CC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pPr>
      <w:spacing w:after="0"/>
      <w:ind w:firstLine="420"/>
      <w:jc w:val="both"/>
    </w:pPr>
    <w:rPr>
      <w:rFonts w:ascii="楷体" w:eastAsia="楷体" w:hAnsi="楷体"/>
      <w:b/>
      <w:color w:val="8CCCDC"/>
      <w:sz w:val="32"/>
    </w:rPr>
  </w:style>
  <w:style w:type="paragraph" w:customStyle="1" w:styleId="Sub">
    <w:name w:val="Sub"/>
    <w:pPr>
      <w:spacing w:after="0"/>
      <w:ind w:firstLine="420"/>
      <w:jc w:val="both"/>
    </w:pPr>
    <w:rPr>
      <w:rFonts w:ascii="楷体" w:eastAsia="楷体" w:hAnsi="楷体"/>
      <w:b/>
      <w:color w:val="8CCCDC"/>
      <w:sz w:val="24"/>
    </w:rPr>
  </w:style>
  <w:style w:type="paragraph" w:customStyle="1" w:styleId="Para">
    <w:name w:val="Para"/>
    <w:pPr>
      <w:spacing w:after="0"/>
      <w:ind w:firstLine="420"/>
      <w:jc w:val="both"/>
    </w:pPr>
    <w:rPr>
      <w:rFonts w:ascii="楷体" w:eastAsia="楷体" w:hAnsi="楷体"/>
      <w:color w:val="000000"/>
    </w:rPr>
  </w:style>
  <w:style w:type="paragraph" w:customStyle="1" w:styleId="Cap">
    <w:name w:val="Cap"/>
    <w:pPr>
      <w:spacing w:after="0"/>
      <w:ind w:firstLine="420"/>
      <w:jc w:val="both"/>
    </w:pPr>
    <w:rPr>
      <w:rFonts w:ascii="楷体" w:eastAsia="楷体" w:hAnsi="楷体"/>
      <w:b/>
      <w:color w:val="000000"/>
    </w:rPr>
  </w:style>
  <w:style w:type="paragraph" w:customStyle="1" w:styleId="Source">
    <w:name w:val="Source"/>
    <w:pPr>
      <w:spacing w:after="0"/>
      <w:ind w:firstLine="420"/>
      <w:jc w:val="both"/>
    </w:pPr>
    <w:rPr>
      <w:rFonts w:ascii="楷体" w:eastAsia="楷体" w:hAnsi="楷体"/>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rojects\&#21608;&#25253;\&#25968;&#25454;\&#21608;&#25253;&#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申万一级行业指数!$M$1</c:f>
              <c:strCache>
                <c:ptCount val="1"/>
                <c:pt idx="0">
                  <c:v>周涨跌幅</c:v>
                </c:pt>
              </c:strCache>
            </c:strRef>
          </c:tx>
          <c:spPr>
            <a:solidFill>
              <a:schemeClr val="accent1"/>
            </a:solidFill>
            <a:ln>
              <a:noFill/>
            </a:ln>
            <a:effectLst/>
          </c:spPr>
          <c:invertIfNegative val="0"/>
          <c:cat>
            <c:strRef>
              <c:f>申万一级行业指数!$L$2:$L$32</c:f>
              <c:strCache>
                <c:ptCount val="31"/>
                <c:pt idx="0">
                  <c:v>通信</c:v>
                </c:pt>
                <c:pt idx="1">
                  <c:v>电子</c:v>
                </c:pt>
                <c:pt idx="2">
                  <c:v>机械设备</c:v>
                </c:pt>
                <c:pt idx="3">
                  <c:v>公用事业</c:v>
                </c:pt>
                <c:pt idx="4">
                  <c:v>家用电器</c:v>
                </c:pt>
                <c:pt idx="5">
                  <c:v>银行</c:v>
                </c:pt>
                <c:pt idx="6">
                  <c:v>石油石化</c:v>
                </c:pt>
                <c:pt idx="7">
                  <c:v>煤炭</c:v>
                </c:pt>
                <c:pt idx="8">
                  <c:v>基础化工</c:v>
                </c:pt>
                <c:pt idx="9">
                  <c:v>电力设备</c:v>
                </c:pt>
                <c:pt idx="10">
                  <c:v>轻工制造</c:v>
                </c:pt>
                <c:pt idx="11">
                  <c:v>汽车</c:v>
                </c:pt>
                <c:pt idx="12">
                  <c:v>建筑装饰</c:v>
                </c:pt>
                <c:pt idx="13">
                  <c:v>纺织服饰</c:v>
                </c:pt>
                <c:pt idx="14">
                  <c:v>环保</c:v>
                </c:pt>
                <c:pt idx="15">
                  <c:v>医药生物</c:v>
                </c:pt>
                <c:pt idx="16">
                  <c:v>农林牧渔</c:v>
                </c:pt>
                <c:pt idx="17">
                  <c:v>食品饮料</c:v>
                </c:pt>
                <c:pt idx="18">
                  <c:v>房地产</c:v>
                </c:pt>
                <c:pt idx="19">
                  <c:v>社会服务</c:v>
                </c:pt>
                <c:pt idx="20">
                  <c:v>交通运输</c:v>
                </c:pt>
                <c:pt idx="21">
                  <c:v>商贸零售</c:v>
                </c:pt>
                <c:pt idx="22">
                  <c:v>建筑材料</c:v>
                </c:pt>
                <c:pt idx="23">
                  <c:v>计算机</c:v>
                </c:pt>
                <c:pt idx="24">
                  <c:v>非银金融</c:v>
                </c:pt>
                <c:pt idx="25">
                  <c:v>传媒</c:v>
                </c:pt>
                <c:pt idx="26">
                  <c:v>国防军工</c:v>
                </c:pt>
                <c:pt idx="27">
                  <c:v>综合</c:v>
                </c:pt>
                <c:pt idx="28">
                  <c:v>美容护理</c:v>
                </c:pt>
                <c:pt idx="29">
                  <c:v>钢铁</c:v>
                </c:pt>
                <c:pt idx="30">
                  <c:v>有色金属</c:v>
                </c:pt>
              </c:strCache>
            </c:strRef>
          </c:cat>
          <c:val>
            <c:numRef>
              <c:f>申万一级行业指数!$M$2:$M$32</c:f>
              <c:numCache>
                <c:formatCode>0.00%</c:formatCode>
                <c:ptCount val="31"/>
                <c:pt idx="0">
                  <c:v>6.77175907251506E-2</c:v>
                </c:pt>
                <c:pt idx="1">
                  <c:v>4.702427336907844E-2</c:v>
                </c:pt>
                <c:pt idx="2">
                  <c:v>1.8086268630531421E-2</c:v>
                </c:pt>
                <c:pt idx="3">
                  <c:v>1.1752545465246511E-2</c:v>
                </c:pt>
                <c:pt idx="4">
                  <c:v>5.1792785696558319E-3</c:v>
                </c:pt>
                <c:pt idx="5">
                  <c:v>-9.0060544904136952E-3</c:v>
                </c:pt>
                <c:pt idx="6">
                  <c:v>-9.976646044167703E-3</c:v>
                </c:pt>
                <c:pt idx="7">
                  <c:v>-1.2118444514858329E-2</c:v>
                </c:pt>
                <c:pt idx="8">
                  <c:v>-1.458355513327092E-2</c:v>
                </c:pt>
                <c:pt idx="9">
                  <c:v>-1.5970019165027716E-2</c:v>
                </c:pt>
                <c:pt idx="10">
                  <c:v>-1.7643624474544595E-2</c:v>
                </c:pt>
                <c:pt idx="11">
                  <c:v>-1.8813272924005808E-2</c:v>
                </c:pt>
                <c:pt idx="12">
                  <c:v>-2.1141248676519897E-2</c:v>
                </c:pt>
                <c:pt idx="13">
                  <c:v>-2.1347515713432519E-2</c:v>
                </c:pt>
                <c:pt idx="14">
                  <c:v>-2.7438007826895761E-2</c:v>
                </c:pt>
                <c:pt idx="15">
                  <c:v>-2.7532460495057087E-2</c:v>
                </c:pt>
                <c:pt idx="16">
                  <c:v>-3.1104551358965948E-2</c:v>
                </c:pt>
                <c:pt idx="17">
                  <c:v>-3.1221589565242125E-2</c:v>
                </c:pt>
                <c:pt idx="18">
                  <c:v>-3.2260925478370783E-2</c:v>
                </c:pt>
                <c:pt idx="19">
                  <c:v>-3.2721948032249482E-2</c:v>
                </c:pt>
                <c:pt idx="20">
                  <c:v>-3.5953349749586194E-2</c:v>
                </c:pt>
                <c:pt idx="21">
                  <c:v>-3.8293124696567871E-2</c:v>
                </c:pt>
                <c:pt idx="22">
                  <c:v>-3.9222291665743203E-2</c:v>
                </c:pt>
                <c:pt idx="23">
                  <c:v>-4.1017944775391113E-2</c:v>
                </c:pt>
                <c:pt idx="24">
                  <c:v>-4.2835526817108116E-2</c:v>
                </c:pt>
                <c:pt idx="25">
                  <c:v>-4.6232528056916349E-2</c:v>
                </c:pt>
                <c:pt idx="26">
                  <c:v>-5.1771613970949308E-2</c:v>
                </c:pt>
                <c:pt idx="27">
                  <c:v>-5.452118695482177E-2</c:v>
                </c:pt>
                <c:pt idx="28">
                  <c:v>-5.6263231025527209E-2</c:v>
                </c:pt>
                <c:pt idx="29">
                  <c:v>-5.9189195150463621E-2</c:v>
                </c:pt>
                <c:pt idx="30">
                  <c:v>-7.3899012056740543E-2</c:v>
                </c:pt>
              </c:numCache>
            </c:numRef>
          </c:val>
          <c:extLst>
            <c:ext xmlns:c16="http://schemas.microsoft.com/office/drawing/2014/chart" uri="{C3380CC4-5D6E-409C-BE32-E72D297353CC}">
              <c16:uniqueId val="{00000000-5B92-45DA-9837-561BB167CC04}"/>
            </c:ext>
          </c:extLst>
        </c:ser>
        <c:dLbls>
          <c:showLegendKey val="0"/>
          <c:showVal val="0"/>
          <c:showCatName val="0"/>
          <c:showSerName val="0"/>
          <c:showPercent val="0"/>
          <c:showBubbleSize val="0"/>
        </c:dLbls>
        <c:gapWidth val="219"/>
        <c:overlap val="-27"/>
        <c:axId val="937073416"/>
        <c:axId val="937066856"/>
      </c:barChart>
      <c:catAx>
        <c:axId val="9370734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solidFill>
                <a:latin typeface="+mn-lt"/>
                <a:ea typeface="+mn-ea"/>
                <a:cs typeface="+mn-cs"/>
              </a:defRPr>
            </a:pPr>
            <a:endParaRPr lang="zh-CN"/>
          </a:p>
        </c:txPr>
        <c:crossAx val="937066856"/>
        <c:crosses val="autoZero"/>
        <c:auto val="1"/>
        <c:lblAlgn val="ctr"/>
        <c:lblOffset val="100"/>
        <c:noMultiLvlLbl val="0"/>
      </c:catAx>
      <c:valAx>
        <c:axId val="937066856"/>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93707341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900">
          <a:solidFill>
            <a:schemeClr val="tx1"/>
          </a:solidFill>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自定义 1">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BEA25-FFFA-4A07-9B29-FF605F833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黄泳嘉</cp:lastModifiedBy>
  <cp:revision>2</cp:revision>
  <dcterms:created xsi:type="dcterms:W3CDTF">2013-12-23T23:15:00Z</dcterms:created>
  <dcterms:modified xsi:type="dcterms:W3CDTF">2026-05-15T09:13:00Z</dcterms:modified>
  <cp:category/>
</cp:coreProperties>
</file>