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1260" w:lineRule="exact"/>
        <w:ind w:firstLine="1556" w:firstLineChars="102"/>
        <w:rPr>
          <w:rFonts w:ascii="Arial Black" w:hAnsi="Arial Black" w:eastAsia="黑体"/>
          <w:b/>
          <w:color w:val="999999"/>
          <w:spacing w:val="21"/>
          <w:w w:val="85"/>
          <w:position w:val="-10"/>
          <w:sz w:val="150"/>
          <w:szCs w:val="150"/>
        </w:rPr>
      </w:pPr>
      <w:r>
        <w:rPr>
          <w:b/>
          <w:color w:val="C0C0C0"/>
          <w:spacing w:val="60"/>
          <w:sz w:val="140"/>
          <w:szCs w:val="140"/>
        </w:rPr>
        <w:drawing>
          <wp:anchor distT="0" distB="0" distL="114300" distR="114300" simplePos="0" relativeHeight="251659264" behindDoc="0" locked="0" layoutInCell="1" allowOverlap="1">
            <wp:simplePos x="0" y="0"/>
            <wp:positionH relativeFrom="column">
              <wp:posOffset>508000</wp:posOffset>
            </wp:positionH>
            <wp:positionV relativeFrom="paragraph">
              <wp:posOffset>-83820</wp:posOffset>
            </wp:positionV>
            <wp:extent cx="4229100" cy="885825"/>
            <wp:effectExtent l="0" t="0" r="0" b="0"/>
            <wp:wrapNone/>
            <wp:docPr id="17" name="图片 2" descr="浙江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浙江理工大学"/>
                    <pic:cNvPicPr>
                      <a:picLocks noChangeAspect="1"/>
                    </pic:cNvPicPr>
                  </pic:nvPicPr>
                  <pic:blipFill>
                    <a:blip r:embed="rId4">
                      <a:clrChange>
                        <a:clrFrom>
                          <a:srgbClr val="FFFFFF"/>
                        </a:clrFrom>
                        <a:clrTo>
                          <a:srgbClr val="FFFFFF">
                            <a:alpha val="0"/>
                          </a:srgbClr>
                        </a:clrTo>
                      </a:clrChange>
                      <a:biLevel thresh="50000"/>
                      <a:grayscl/>
                    </a:blip>
                    <a:stretch>
                      <a:fillRect/>
                    </a:stretch>
                  </pic:blipFill>
                  <pic:spPr>
                    <a:xfrm>
                      <a:off x="0" y="0"/>
                      <a:ext cx="4229100" cy="885825"/>
                    </a:xfrm>
                    <a:prstGeom prst="rect">
                      <a:avLst/>
                    </a:prstGeom>
                    <a:noFill/>
                    <a:ln>
                      <a:noFill/>
                    </a:ln>
                  </pic:spPr>
                </pic:pic>
              </a:graphicData>
            </a:graphic>
          </wp:anchor>
        </w:drawing>
      </w:r>
      <w:r>
        <w:rPr>
          <w:rFonts w:ascii="Arial Black" w:hAnsi="Arial Black" w:eastAsia="黑体"/>
          <w:b/>
          <w:color w:val="999999"/>
          <w:spacing w:val="21"/>
          <w:w w:val="85"/>
          <w:position w:val="-10"/>
          <w:sz w:val="150"/>
          <w:szCs w:val="150"/>
        </w:rPr>
        <w:t>Z S T U</w:t>
      </w:r>
    </w:p>
    <w:p>
      <w:pPr>
        <w:spacing w:line="400" w:lineRule="exact"/>
        <w:ind w:firstLine="883" w:firstLineChars="200"/>
        <w:rPr>
          <w:rFonts w:hint="eastAsia" w:ascii="黑体" w:hAnsi="Impact" w:eastAsia="黑体"/>
          <w:b/>
          <w:color w:val="000000"/>
          <w:sz w:val="44"/>
          <w:szCs w:val="44"/>
        </w:rPr>
      </w:pPr>
      <w:r>
        <w:rPr>
          <w:rFonts w:hint="eastAsia" w:ascii="黑体" w:hAnsi="Impact" w:eastAsia="黑体"/>
          <w:b/>
          <w:color w:val="000000"/>
          <w:sz w:val="44"/>
          <w:szCs w:val="44"/>
        </w:rPr>
        <w:t>Zhejiang Sci-Tech University</w:t>
      </w:r>
    </w:p>
    <w:p>
      <w:pPr>
        <w:spacing w:line="400" w:lineRule="exact"/>
        <w:rPr>
          <w:rFonts w:hint="eastAsia" w:ascii="黑体" w:hAnsi="宋体" w:eastAsia="黑体"/>
          <w:b/>
          <w:color w:val="000000"/>
          <w:sz w:val="44"/>
          <w:szCs w:val="44"/>
        </w:rPr>
      </w:pPr>
    </w:p>
    <w:p>
      <w:pPr>
        <w:spacing w:line="360" w:lineRule="auto"/>
        <w:jc w:val="center"/>
        <w:rPr>
          <w:rFonts w:hint="default" w:ascii="黑体" w:hAnsi="微软雅黑" w:eastAsia="黑体"/>
          <w:b/>
          <w:sz w:val="38"/>
          <w:szCs w:val="38"/>
          <w:lang w:val="en-US" w:eastAsia="zh-CN"/>
        </w:rPr>
      </w:pPr>
      <w:r>
        <w:rPr>
          <w:rFonts w:hint="eastAsia" w:ascii="黑体" w:hAnsi="微软雅黑" w:eastAsia="黑体"/>
          <w:b/>
          <w:sz w:val="38"/>
          <w:szCs w:val="38"/>
          <w:lang w:val="en-US" w:eastAsia="zh-CN"/>
        </w:rPr>
        <w:t>证券投资技术分析</w:t>
      </w:r>
    </w:p>
    <w:p>
      <w:pPr>
        <w:jc w:val="center"/>
        <w:rPr>
          <w:rFonts w:hint="eastAsia" w:ascii="黑体" w:eastAsia="黑体"/>
          <w:b/>
          <w:i/>
          <w:sz w:val="52"/>
          <w:szCs w:val="52"/>
        </w:rPr>
      </w:pPr>
      <w:r>
        <w:rPr>
          <w:rFonts w:hint="eastAsia" w:ascii="黑体" w:eastAsia="黑体"/>
          <w:b/>
          <w:i/>
          <w:sz w:val="52"/>
          <w:szCs w:val="52"/>
        </w:rPr>
        <w:t>实践教学成果</w:t>
      </w:r>
    </w:p>
    <w:p>
      <w:pPr>
        <w:ind w:firstLine="316" w:firstLineChars="150"/>
        <w:rPr>
          <w:rFonts w:hint="eastAsia" w:eastAsia="黑体"/>
          <w:b/>
          <w:i/>
          <w:color w:val="000000"/>
          <w:szCs w:val="21"/>
        </w:rPr>
      </w:pPr>
    </w:p>
    <w:p>
      <w:pPr>
        <w:jc w:val="center"/>
        <w:rPr>
          <w:rFonts w:hint="eastAsia"/>
        </w:rPr>
      </w:pPr>
      <w:r>
        <w:drawing>
          <wp:inline distT="0" distB="0" distL="114300" distR="114300">
            <wp:extent cx="1504950" cy="1258570"/>
            <wp:effectExtent l="0" t="0" r="3810" b="6350"/>
            <wp:docPr id="5" name="图片 1" descr="学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学校"/>
                    <pic:cNvPicPr>
                      <a:picLocks noChangeAspect="1"/>
                    </pic:cNvPicPr>
                  </pic:nvPicPr>
                  <pic:blipFill>
                    <a:blip r:embed="rId5"/>
                    <a:stretch>
                      <a:fillRect/>
                    </a:stretch>
                  </pic:blipFill>
                  <pic:spPr>
                    <a:xfrm>
                      <a:off x="0" y="0"/>
                      <a:ext cx="1504950" cy="1258570"/>
                    </a:xfrm>
                    <a:prstGeom prst="rect">
                      <a:avLst/>
                    </a:prstGeom>
                    <a:noFill/>
                    <a:ln>
                      <a:noFill/>
                    </a:ln>
                  </pic:spPr>
                </pic:pic>
              </a:graphicData>
            </a:graphic>
          </wp:inline>
        </w:drawing>
      </w:r>
    </w:p>
    <w:p>
      <w:pPr>
        <w:jc w:val="center"/>
        <w:rPr>
          <w:rFonts w:hint="eastAsia"/>
        </w:rPr>
      </w:pPr>
    </w:p>
    <w:p>
      <w:pPr>
        <w:rPr>
          <w:rFonts w:hint="eastAsia"/>
          <w:b/>
        </w:rPr>
      </w:pPr>
    </w:p>
    <w:p>
      <w:pPr>
        <w:jc w:val="both"/>
        <w:rPr>
          <w:rFonts w:hint="default" w:ascii="宋体" w:hAnsi="宋体"/>
          <w:b/>
          <w:sz w:val="28"/>
          <w:szCs w:val="28"/>
          <w:lang w:val="en-US"/>
        </w:rPr>
      </w:pPr>
      <w:r>
        <w:rPr>
          <w:rFonts w:hint="eastAsia" w:ascii="宋体" w:hAnsi="宋体"/>
          <w:b/>
          <w:sz w:val="28"/>
          <w:szCs w:val="28"/>
        </w:rPr>
        <w:t>题目:</w:t>
      </w:r>
      <w:r>
        <w:rPr>
          <w:rFonts w:hint="eastAsia" w:ascii="宋体" w:hAnsi="宋体"/>
          <w:b/>
          <w:sz w:val="28"/>
          <w:szCs w:val="28"/>
          <w:u w:val="thick"/>
        </w:rPr>
        <w:t xml:space="preserve">         </w:t>
      </w:r>
      <w:r>
        <w:rPr>
          <w:rFonts w:hint="eastAsia" w:ascii="宋体" w:hAnsi="宋体"/>
          <w:b/>
          <w:sz w:val="28"/>
          <w:szCs w:val="28"/>
          <w:u w:val="thick"/>
          <w:lang w:val="en-US" w:eastAsia="zh-CN"/>
        </w:rPr>
        <w:t xml:space="preserve">证券投资对个人选股的基本面分析和技术分析       </w:t>
      </w:r>
    </w:p>
    <w:p>
      <w:pPr>
        <w:ind w:left="275" w:hanging="275" w:hangingChars="98"/>
        <w:rPr>
          <w:rFonts w:hint="eastAsia"/>
          <w:b/>
          <w:sz w:val="36"/>
          <w:szCs w:val="36"/>
          <w:u w:val="single"/>
        </w:rPr>
      </w:pPr>
      <w:r>
        <w:rPr>
          <w:rFonts w:hint="eastAsia" w:ascii="宋体" w:hAnsi="宋体"/>
          <w:b/>
          <w:sz w:val="28"/>
          <w:szCs w:val="28"/>
        </w:rPr>
        <w:t xml:space="preserve">     </w:t>
      </w:r>
      <w:r>
        <w:rPr>
          <w:rFonts w:hint="eastAsia" w:ascii="宋体" w:hAnsi="宋体"/>
          <w:b/>
          <w:sz w:val="28"/>
          <w:szCs w:val="28"/>
          <w:u w:val="thick"/>
        </w:rPr>
        <w:t xml:space="preserve">                                                      </w:t>
      </w:r>
      <w:r>
        <w:rPr>
          <w:rFonts w:hint="eastAsia" w:ascii="宋体" w:hAnsi="宋体"/>
          <w:b/>
          <w:sz w:val="28"/>
          <w:szCs w:val="28"/>
        </w:rPr>
        <w:t xml:space="preserve"> </w:t>
      </w:r>
      <w:r>
        <w:rPr>
          <w:rFonts w:hint="eastAsia" w:ascii="宋体" w:hAnsi="宋体"/>
          <w:b/>
          <w:sz w:val="36"/>
          <w:szCs w:val="36"/>
        </w:rPr>
        <w:t xml:space="preserve">          </w:t>
      </w:r>
      <w:r>
        <w:rPr>
          <w:rFonts w:hint="eastAsia"/>
          <w:b/>
          <w:sz w:val="36"/>
          <w:szCs w:val="36"/>
        </w:rPr>
        <w:t xml:space="preserve">                      </w:t>
      </w:r>
      <w:r>
        <w:rPr>
          <w:rFonts w:hint="eastAsia"/>
          <w:b/>
          <w:sz w:val="36"/>
          <w:szCs w:val="36"/>
          <w:u w:val="single"/>
        </w:rPr>
        <w:t xml:space="preserve">                                            </w:t>
      </w:r>
    </w:p>
    <w:tbl>
      <w:tblPr>
        <w:tblStyle w:val="4"/>
        <w:tblpPr w:leftFromText="180" w:rightFromText="180" w:vertAnchor="text" w:horzAnchor="margin" w:tblpX="-459" w:tblpY="291"/>
        <w:tblW w:w="9464"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959"/>
        <w:gridCol w:w="992"/>
        <w:gridCol w:w="425"/>
        <w:gridCol w:w="1418"/>
        <w:gridCol w:w="1276"/>
        <w:gridCol w:w="1134"/>
        <w:gridCol w:w="850"/>
        <w:gridCol w:w="241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959" w:type="dxa"/>
            <w:tcBorders>
              <w:top w:val="single" w:color="auto" w:sz="12" w:space="0"/>
              <w:left w:val="single" w:color="auto" w:sz="12" w:space="0"/>
              <w:bottom w:val="single" w:color="auto" w:sz="6" w:space="0"/>
            </w:tcBorders>
            <w:noWrap w:val="0"/>
            <w:vAlign w:val="center"/>
          </w:tcPr>
          <w:p>
            <w:pPr>
              <w:widowControl/>
              <w:jc w:val="center"/>
              <w:rPr>
                <w:rFonts w:ascii="宋体" w:cs="宋体"/>
                <w:kern w:val="0"/>
                <w:sz w:val="24"/>
                <w:szCs w:val="24"/>
              </w:rPr>
            </w:pPr>
          </w:p>
        </w:tc>
        <w:tc>
          <w:tcPr>
            <w:tcW w:w="992" w:type="dxa"/>
            <w:tcBorders>
              <w:top w:val="single" w:color="auto" w:sz="12" w:space="0"/>
              <w:bottom w:val="single" w:color="auto" w:sz="6" w:space="0"/>
            </w:tcBorders>
            <w:noWrap w:val="0"/>
            <w:vAlign w:val="center"/>
          </w:tcPr>
          <w:p>
            <w:pPr>
              <w:widowControl/>
              <w:jc w:val="center"/>
              <w:rPr>
                <w:rFonts w:ascii="宋体" w:cs="宋体"/>
                <w:b/>
                <w:bCs/>
                <w:kern w:val="0"/>
                <w:sz w:val="24"/>
                <w:szCs w:val="24"/>
              </w:rPr>
            </w:pPr>
            <w:r>
              <w:rPr>
                <w:rFonts w:hint="eastAsia" w:ascii="宋体" w:hAnsi="宋体" w:cs="宋体"/>
                <w:b/>
                <w:bCs/>
                <w:kern w:val="0"/>
                <w:sz w:val="24"/>
                <w:szCs w:val="24"/>
              </w:rPr>
              <w:t>序号</w:t>
            </w:r>
          </w:p>
          <w:p>
            <w:pPr>
              <w:widowControl/>
              <w:jc w:val="center"/>
              <w:rPr>
                <w:rFonts w:ascii="宋体" w:cs="宋体"/>
                <w:b/>
                <w:bCs/>
                <w:kern w:val="0"/>
                <w:sz w:val="24"/>
                <w:szCs w:val="24"/>
              </w:rPr>
            </w:pPr>
            <w:r>
              <w:rPr>
                <w:rFonts w:hint="eastAsia" w:ascii="宋体" w:hAnsi="宋体" w:cs="宋体"/>
                <w:b/>
                <w:bCs/>
                <w:kern w:val="0"/>
                <w:sz w:val="15"/>
                <w:szCs w:val="15"/>
              </w:rPr>
              <w:t>（点名册）</w:t>
            </w:r>
          </w:p>
        </w:tc>
        <w:tc>
          <w:tcPr>
            <w:tcW w:w="1843" w:type="dxa"/>
            <w:gridSpan w:val="2"/>
            <w:tcBorders>
              <w:top w:val="single" w:color="auto" w:sz="12" w:space="0"/>
              <w:bottom w:val="single" w:color="auto" w:sz="6" w:space="0"/>
            </w:tcBorders>
            <w:noWrap w:val="0"/>
            <w:vAlign w:val="center"/>
          </w:tcPr>
          <w:p>
            <w:pPr>
              <w:widowControl/>
              <w:jc w:val="center"/>
              <w:rPr>
                <w:rFonts w:ascii="宋体" w:cs="宋体"/>
                <w:b/>
                <w:bCs/>
                <w:kern w:val="0"/>
                <w:sz w:val="24"/>
                <w:szCs w:val="24"/>
              </w:rPr>
            </w:pPr>
            <w:r>
              <w:rPr>
                <w:rFonts w:hint="eastAsia" w:ascii="宋体" w:hAnsi="宋体" w:cs="宋体"/>
                <w:b/>
                <w:bCs/>
                <w:kern w:val="0"/>
                <w:sz w:val="24"/>
                <w:szCs w:val="24"/>
              </w:rPr>
              <w:t>姓名</w:t>
            </w:r>
          </w:p>
        </w:tc>
        <w:tc>
          <w:tcPr>
            <w:tcW w:w="2410" w:type="dxa"/>
            <w:gridSpan w:val="2"/>
            <w:tcBorders>
              <w:top w:val="single" w:color="auto" w:sz="12" w:space="0"/>
              <w:bottom w:val="single" w:color="auto" w:sz="6" w:space="0"/>
            </w:tcBorders>
            <w:noWrap w:val="0"/>
            <w:vAlign w:val="center"/>
          </w:tcPr>
          <w:p>
            <w:pPr>
              <w:widowControl/>
              <w:jc w:val="center"/>
              <w:rPr>
                <w:rFonts w:ascii="宋体" w:cs="宋体"/>
                <w:b/>
                <w:bCs/>
                <w:kern w:val="0"/>
                <w:sz w:val="24"/>
                <w:szCs w:val="24"/>
              </w:rPr>
            </w:pPr>
            <w:r>
              <w:rPr>
                <w:rFonts w:hint="eastAsia" w:ascii="宋体" w:hAnsi="宋体" w:cs="宋体"/>
                <w:b/>
                <w:bCs/>
                <w:kern w:val="0"/>
                <w:sz w:val="24"/>
                <w:szCs w:val="24"/>
              </w:rPr>
              <w:t>学号</w:t>
            </w:r>
          </w:p>
        </w:tc>
        <w:tc>
          <w:tcPr>
            <w:tcW w:w="3260" w:type="dxa"/>
            <w:gridSpan w:val="2"/>
            <w:tcBorders>
              <w:top w:val="single" w:color="auto" w:sz="12" w:space="0"/>
              <w:bottom w:val="single" w:color="auto" w:sz="6" w:space="0"/>
              <w:right w:val="single" w:color="auto" w:sz="12" w:space="0"/>
            </w:tcBorders>
            <w:noWrap w:val="0"/>
            <w:vAlign w:val="center"/>
          </w:tcPr>
          <w:p>
            <w:pPr>
              <w:widowControl/>
              <w:jc w:val="center"/>
              <w:rPr>
                <w:rFonts w:ascii="宋体" w:cs="宋体"/>
                <w:b/>
                <w:bCs/>
                <w:kern w:val="0"/>
                <w:sz w:val="24"/>
                <w:szCs w:val="24"/>
              </w:rPr>
            </w:pPr>
            <w:r>
              <w:rPr>
                <w:rFonts w:hint="eastAsia" w:ascii="宋体" w:hAnsi="宋体" w:cs="宋体"/>
                <w:b/>
                <w:bCs/>
                <w:kern w:val="0"/>
                <w:sz w:val="24"/>
                <w:szCs w:val="24"/>
              </w:rPr>
              <w:t>班级</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959" w:type="dxa"/>
            <w:tcBorders>
              <w:top w:val="single" w:color="auto" w:sz="6" w:space="0"/>
              <w:left w:val="single" w:color="auto" w:sz="12" w:space="0"/>
              <w:bottom w:val="single" w:color="auto" w:sz="6" w:space="0"/>
            </w:tcBorders>
            <w:noWrap/>
            <w:vAlign w:val="center"/>
          </w:tcPr>
          <w:p>
            <w:pPr>
              <w:widowControl/>
              <w:jc w:val="center"/>
              <w:rPr>
                <w:rFonts w:hint="eastAsia" w:ascii="宋体" w:cs="宋体" w:eastAsiaTheme="minorEastAsia"/>
                <w:b/>
                <w:bCs/>
                <w:kern w:val="0"/>
                <w:sz w:val="24"/>
                <w:szCs w:val="24"/>
                <w:lang w:val="en-US" w:eastAsia="zh-CN"/>
              </w:rPr>
            </w:pPr>
            <w:r>
              <w:rPr>
                <w:rFonts w:hint="eastAsia" w:ascii="宋体" w:cs="宋体"/>
                <w:b/>
                <w:bCs/>
                <w:kern w:val="0"/>
                <w:sz w:val="24"/>
                <w:szCs w:val="24"/>
                <w:lang w:val="en-US" w:eastAsia="zh-CN"/>
              </w:rPr>
              <w:t>学生</w:t>
            </w:r>
          </w:p>
        </w:tc>
        <w:tc>
          <w:tcPr>
            <w:tcW w:w="992" w:type="dxa"/>
            <w:tcBorders>
              <w:top w:val="single" w:color="auto" w:sz="6" w:space="0"/>
              <w:bottom w:val="single" w:color="auto" w:sz="6" w:space="0"/>
            </w:tcBorders>
            <w:noWrap w:val="0"/>
            <w:vAlign w:val="center"/>
          </w:tcPr>
          <w:p>
            <w:pPr>
              <w:widowControl/>
              <w:jc w:val="center"/>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39</w:t>
            </w:r>
          </w:p>
        </w:tc>
        <w:tc>
          <w:tcPr>
            <w:tcW w:w="1843" w:type="dxa"/>
            <w:gridSpan w:val="2"/>
            <w:tcBorders>
              <w:top w:val="single" w:color="auto" w:sz="6" w:space="0"/>
              <w:bottom w:val="single" w:color="auto" w:sz="6" w:space="0"/>
            </w:tcBorders>
            <w:noWrap/>
            <w:vAlign w:val="center"/>
          </w:tcPr>
          <w:p>
            <w:pPr>
              <w:widowControl/>
              <w:jc w:val="center"/>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李凯涛</w:t>
            </w:r>
          </w:p>
        </w:tc>
        <w:tc>
          <w:tcPr>
            <w:tcW w:w="2410" w:type="dxa"/>
            <w:gridSpan w:val="2"/>
            <w:tcBorders>
              <w:top w:val="single" w:color="auto" w:sz="6" w:space="0"/>
              <w:bottom w:val="single" w:color="auto" w:sz="6" w:space="0"/>
            </w:tcBorders>
            <w:noWrap/>
            <w:vAlign w:val="center"/>
          </w:tcPr>
          <w:p>
            <w:pPr>
              <w:widowControl/>
              <w:jc w:val="center"/>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2023327100056</w:t>
            </w:r>
          </w:p>
        </w:tc>
        <w:tc>
          <w:tcPr>
            <w:tcW w:w="3260" w:type="dxa"/>
            <w:gridSpan w:val="2"/>
            <w:tcBorders>
              <w:top w:val="single" w:color="auto" w:sz="6" w:space="0"/>
              <w:bottom w:val="single" w:color="auto" w:sz="6" w:space="0"/>
              <w:right w:val="single" w:color="auto" w:sz="12" w:space="0"/>
            </w:tcBorders>
            <w:noWrap/>
            <w:vAlign w:val="center"/>
          </w:tcPr>
          <w:p>
            <w:pPr>
              <w:widowControl/>
              <w:jc w:val="center"/>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23纺织2班</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285" w:hRule="atLeast"/>
        </w:trPr>
        <w:tc>
          <w:tcPr>
            <w:tcW w:w="2376" w:type="dxa"/>
            <w:gridSpan w:val="3"/>
            <w:tcBorders>
              <w:top w:val="single" w:color="auto" w:sz="12" w:space="0"/>
            </w:tcBorders>
            <w:noWrap w:val="0"/>
            <w:vAlign w:val="center"/>
          </w:tcPr>
          <w:p>
            <w:pPr>
              <w:widowControl/>
              <w:jc w:val="center"/>
              <w:rPr>
                <w:rFonts w:ascii="宋体" w:hAnsi="宋体" w:cs="宋体"/>
                <w:kern w:val="0"/>
                <w:szCs w:val="21"/>
              </w:rPr>
            </w:pPr>
            <w:r>
              <w:rPr>
                <w:rFonts w:hint="eastAsia" w:ascii="宋体" w:hAnsi="宋体" w:cs="宋体"/>
                <w:b/>
                <w:kern w:val="0"/>
                <w:sz w:val="24"/>
                <w:szCs w:val="24"/>
              </w:rPr>
              <w:t>上课时间</w:t>
            </w:r>
          </w:p>
        </w:tc>
        <w:tc>
          <w:tcPr>
            <w:tcW w:w="2694" w:type="dxa"/>
            <w:gridSpan w:val="2"/>
            <w:tcBorders>
              <w:top w:val="single" w:color="auto" w:sz="12" w:space="0"/>
            </w:tcBorders>
            <w:noWrap/>
            <w:vAlign w:val="center"/>
          </w:tcPr>
          <w:p>
            <w:pPr>
              <w:widowControl/>
              <w:ind w:firstLine="840" w:firstLineChars="400"/>
              <w:jc w:val="both"/>
              <w:rPr>
                <w:rFonts w:ascii="宋体" w:hAnsi="宋体" w:cs="宋体"/>
                <w:kern w:val="0"/>
                <w:szCs w:val="21"/>
              </w:rPr>
            </w:pPr>
            <w:r>
              <w:rPr>
                <w:rFonts w:hint="eastAsia" w:ascii="宋体" w:hAnsi="宋体" w:cs="宋体"/>
                <w:kern w:val="0"/>
                <w:szCs w:val="21"/>
              </w:rPr>
              <w:t>周</w:t>
            </w:r>
            <w:r>
              <w:rPr>
                <w:rFonts w:hint="eastAsia" w:ascii="宋体" w:hAnsi="宋体" w:cs="宋体"/>
                <w:kern w:val="0"/>
                <w:szCs w:val="21"/>
                <w:lang w:val="en-US" w:eastAsia="zh-CN"/>
              </w:rPr>
              <w:t>二10</w:t>
            </w:r>
            <w:r>
              <w:rPr>
                <w:rFonts w:hint="eastAsia" w:ascii="宋体" w:hAnsi="宋体" w:cs="宋体"/>
                <w:kern w:val="0"/>
                <w:szCs w:val="21"/>
              </w:rPr>
              <w:t>-</w:t>
            </w:r>
            <w:r>
              <w:rPr>
                <w:rFonts w:hint="eastAsia" w:ascii="宋体" w:hAnsi="宋体" w:cs="宋体"/>
                <w:kern w:val="0"/>
                <w:szCs w:val="21"/>
                <w:lang w:val="en-US" w:eastAsia="zh-CN"/>
              </w:rPr>
              <w:t>12</w:t>
            </w:r>
            <w:r>
              <w:rPr>
                <w:rFonts w:hint="eastAsia" w:ascii="宋体" w:hAnsi="宋体" w:cs="宋体"/>
                <w:kern w:val="0"/>
                <w:szCs w:val="21"/>
              </w:rPr>
              <w:t>节</w:t>
            </w:r>
          </w:p>
        </w:tc>
        <w:tc>
          <w:tcPr>
            <w:tcW w:w="1984" w:type="dxa"/>
            <w:gridSpan w:val="2"/>
            <w:tcBorders>
              <w:top w:val="single" w:color="auto" w:sz="12" w:space="0"/>
            </w:tcBorders>
            <w:noWrap/>
            <w:vAlign w:val="center"/>
          </w:tcPr>
          <w:p>
            <w:pPr>
              <w:widowControl/>
              <w:jc w:val="center"/>
              <w:rPr>
                <w:rFonts w:ascii="宋体" w:hAnsi="宋体" w:cs="宋体"/>
                <w:b/>
                <w:kern w:val="0"/>
                <w:sz w:val="24"/>
                <w:szCs w:val="24"/>
              </w:rPr>
            </w:pPr>
            <w:r>
              <w:rPr>
                <w:rFonts w:hint="eastAsia" w:ascii="宋体" w:hAnsi="宋体" w:cs="宋体"/>
                <w:b/>
                <w:kern w:val="0"/>
                <w:sz w:val="24"/>
                <w:szCs w:val="24"/>
              </w:rPr>
              <w:t>电话</w:t>
            </w:r>
          </w:p>
        </w:tc>
        <w:tc>
          <w:tcPr>
            <w:tcW w:w="2410" w:type="dxa"/>
            <w:tcBorders>
              <w:top w:val="single" w:color="auto" w:sz="12" w:space="0"/>
            </w:tcBorders>
            <w:noWrap w:val="0"/>
            <w:vAlign w:val="center"/>
          </w:tcPr>
          <w:p>
            <w:pPr>
              <w:widowControl/>
              <w:jc w:val="center"/>
              <w:rPr>
                <w:rFonts w:hint="default" w:ascii="宋体" w:hAnsi="宋体" w:cs="宋体" w:eastAsiaTheme="minorEastAsia"/>
                <w:kern w:val="0"/>
                <w:szCs w:val="21"/>
                <w:lang w:val="en-US" w:eastAsia="zh-CN"/>
              </w:rPr>
            </w:pPr>
            <w:r>
              <w:rPr>
                <w:rFonts w:hint="eastAsia" w:ascii="宋体" w:hAnsi="宋体" w:cs="宋体"/>
                <w:kern w:val="0"/>
                <w:szCs w:val="21"/>
                <w:lang w:val="en-US" w:eastAsia="zh-CN"/>
              </w:rPr>
              <w:t>15700181194</w:t>
            </w:r>
          </w:p>
        </w:tc>
      </w:tr>
    </w:tbl>
    <w:p>
      <w:pPr>
        <w:rPr>
          <w:rFonts w:hint="eastAsia"/>
          <w:lang w:val="en-US" w:eastAsia="zh-CN"/>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ind w:right="420"/>
        <w:jc w:val="left"/>
        <w:rPr>
          <w:rFonts w:hint="eastAsia"/>
          <w:b/>
          <w:sz w:val="24"/>
          <w:szCs w:val="24"/>
        </w:rPr>
      </w:pPr>
    </w:p>
    <w:p>
      <w:pPr>
        <w:spacing w:line="360" w:lineRule="auto"/>
        <w:jc w:val="center"/>
        <w:rPr>
          <w:rFonts w:hint="eastAsia" w:ascii="黑体" w:hAnsi="宋体" w:eastAsia="黑体" w:cs="Times New Roman"/>
          <w:bCs/>
          <w:sz w:val="28"/>
          <w:szCs w:val="28"/>
          <w:lang w:val="en-US" w:eastAsia="zh-CN"/>
        </w:rPr>
      </w:pPr>
    </w:p>
    <w:p>
      <w:pPr>
        <w:spacing w:line="360" w:lineRule="auto"/>
        <w:jc w:val="center"/>
        <w:rPr>
          <w:rFonts w:hint="default" w:ascii="黑体" w:hAnsi="宋体" w:eastAsia="黑体" w:cs="Times New Roman"/>
          <w:bCs/>
          <w:sz w:val="28"/>
          <w:szCs w:val="28"/>
          <w:lang w:val="en-US" w:eastAsia="zh-CN"/>
        </w:rPr>
      </w:pPr>
      <w:r>
        <w:rPr>
          <w:rFonts w:hint="eastAsia" w:ascii="黑体" w:hAnsi="宋体" w:eastAsia="黑体" w:cs="Times New Roman"/>
          <w:bCs/>
          <w:sz w:val="28"/>
          <w:szCs w:val="28"/>
          <w:lang w:val="en-US" w:eastAsia="zh-CN"/>
        </w:rPr>
        <w:t>证券投资对个人选股的基本面分析与技术分析</w:t>
      </w:r>
    </w:p>
    <w:p>
      <w:pPr>
        <w:ind w:firstLine="420" w:firstLineChars="200"/>
        <w:rPr>
          <w:rFonts w:hint="default" w:ascii="楷体" w:hAnsi="楷体" w:eastAsia="楷体" w:cs="Times New Roman"/>
          <w:kern w:val="2"/>
          <w:sz w:val="21"/>
          <w:szCs w:val="21"/>
          <w:lang w:val="en-US" w:eastAsia="zh-CN" w:bidi="ar-SA"/>
        </w:rPr>
      </w:pPr>
      <w:r>
        <w:rPr>
          <w:rFonts w:hint="eastAsia" w:ascii="楷体" w:hAnsi="楷体" w:eastAsia="楷体" w:cs="Times New Roman"/>
          <w:kern w:val="2"/>
          <w:sz w:val="21"/>
          <w:szCs w:val="21"/>
          <w:lang w:val="en-US" w:eastAsia="zh-CN" w:bidi="ar-SA"/>
        </w:rPr>
        <w:t>践是认识的目的和归宿的原理指引，聚焦首要政治任务、锚定文化建设新方向、牢牢遵循基本原则、系统把握重点内容、始终坚持人民立场。 浙江，地处中国东南沿海，拥有深厚的文化底蕴和悠久的历史积淀，是中国文化版图上一颗璀璨的明珠。习近平文化思想在浙江得到了深入贯彻和实施，总结浙江如何在习近平新时代中国特色社会主义思想指引下，推进文化强省建设，弘扬中华优秀传统文化，发展社会主义先进文化，提升公共文化服务水平，促进文化和旅游融合发展等方面的实践探索与丰硕成果。通过这些实践，浙江的文化软实力显著增强，人民群众的文化获得感不断提升，为全国的文化建设提供了鲜活的浙江经验。</w:t>
      </w:r>
    </w:p>
    <w:p>
      <w:pPr>
        <w:ind w:firstLine="420" w:firstLineChars="200"/>
        <w:rPr>
          <w:rFonts w:hint="default" w:ascii="楷体" w:hAnsi="楷体" w:eastAsia="楷体" w:cs="Times New Roman"/>
          <w:kern w:val="2"/>
          <w:sz w:val="21"/>
          <w:szCs w:val="21"/>
          <w:lang w:val="en-US" w:eastAsia="zh-CN" w:bidi="ar-SA"/>
        </w:rPr>
      </w:pPr>
      <w:r>
        <w:rPr>
          <w:rFonts w:hint="eastAsia" w:ascii="黑体" w:hAnsi="黑体" w:eastAsia="黑体"/>
          <w:sz w:val="21"/>
          <w:szCs w:val="21"/>
          <w:lang w:val="en-US" w:eastAsia="zh-CN"/>
        </w:rPr>
        <w:t>关键词：</w:t>
      </w:r>
      <w:r>
        <w:rPr>
          <w:rFonts w:hint="eastAsia" w:ascii="楷体" w:hAnsi="楷体" w:eastAsia="楷体" w:cs="Times New Roman"/>
          <w:kern w:val="2"/>
          <w:sz w:val="21"/>
          <w:szCs w:val="21"/>
          <w:lang w:val="en-US" w:eastAsia="zh-CN" w:bidi="ar-SA"/>
        </w:rPr>
        <w:t>习近平文化思想； 中华优秀传统文化；文化强省；浙江文化的软实力；文化建设</w:t>
      </w:r>
    </w:p>
    <w:p>
      <w:pPr>
        <w:keepNext w:val="0"/>
        <w:keepLines w:val="0"/>
        <w:pageBreakBefore w:val="0"/>
        <w:numPr>
          <w:ilvl w:val="0"/>
          <w:numId w:val="1"/>
        </w:numPr>
        <w:kinsoku/>
        <w:wordWrap/>
        <w:overflowPunct/>
        <w:topLinePunct w:val="0"/>
        <w:autoSpaceDE/>
        <w:autoSpaceDN/>
        <w:bidi w:val="0"/>
        <w:adjustRightInd/>
        <w:snapToGrid/>
        <w:spacing w:line="360" w:lineRule="auto"/>
        <w:ind w:firstLine="480" w:firstLineChars="200"/>
        <w:textAlignment w:val="auto"/>
        <w:rPr>
          <w:rFonts w:hint="eastAsia" w:ascii="黑体" w:hAnsi="宋体" w:eastAsia="黑体" w:cs="Times New Roman"/>
          <w:bCs/>
          <w:sz w:val="24"/>
          <w:lang w:val="en-US" w:eastAsia="zh-CN"/>
        </w:rPr>
      </w:pPr>
      <w:r>
        <w:rPr>
          <w:rFonts w:hint="eastAsia" w:ascii="黑体" w:hAnsi="宋体" w:eastAsia="黑体" w:cs="Times New Roman"/>
          <w:bCs/>
          <w:sz w:val="24"/>
          <w:lang w:val="en-US" w:eastAsia="zh-CN"/>
        </w:rPr>
        <w:t>大盘走势分析</w:t>
      </w:r>
    </w:p>
    <w:p>
      <w:pPr>
        <w:keepNext w:val="0"/>
        <w:keepLines w:val="0"/>
        <w:pageBreakBefore w:val="0"/>
        <w:numPr>
          <w:ilvl w:val="0"/>
          <w:numId w:val="2"/>
        </w:numPr>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上证综合指数分析</w:t>
      </w:r>
    </w:p>
    <w:p>
      <w:pPr>
        <w:ind w:firstLine="420" w:firstLineChars="200"/>
        <w:rPr>
          <w:rFonts w:hint="default" w:ascii="宋体" w:hAnsi="宋体" w:eastAsia="宋体" w:cs="Times New Roman"/>
          <w:szCs w:val="21"/>
          <w:lang w:val="en-US" w:eastAsia="zh-CN"/>
        </w:rPr>
      </w:pPr>
      <w:r>
        <w:rPr>
          <w:rFonts w:hint="eastAsia" w:ascii="宋体" w:hAnsi="宋体" w:eastAsia="宋体" w:cs="Times New Roman"/>
          <w:kern w:val="2"/>
          <w:sz w:val="21"/>
          <w:szCs w:val="21"/>
          <w:lang w:val="en-US" w:eastAsia="zh-CN" w:bidi="ar-SA"/>
        </w:rPr>
        <w:t>如图1，截至到2024年5月9日左右，</w:t>
      </w:r>
      <w:r>
        <w:rPr>
          <w:rFonts w:hint="eastAsia"/>
          <w:lang w:val="en-US" w:eastAsia="zh-CN"/>
        </w:rPr>
        <w:t>根据最近的行情分析，结合最近近日的分析可知，上证指数走向未来会朝着利好的趋势进行，5月开始是开门红，未来有希望朝着3200点方向发展。</w:t>
      </w:r>
    </w:p>
    <w:p>
      <w:pPr>
        <w:keepNext w:val="0"/>
        <w:keepLines w:val="0"/>
        <w:pageBreakBefore w:val="0"/>
        <w:numPr>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3599815" cy="1800225"/>
            <wp:effectExtent l="0" t="0" r="12065" b="13335"/>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a:stretch>
                      <a:fillRect/>
                    </a:stretch>
                  </pic:blipFill>
                  <pic:spPr>
                    <a:xfrm>
                      <a:off x="0" y="0"/>
                      <a:ext cx="3599815" cy="1800225"/>
                    </a:xfrm>
                    <a:prstGeom prst="rect">
                      <a:avLst/>
                    </a:prstGeom>
                    <a:noFill/>
                    <a:ln>
                      <a:noFill/>
                    </a:ln>
                  </pic:spPr>
                </pic:pic>
              </a:graphicData>
            </a:graphic>
          </wp:inline>
        </w:drawing>
      </w:r>
    </w:p>
    <w:p>
      <w:pPr>
        <w:keepNext w:val="0"/>
        <w:keepLines w:val="0"/>
        <w:pageBreakBefore w:val="0"/>
        <w:numPr>
          <w:numId w:val="0"/>
        </w:numPr>
        <w:kinsoku/>
        <w:wordWrap/>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lang w:val="en-US" w:eastAsia="zh-CN"/>
        </w:rPr>
        <w:t>图1</w:t>
      </w:r>
    </w:p>
    <w:p>
      <w:pPr>
        <w:rPr>
          <w:rFonts w:hint="eastAsia" w:ascii="楷体" w:hAnsi="楷体" w:eastAsia="楷体" w:cs="Times New Roman"/>
          <w:kern w:val="2"/>
          <w:sz w:val="21"/>
          <w:szCs w:val="21"/>
          <w:lang w:val="en-US" w:eastAsia="zh-CN" w:bidi="ar-SA"/>
        </w:rPr>
      </w:pPr>
    </w:p>
    <w:p>
      <w:pPr>
        <w:keepNext w:val="0"/>
        <w:keepLines w:val="0"/>
        <w:pageBreakBefore w:val="0"/>
        <w:numPr>
          <w:ilvl w:val="0"/>
          <w:numId w:val="2"/>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ascii="宋体" w:hAnsi="宋体" w:eastAsia="宋体" w:cs="Times New Roman"/>
          <w:szCs w:val="21"/>
          <w:lang w:val="en-US" w:eastAsia="zh-CN"/>
        </w:rPr>
        <w:t>科创板指数分析</w:t>
      </w:r>
    </w:p>
    <w:p>
      <w:pPr>
        <w:ind w:firstLine="420" w:firstLineChars="200"/>
        <w:rPr>
          <w:rFonts w:hint="eastAsia"/>
          <w:lang w:val="en-US" w:eastAsia="zh-CN"/>
        </w:rPr>
      </w:pPr>
      <w:r>
        <w:rPr>
          <w:rFonts w:hint="eastAsia"/>
          <w:lang w:val="en-US" w:eastAsia="zh-CN"/>
        </w:rPr>
        <w:t>截至至2024年5月9日，上证科创板50成份指数上涨2.3%，科创100指数上涨2.2%，上证科创板成长指数上涨2.4%。上证科创板50和科创100指数在未来有望继续保持增长趋势，在半导体和医疗领域上涨趋势较高</w:t>
      </w:r>
    </w:p>
    <w:p>
      <w:pPr>
        <w:keepNext w:val="0"/>
        <w:keepLines w:val="0"/>
        <w:pageBreakBefore w:val="0"/>
        <w:numPr>
          <w:ilvl w:val="0"/>
          <w:numId w:val="2"/>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深圳成分指数</w:t>
      </w:r>
      <w:r>
        <w:rPr>
          <w:rFonts w:hint="eastAsia" w:ascii="宋体" w:hAnsi="宋体" w:eastAsia="宋体" w:cs="Times New Roman"/>
          <w:szCs w:val="21"/>
          <w:lang w:val="en-US" w:eastAsia="zh-CN"/>
        </w:rPr>
        <w:t>分析</w:t>
      </w:r>
    </w:p>
    <w:p>
      <w:pPr>
        <w:rPr>
          <w:rFonts w:hint="eastAsia" w:ascii="Arial" w:hAnsi="Arial" w:eastAsia="宋体" w:cs="Arial"/>
          <w:i w:val="0"/>
          <w:iCs w:val="0"/>
          <w:caps w:val="0"/>
          <w:color w:val="222222"/>
          <w:spacing w:val="0"/>
          <w:sz w:val="21"/>
          <w:szCs w:val="21"/>
          <w:shd w:val="clear" w:fill="FFFFFF"/>
          <w:lang w:val="en-US" w:eastAsia="zh-CN"/>
        </w:rPr>
      </w:pPr>
      <w:r>
        <w:rPr>
          <w:rFonts w:hint="eastAsia" w:ascii="宋体" w:hAnsi="宋体" w:eastAsia="宋体" w:cs="Times New Roman"/>
          <w:szCs w:val="21"/>
          <w:lang w:val="en-US" w:eastAsia="zh-CN"/>
        </w:rPr>
        <w:t xml:space="preserve">    如图2，</w:t>
      </w:r>
      <w:r>
        <w:rPr>
          <w:rFonts w:hint="eastAsia" w:ascii="Arial" w:hAnsi="Arial" w:eastAsia="宋体" w:cs="Arial"/>
          <w:i w:val="0"/>
          <w:iCs w:val="0"/>
          <w:caps w:val="0"/>
          <w:color w:val="222222"/>
          <w:spacing w:val="0"/>
          <w:sz w:val="21"/>
          <w:szCs w:val="21"/>
          <w:shd w:val="clear" w:fill="FFFFFF"/>
          <w:lang w:val="en-US" w:eastAsia="zh-CN"/>
        </w:rPr>
        <w:t>截至到2024年5月10日，深圳成分指数在过去的几天时间保持震荡，且在5月9日，涨创年内新高，笔者认为其将继续保持震荡上升趋势。</w:t>
      </w:r>
    </w:p>
    <w:p>
      <w:pPr>
        <w:keepNext w:val="0"/>
        <w:keepLines w:val="0"/>
        <w:pageBreakBefore w:val="0"/>
        <w:numPr>
          <w:numId w:val="0"/>
        </w:numPr>
        <w:kinsoku/>
        <w:wordWrap/>
        <w:overflowPunct/>
        <w:topLinePunct w:val="0"/>
        <w:autoSpaceDE/>
        <w:autoSpaceDN/>
        <w:bidi w:val="0"/>
        <w:adjustRightInd/>
        <w:snapToGrid/>
        <w:spacing w:line="360" w:lineRule="auto"/>
        <w:textAlignment w:val="auto"/>
        <w:rPr>
          <w:rFonts w:hint="default"/>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599815" cy="1641475"/>
            <wp:effectExtent l="0" t="0" r="12065" b="4445"/>
            <wp:docPr id="2" name="图片 1" descr="IMG_256"/>
            <wp:cNvGraphicFramePr/>
            <a:graphic xmlns:a="http://schemas.openxmlformats.org/drawingml/2006/main">
              <a:graphicData uri="http://schemas.openxmlformats.org/drawingml/2006/picture">
                <pic:pic xmlns:pic="http://schemas.openxmlformats.org/drawingml/2006/picture">
                  <pic:nvPicPr>
                    <pic:cNvPr id="2" name="图片 1" descr="IMG_256"/>
                    <pic:cNvPicPr/>
                  </pic:nvPicPr>
                  <pic:blipFill>
                    <a:blip r:embed="rId7"/>
                    <a:stretch>
                      <a:fillRect/>
                    </a:stretch>
                  </pic:blipFill>
                  <pic:spPr>
                    <a:xfrm>
                      <a:off x="0" y="0"/>
                      <a:ext cx="3599815" cy="1641475"/>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图2</w:t>
      </w:r>
    </w:p>
    <w:p>
      <w:pPr>
        <w:keepNext w:val="0"/>
        <w:keepLines w:val="0"/>
        <w:pageBreakBefore w:val="0"/>
        <w:numPr>
          <w:ilvl w:val="0"/>
          <w:numId w:val="2"/>
        </w:numPr>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指数</w:t>
      </w:r>
      <w:r>
        <w:rPr>
          <w:rFonts w:hint="eastAsia" w:ascii="宋体" w:hAnsi="宋体" w:eastAsia="宋体" w:cs="Times New Roman"/>
          <w:szCs w:val="21"/>
          <w:lang w:val="en-US" w:eastAsia="zh-CN"/>
        </w:rPr>
        <w:t>分析创业板</w:t>
      </w:r>
    </w:p>
    <w:p>
      <w:pPr>
        <w:ind w:firstLine="420" w:firstLineChars="200"/>
        <w:rPr>
          <w:rFonts w:hint="eastAsia"/>
          <w:lang w:val="en-US" w:eastAsia="zh-CN"/>
        </w:rPr>
      </w:pPr>
      <w:r>
        <w:rPr>
          <w:rFonts w:hint="eastAsia" w:ascii="Arial" w:hAnsi="Arial" w:eastAsia="宋体" w:cs="Arial"/>
          <w:i w:val="0"/>
          <w:iCs w:val="0"/>
          <w:caps w:val="0"/>
          <w:color w:val="222222"/>
          <w:spacing w:val="0"/>
          <w:sz w:val="21"/>
          <w:szCs w:val="21"/>
          <w:shd w:val="clear" w:fill="FFFFFF"/>
          <w:lang w:val="en-US" w:eastAsia="zh-CN"/>
        </w:rPr>
        <w:t>如图3，创业板指数最近领涨，创业板指涨1.87%。由资料可知，板块方面，</w:t>
      </w:r>
      <w:r>
        <w:rPr>
          <w:rFonts w:hint="eastAsia" w:ascii="Arial" w:hAnsi="Arial" w:eastAsia="宋体" w:cs="Arial"/>
          <w:i w:val="0"/>
          <w:iCs w:val="0"/>
          <w:caps w:val="0"/>
          <w:color w:val="222222"/>
          <w:spacing w:val="0"/>
          <w:sz w:val="21"/>
          <w:szCs w:val="21"/>
          <w:shd w:val="clear" w:fill="FFFFFF"/>
          <w:lang w:val="en-US" w:eastAsia="zh-CN"/>
        </w:rPr>
        <w:fldChar w:fldCharType="begin"/>
      </w:r>
      <w:r>
        <w:rPr>
          <w:rFonts w:hint="eastAsia" w:ascii="Arial" w:hAnsi="Arial" w:eastAsia="宋体" w:cs="Arial"/>
          <w:i w:val="0"/>
          <w:iCs w:val="0"/>
          <w:caps w:val="0"/>
          <w:color w:val="222222"/>
          <w:spacing w:val="0"/>
          <w:sz w:val="21"/>
          <w:szCs w:val="21"/>
          <w:shd w:val="clear" w:fill="FFFFFF"/>
          <w:lang w:val="en-US" w:eastAsia="zh-CN"/>
        </w:rPr>
        <w:instrText xml:space="preserve"> HYPERLINK "http://quote.eastmoney.com/unify/r/90.BK1033" \t "https://finance.eastmoney.com/a/_blank" </w:instrText>
      </w:r>
      <w:r>
        <w:rPr>
          <w:rFonts w:hint="eastAsia" w:ascii="Arial" w:hAnsi="Arial" w:eastAsia="宋体" w:cs="Arial"/>
          <w:i w:val="0"/>
          <w:iCs w:val="0"/>
          <w:caps w:val="0"/>
          <w:color w:val="222222"/>
          <w:spacing w:val="0"/>
          <w:sz w:val="21"/>
          <w:szCs w:val="21"/>
          <w:shd w:val="clear" w:fill="FFFFFF"/>
          <w:lang w:val="en-US" w:eastAsia="zh-CN"/>
        </w:rPr>
        <w:fldChar w:fldCharType="separate"/>
      </w:r>
      <w:r>
        <w:rPr>
          <w:rFonts w:hint="eastAsia" w:ascii="Arial" w:hAnsi="Arial" w:eastAsia="宋体" w:cs="Arial"/>
          <w:i w:val="0"/>
          <w:iCs w:val="0"/>
          <w:caps w:val="0"/>
          <w:color w:val="222222"/>
          <w:spacing w:val="0"/>
          <w:sz w:val="21"/>
          <w:szCs w:val="21"/>
          <w:shd w:val="clear" w:fill="FFFFFF"/>
          <w:lang w:val="en-US" w:eastAsia="zh-CN"/>
        </w:rPr>
        <w:t>电池</w:t>
      </w:r>
      <w:r>
        <w:rPr>
          <w:rFonts w:hint="eastAsia" w:ascii="Arial" w:hAnsi="Arial" w:eastAsia="宋体" w:cs="Arial"/>
          <w:i w:val="0"/>
          <w:iCs w:val="0"/>
          <w:caps w:val="0"/>
          <w:color w:val="222222"/>
          <w:spacing w:val="0"/>
          <w:sz w:val="21"/>
          <w:szCs w:val="21"/>
          <w:shd w:val="clear" w:fill="FFFFFF"/>
          <w:lang w:val="en-US" w:eastAsia="zh-CN"/>
        </w:rPr>
        <w:fldChar w:fldCharType="end"/>
      </w:r>
      <w:r>
        <w:rPr>
          <w:rFonts w:hint="eastAsia" w:ascii="Arial" w:hAnsi="Arial" w:eastAsia="宋体" w:cs="Arial"/>
          <w:i w:val="0"/>
          <w:iCs w:val="0"/>
          <w:caps w:val="0"/>
          <w:color w:val="222222"/>
          <w:spacing w:val="0"/>
          <w:sz w:val="21"/>
          <w:szCs w:val="21"/>
          <w:shd w:val="clear" w:fill="FFFFFF"/>
          <w:lang w:val="en-US" w:eastAsia="zh-CN"/>
        </w:rPr>
        <w:t>、航运、</w:t>
      </w:r>
      <w:r>
        <w:rPr>
          <w:rFonts w:hint="eastAsia" w:ascii="Arial" w:hAnsi="Arial" w:eastAsia="宋体" w:cs="Arial"/>
          <w:i w:val="0"/>
          <w:iCs w:val="0"/>
          <w:caps w:val="0"/>
          <w:color w:val="222222"/>
          <w:spacing w:val="0"/>
          <w:sz w:val="21"/>
          <w:szCs w:val="21"/>
          <w:shd w:val="clear" w:fill="FFFFFF"/>
          <w:lang w:val="en-US" w:eastAsia="zh-CN"/>
        </w:rPr>
        <w:fldChar w:fldCharType="begin"/>
      </w:r>
      <w:r>
        <w:rPr>
          <w:rFonts w:hint="eastAsia" w:ascii="Arial" w:hAnsi="Arial" w:eastAsia="宋体" w:cs="Arial"/>
          <w:i w:val="0"/>
          <w:iCs w:val="0"/>
          <w:caps w:val="0"/>
          <w:color w:val="222222"/>
          <w:spacing w:val="0"/>
          <w:sz w:val="21"/>
          <w:szCs w:val="21"/>
          <w:shd w:val="clear" w:fill="FFFFFF"/>
          <w:lang w:val="en-US" w:eastAsia="zh-CN"/>
        </w:rPr>
        <w:instrText xml:space="preserve"> HYPERLINK "http://quote.eastmoney.com/unify/r/90.BK0490" \t "https://finance.eastmoney.com/a/_blank" </w:instrText>
      </w:r>
      <w:r>
        <w:rPr>
          <w:rFonts w:hint="eastAsia" w:ascii="Arial" w:hAnsi="Arial" w:eastAsia="宋体" w:cs="Arial"/>
          <w:i w:val="0"/>
          <w:iCs w:val="0"/>
          <w:caps w:val="0"/>
          <w:color w:val="222222"/>
          <w:spacing w:val="0"/>
          <w:sz w:val="21"/>
          <w:szCs w:val="21"/>
          <w:shd w:val="clear" w:fill="FFFFFF"/>
          <w:lang w:val="en-US" w:eastAsia="zh-CN"/>
        </w:rPr>
        <w:fldChar w:fldCharType="separate"/>
      </w:r>
      <w:r>
        <w:rPr>
          <w:rFonts w:hint="eastAsia" w:ascii="Arial" w:hAnsi="Arial" w:eastAsia="宋体" w:cs="Arial"/>
          <w:i w:val="0"/>
          <w:iCs w:val="0"/>
          <w:caps w:val="0"/>
          <w:color w:val="222222"/>
          <w:spacing w:val="0"/>
          <w:sz w:val="21"/>
          <w:szCs w:val="21"/>
          <w:shd w:val="clear" w:fill="FFFFFF"/>
          <w:lang w:val="en-US" w:eastAsia="zh-CN"/>
        </w:rPr>
        <w:t>军工</w:t>
      </w:r>
      <w:r>
        <w:rPr>
          <w:rFonts w:hint="eastAsia" w:ascii="Arial" w:hAnsi="Arial" w:eastAsia="宋体" w:cs="Arial"/>
          <w:i w:val="0"/>
          <w:iCs w:val="0"/>
          <w:caps w:val="0"/>
          <w:color w:val="222222"/>
          <w:spacing w:val="0"/>
          <w:sz w:val="21"/>
          <w:szCs w:val="21"/>
          <w:shd w:val="clear" w:fill="FFFFFF"/>
          <w:lang w:val="en-US" w:eastAsia="zh-CN"/>
        </w:rPr>
        <w:fldChar w:fldCharType="end"/>
      </w:r>
      <w:r>
        <w:rPr>
          <w:rFonts w:hint="eastAsia" w:ascii="Arial" w:hAnsi="Arial" w:eastAsia="宋体" w:cs="Arial"/>
          <w:i w:val="0"/>
          <w:iCs w:val="0"/>
          <w:caps w:val="0"/>
          <w:color w:val="222222"/>
          <w:spacing w:val="0"/>
          <w:sz w:val="21"/>
          <w:szCs w:val="21"/>
          <w:shd w:val="clear" w:fill="FFFFFF"/>
          <w:lang w:val="en-US" w:eastAsia="zh-CN"/>
        </w:rPr>
        <w:t>等板块涨幅居前；染料、ST板块、</w:t>
      </w:r>
      <w:r>
        <w:rPr>
          <w:rFonts w:hint="eastAsia" w:ascii="Arial" w:hAnsi="Arial" w:eastAsia="宋体" w:cs="Arial"/>
          <w:i w:val="0"/>
          <w:iCs w:val="0"/>
          <w:caps w:val="0"/>
          <w:color w:val="222222"/>
          <w:spacing w:val="0"/>
          <w:sz w:val="21"/>
          <w:szCs w:val="21"/>
          <w:shd w:val="clear" w:fill="FFFFFF"/>
          <w:lang w:val="en-US" w:eastAsia="zh-CN"/>
        </w:rPr>
        <w:fldChar w:fldCharType="begin"/>
      </w:r>
      <w:r>
        <w:rPr>
          <w:rFonts w:hint="eastAsia" w:ascii="Arial" w:hAnsi="Arial" w:eastAsia="宋体" w:cs="Arial"/>
          <w:i w:val="0"/>
          <w:iCs w:val="0"/>
          <w:caps w:val="0"/>
          <w:color w:val="222222"/>
          <w:spacing w:val="0"/>
          <w:sz w:val="21"/>
          <w:szCs w:val="21"/>
          <w:shd w:val="clear" w:fill="FFFFFF"/>
          <w:lang w:val="en-US" w:eastAsia="zh-CN"/>
        </w:rPr>
        <w:instrText xml:space="preserve"> HYPERLINK "http://quote.eastmoney.com/unify/r/90.BK0740" \t "https://finance.eastmoney.com/a/_blank" </w:instrText>
      </w:r>
      <w:r>
        <w:rPr>
          <w:rFonts w:hint="eastAsia" w:ascii="Arial" w:hAnsi="Arial" w:eastAsia="宋体" w:cs="Arial"/>
          <w:i w:val="0"/>
          <w:iCs w:val="0"/>
          <w:caps w:val="0"/>
          <w:color w:val="222222"/>
          <w:spacing w:val="0"/>
          <w:sz w:val="21"/>
          <w:szCs w:val="21"/>
          <w:shd w:val="clear" w:fill="FFFFFF"/>
          <w:lang w:val="en-US" w:eastAsia="zh-CN"/>
        </w:rPr>
        <w:fldChar w:fldCharType="separate"/>
      </w:r>
      <w:r>
        <w:rPr>
          <w:rFonts w:hint="eastAsia" w:ascii="Arial" w:hAnsi="Arial" w:eastAsia="宋体" w:cs="Arial"/>
          <w:i w:val="0"/>
          <w:iCs w:val="0"/>
          <w:caps w:val="0"/>
          <w:color w:val="222222"/>
          <w:spacing w:val="0"/>
          <w:sz w:val="21"/>
          <w:szCs w:val="21"/>
          <w:shd w:val="clear" w:fill="FFFFFF"/>
          <w:lang w:val="en-US" w:eastAsia="zh-CN"/>
        </w:rPr>
        <w:t>教育</w:t>
      </w:r>
      <w:r>
        <w:rPr>
          <w:rFonts w:hint="eastAsia" w:ascii="Arial" w:hAnsi="Arial" w:eastAsia="宋体" w:cs="Arial"/>
          <w:i w:val="0"/>
          <w:iCs w:val="0"/>
          <w:caps w:val="0"/>
          <w:color w:val="222222"/>
          <w:spacing w:val="0"/>
          <w:sz w:val="21"/>
          <w:szCs w:val="21"/>
          <w:shd w:val="clear" w:fill="FFFFFF"/>
          <w:lang w:val="en-US" w:eastAsia="zh-CN"/>
        </w:rPr>
        <w:fldChar w:fldCharType="end"/>
      </w:r>
      <w:r>
        <w:rPr>
          <w:rFonts w:hint="eastAsia" w:ascii="Arial" w:hAnsi="Arial" w:eastAsia="宋体" w:cs="Arial"/>
          <w:i w:val="0"/>
          <w:iCs w:val="0"/>
          <w:caps w:val="0"/>
          <w:color w:val="222222"/>
          <w:spacing w:val="0"/>
          <w:sz w:val="21"/>
          <w:szCs w:val="21"/>
          <w:shd w:val="clear" w:fill="FFFFFF"/>
          <w:lang w:val="en-US" w:eastAsia="zh-CN"/>
        </w:rPr>
        <w:t>等板块跌幅居前。创业版指数最近涨跌维持在1905与1800之间，处于震荡模式。根据数据分析，</w:t>
      </w:r>
      <w:r>
        <w:rPr>
          <w:rFonts w:ascii="Arial" w:hAnsi="Arial" w:eastAsia="宋体" w:cs="Arial"/>
          <w:i w:val="0"/>
          <w:iCs w:val="0"/>
          <w:caps w:val="0"/>
          <w:color w:val="222222"/>
          <w:spacing w:val="0"/>
          <w:sz w:val="21"/>
          <w:szCs w:val="21"/>
          <w:shd w:val="clear" w:fill="FFFFFF"/>
        </w:rPr>
        <w:t>涨幅前五的行业分别是房地产服务3.26%、旅游酒店1.96%、电力行业1.77%、电网设备1.73%、保险1.3%</w:t>
      </w:r>
      <w:r>
        <w:rPr>
          <w:rFonts w:hint="eastAsia" w:ascii="Arial" w:hAnsi="Arial" w:eastAsia="宋体" w:cs="Arial"/>
          <w:i w:val="0"/>
          <w:iCs w:val="0"/>
          <w:caps w:val="0"/>
          <w:color w:val="222222"/>
          <w:spacing w:val="0"/>
          <w:sz w:val="21"/>
          <w:szCs w:val="21"/>
          <w:shd w:val="clear" w:fill="FFFFFF"/>
          <w:lang w:eastAsia="zh-CN"/>
        </w:rPr>
        <w:t>；</w:t>
      </w:r>
      <w:r>
        <w:rPr>
          <w:rFonts w:ascii="Arial" w:hAnsi="Arial" w:eastAsia="宋体" w:cs="Arial"/>
          <w:i w:val="0"/>
          <w:iCs w:val="0"/>
          <w:caps w:val="0"/>
          <w:color w:val="222222"/>
          <w:spacing w:val="0"/>
          <w:sz w:val="21"/>
          <w:szCs w:val="21"/>
          <w:shd w:val="clear" w:fill="FFFFFF"/>
        </w:rPr>
        <w:t>跌幅前五的行业分别是电池-2.94%、半导体-2.53%、医疗服务-2.4%、电子化学品-2.13%、消费电子-2.09%。</w:t>
      </w:r>
    </w:p>
    <w:p>
      <w:pPr>
        <w:jc w:val="center"/>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drawing>
          <wp:inline distT="0" distB="0" distL="114300" distR="114300">
            <wp:extent cx="3599815" cy="1800225"/>
            <wp:effectExtent l="0" t="0" r="12065" b="13335"/>
            <wp:docPr id="3" name="图片 3" descr="IMMV5SE6TK_B(UIRU~8~B28"/>
            <wp:cNvGraphicFramePr/>
            <a:graphic xmlns:a="http://schemas.openxmlformats.org/drawingml/2006/main">
              <a:graphicData uri="http://schemas.openxmlformats.org/drawingml/2006/picture">
                <pic:pic xmlns:pic="http://schemas.openxmlformats.org/drawingml/2006/picture">
                  <pic:nvPicPr>
                    <pic:cNvPr id="3" name="图片 3" descr="IMMV5SE6TK_B(UIRU~8~B28"/>
                    <pic:cNvPicPr/>
                  </pic:nvPicPr>
                  <pic:blipFill>
                    <a:blip r:embed="rId8"/>
                    <a:stretch>
                      <a:fillRect/>
                    </a:stretch>
                  </pic:blipFill>
                  <pic:spPr>
                    <a:xfrm>
                      <a:off x="0" y="0"/>
                      <a:ext cx="3599815" cy="1800225"/>
                    </a:xfrm>
                    <a:prstGeom prst="rect">
                      <a:avLst/>
                    </a:prstGeom>
                  </pic:spPr>
                </pic:pic>
              </a:graphicData>
            </a:graphic>
          </wp:inline>
        </w:drawing>
      </w:r>
    </w:p>
    <w:p>
      <w:pPr>
        <w:jc w:val="center"/>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图3</w:t>
      </w:r>
    </w:p>
    <w:p>
      <w:pPr>
        <w:rPr>
          <w:rFonts w:hint="eastAsia" w:ascii="Arial" w:hAnsi="Arial" w:eastAsia="宋体" w:cs="Arial"/>
          <w:i w:val="0"/>
          <w:iCs w:val="0"/>
          <w:caps w:val="0"/>
          <w:color w:val="222222"/>
          <w:spacing w:val="0"/>
          <w:sz w:val="21"/>
          <w:szCs w:val="21"/>
          <w:shd w:val="clear" w:fill="FFFFFF"/>
          <w:lang w:val="en-US" w:eastAsia="zh-CN"/>
        </w:rPr>
      </w:pPr>
    </w:p>
    <w:p>
      <w:pPr>
        <w:ind w:firstLine="480" w:firstLineChars="200"/>
        <w:rPr>
          <w:rFonts w:hint="default"/>
          <w:lang w:val="en-US" w:eastAsia="zh-CN"/>
        </w:rPr>
      </w:pPr>
      <w:r>
        <w:rPr>
          <w:rFonts w:hint="eastAsia" w:ascii="黑体" w:hAnsi="宋体" w:eastAsia="黑体" w:cs="Times New Roman"/>
          <w:bCs/>
          <w:sz w:val="24"/>
          <w:lang w:val="en-US" w:eastAsia="zh-CN"/>
        </w:rPr>
        <w:t>二、个人选股分析</w:t>
      </w:r>
    </w:p>
    <w:p>
      <w:pPr>
        <w:ind w:firstLine="420" w:firstLineChars="200"/>
        <w:rPr>
          <w:rFonts w:hint="default"/>
          <w:lang w:val="en-US" w:eastAsia="zh-CN"/>
        </w:rPr>
      </w:pPr>
      <w:r>
        <w:rPr>
          <w:rFonts w:hint="eastAsia" w:ascii="宋体" w:hAnsi="宋体" w:eastAsia="宋体" w:cs="Times New Roman"/>
          <w:szCs w:val="21"/>
          <w:lang w:val="en-US" w:eastAsia="zh-CN"/>
        </w:rPr>
        <w:t>（一）3家看好股票</w:t>
      </w:r>
    </w:p>
    <w:p>
      <w:pPr>
        <w:ind w:firstLine="420" w:firstLineChars="200"/>
        <w:rPr>
          <w:rFonts w:hint="eastAsia"/>
          <w:lang w:val="en-US" w:eastAsia="zh-CN"/>
        </w:rPr>
      </w:pPr>
      <w:r>
        <w:rPr>
          <w:rFonts w:hint="eastAsia"/>
          <w:lang w:val="en-US" w:eastAsia="zh-CN"/>
        </w:rPr>
        <w:t>九号公司-WD</w:t>
      </w:r>
    </w:p>
    <w:p>
      <w:pPr>
        <w:ind w:firstLine="420" w:firstLineChars="200"/>
        <w:rPr>
          <w:rFonts w:hint="default"/>
          <w:b/>
          <w:bCs/>
          <w:lang w:val="en-US" w:eastAsia="zh-CN"/>
        </w:rPr>
      </w:pPr>
      <w:r>
        <w:rPr>
          <w:rFonts w:hint="eastAsia"/>
          <w:lang w:val="en-US" w:eastAsia="zh-CN"/>
        </w:rPr>
        <w:t>1</w:t>
      </w:r>
      <w:r>
        <w:rPr>
          <w:rFonts w:hint="eastAsia"/>
          <w:lang w:val="en-US" w:eastAsia="zh-CN"/>
        </w:rPr>
        <w:t>、基本面分析：</w:t>
      </w:r>
    </w:p>
    <w:p>
      <w:pPr>
        <w:ind w:firstLine="422"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b/>
          <w:bCs/>
          <w:i w:val="0"/>
          <w:iCs w:val="0"/>
          <w:caps w:val="0"/>
          <w:color w:val="222222"/>
          <w:spacing w:val="0"/>
          <w:sz w:val="21"/>
          <w:szCs w:val="21"/>
          <w:shd w:val="clear" w:fill="FFFFFF"/>
          <w:lang w:val="en-US" w:eastAsia="zh-CN"/>
        </w:rPr>
        <w:t>宏观面分析</w:t>
      </w:r>
      <w:r>
        <w:rPr>
          <w:rFonts w:hint="eastAsia" w:ascii="Arial" w:hAnsi="Arial" w:eastAsia="宋体" w:cs="Arial"/>
          <w:i w:val="0"/>
          <w:iCs w:val="0"/>
          <w:caps w:val="0"/>
          <w:color w:val="222222"/>
          <w:spacing w:val="0"/>
          <w:sz w:val="21"/>
          <w:szCs w:val="21"/>
          <w:shd w:val="clear" w:fill="FFFFFF"/>
          <w:lang w:val="en-US" w:eastAsia="zh-CN"/>
        </w:rPr>
        <w:t>：</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①公司近期发布的2024年第一季度业绩报告显示九号公司在短交通和机器人业务领域取得了令人瞩目的成绩，营收和净利润均实现了大幅增长。</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②九号公司的智能电动两轮车业务表现尤为突出，且海外市场需求的逐步回暖，以及电动两轮车市场的加速放量。</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③九号公司近几个月对股票进行回购，也释放出利好态势。</w:t>
      </w:r>
    </w:p>
    <w:p>
      <w:pPr>
        <w:ind w:firstLine="422" w:firstLineChars="200"/>
        <w:rPr>
          <w:rFonts w:hint="eastAsia" w:ascii="Arial" w:hAnsi="Arial" w:eastAsia="宋体" w:cs="Arial"/>
          <w:b/>
          <w:bCs/>
          <w:i w:val="0"/>
          <w:iCs w:val="0"/>
          <w:caps w:val="0"/>
          <w:color w:val="222222"/>
          <w:spacing w:val="0"/>
          <w:sz w:val="21"/>
          <w:szCs w:val="21"/>
          <w:shd w:val="clear" w:fill="FFFFFF"/>
          <w:lang w:val="en-US" w:eastAsia="zh-CN"/>
        </w:rPr>
      </w:pPr>
      <w:r>
        <w:rPr>
          <w:rFonts w:hint="eastAsia" w:ascii="Arial" w:hAnsi="Arial" w:eastAsia="宋体" w:cs="Arial"/>
          <w:b/>
          <w:bCs/>
          <w:i w:val="0"/>
          <w:iCs w:val="0"/>
          <w:caps w:val="0"/>
          <w:color w:val="222222"/>
          <w:spacing w:val="0"/>
          <w:sz w:val="21"/>
          <w:szCs w:val="21"/>
          <w:shd w:val="clear" w:fill="FFFFFF"/>
          <w:lang w:val="en-US" w:eastAsia="zh-CN"/>
        </w:rPr>
        <w:t>行业分析：</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①在电动滑板车、电动平衡车等优势业务领域在国际和国内处于稳健地位，其中自主品牌零售电动滑板车实现销量15.17万台，同比增长超20%，实现销售收入3.03亿元。</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②Navimow智能割草机器人公司Navimow智能割草机器人处于领先地位；且公司智能电动两轮车依旧在市场中非常受欢迎，实现销售收入11.9亿元，同比增长119%。</w:t>
      </w:r>
    </w:p>
    <w:p>
      <w:pPr>
        <w:ind w:firstLine="422" w:firstLineChars="200"/>
        <w:rPr>
          <w:rFonts w:hint="eastAsia" w:ascii="Arial" w:hAnsi="Arial" w:eastAsia="宋体" w:cs="Arial"/>
          <w:b/>
          <w:bCs/>
          <w:i w:val="0"/>
          <w:iCs w:val="0"/>
          <w:caps w:val="0"/>
          <w:color w:val="222222"/>
          <w:spacing w:val="0"/>
          <w:sz w:val="21"/>
          <w:szCs w:val="21"/>
          <w:shd w:val="clear" w:fill="FFFFFF"/>
          <w:lang w:val="en-US" w:eastAsia="zh-CN"/>
        </w:rPr>
      </w:pPr>
      <w:r>
        <w:rPr>
          <w:rFonts w:hint="eastAsia" w:ascii="Arial" w:hAnsi="Arial" w:eastAsia="宋体" w:cs="Arial"/>
          <w:b/>
          <w:bCs/>
          <w:i w:val="0"/>
          <w:iCs w:val="0"/>
          <w:caps w:val="0"/>
          <w:color w:val="222222"/>
          <w:spacing w:val="0"/>
          <w:sz w:val="21"/>
          <w:szCs w:val="21"/>
          <w:shd w:val="clear" w:fill="FFFFFF"/>
          <w:lang w:val="en-US" w:eastAsia="zh-CN"/>
        </w:rPr>
        <w:t>公司技术水平：</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①电池续航能力优势明显，九号电动远行者F2z和九号电动远航者Mz MIX，并同步推出被称为电动两轮车铅酸电池天花板的RideyPOWER智能铅酸系统，同体积铅酸电池续航提升15%，且储能寿命更长。</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②机器人智能方面，公司全新升级的Navimow智能割草机器人i系列，在提升产品性能之际，进一步对无边界割草机器人的价格进行下探，有望持续拓宽目标客群，并进一步巩固了Navimow在家用无边界割草机器人领域的领先地位。</w:t>
      </w:r>
    </w:p>
    <w:p>
      <w:pPr>
        <w:ind w:firstLine="420" w:firstLineChars="200"/>
        <w:rPr>
          <w:rFonts w:hint="default"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③产品注重挖掘用户体验，</w:t>
      </w:r>
      <w:r>
        <w:rPr>
          <w:rFonts w:hint="default" w:ascii="宋体" w:hAnsi="宋体" w:eastAsia="宋体" w:cs="Times New Roman"/>
          <w:kern w:val="2"/>
          <w:sz w:val="21"/>
          <w:szCs w:val="21"/>
          <w:lang w:val="en-US" w:eastAsia="zh-CN" w:bidi="ar-SA"/>
        </w:rPr>
        <w:t>公司新布局的E-bike（电动助力自行车），也有望凭借智能化优势带来的颠覆性骑行体验，于E-bike这个细分类目实现行业引领。</w:t>
      </w:r>
    </w:p>
    <w:p>
      <w:pPr>
        <w:ind w:firstLine="422" w:firstLineChars="200"/>
        <w:rPr>
          <w:rFonts w:hint="eastAsia" w:ascii="Arial" w:hAnsi="Arial" w:eastAsia="宋体" w:cs="Arial"/>
          <w:b/>
          <w:bCs/>
          <w:i w:val="0"/>
          <w:iCs w:val="0"/>
          <w:caps w:val="0"/>
          <w:color w:val="222222"/>
          <w:spacing w:val="0"/>
          <w:sz w:val="21"/>
          <w:szCs w:val="21"/>
          <w:shd w:val="clear" w:fill="FFFFFF"/>
          <w:lang w:val="en-US" w:eastAsia="zh-CN"/>
        </w:rPr>
      </w:pPr>
      <w:r>
        <w:rPr>
          <w:rFonts w:hint="eastAsia" w:ascii="Arial" w:hAnsi="Arial" w:eastAsia="宋体" w:cs="Arial"/>
          <w:b/>
          <w:bCs/>
          <w:i w:val="0"/>
          <w:iCs w:val="0"/>
          <w:caps w:val="0"/>
          <w:color w:val="222222"/>
          <w:spacing w:val="0"/>
          <w:sz w:val="21"/>
          <w:szCs w:val="21"/>
          <w:shd w:val="clear" w:fill="FFFFFF"/>
          <w:lang w:val="en-US" w:eastAsia="zh-CN"/>
        </w:rPr>
        <w:t>规模分析：</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①生产力方面：九号公司拥有三大工厂，每</w:t>
      </w:r>
      <w:r>
        <w:rPr>
          <w:rFonts w:hint="default" w:ascii="宋体" w:hAnsi="宋体" w:eastAsia="宋体" w:cs="Times New Roman"/>
          <w:kern w:val="2"/>
          <w:sz w:val="21"/>
          <w:szCs w:val="21"/>
          <w:lang w:val="en-US" w:eastAsia="zh-CN" w:bidi="ar-SA"/>
        </w:rPr>
        <w:t>36秒生产一辆车”，数智化工厂背后的科技硬实力</w:t>
      </w:r>
      <w:r>
        <w:rPr>
          <w:rFonts w:hint="eastAsia" w:ascii="宋体" w:hAnsi="宋体" w:eastAsia="宋体" w:cs="Times New Roman"/>
          <w:kern w:val="2"/>
          <w:sz w:val="21"/>
          <w:szCs w:val="21"/>
          <w:lang w:val="en-US" w:eastAsia="zh-CN" w:bidi="ar-SA"/>
        </w:rPr>
        <w:t>。</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②用户群体上，以都市白领、职场新人、年轻家庭等为代表的年轻人、中高收入群体为九号公司较大面积用户。</w:t>
      </w:r>
    </w:p>
    <w:p>
      <w:pPr>
        <w:ind w:firstLine="420" w:firstLineChars="200"/>
        <w:rPr>
          <w:rFonts w:hint="eastAsia" w:ascii="宋体" w:hAnsi="宋体" w:eastAsia="宋体" w:cs="Times New Roman"/>
          <w:kern w:val="2"/>
          <w:sz w:val="21"/>
          <w:szCs w:val="21"/>
          <w:lang w:val="en-US" w:eastAsia="zh-CN" w:bidi="ar-SA"/>
        </w:rPr>
      </w:pPr>
      <w:r>
        <w:rPr>
          <w:rFonts w:hint="eastAsia" w:ascii="宋体" w:hAnsi="宋体" w:eastAsia="宋体" w:cs="Times New Roman"/>
          <w:kern w:val="2"/>
          <w:sz w:val="21"/>
          <w:szCs w:val="21"/>
          <w:lang w:val="en-US" w:eastAsia="zh-CN" w:bidi="ar-SA"/>
        </w:rPr>
        <w:t>③公司规模：九号公司在欧洲成立了自己的本地子公司并收购了身为全球平衡车鼻祖的Segway公司，向成为一个全球化的高科技消费品公司发展。</w:t>
      </w:r>
    </w:p>
    <w:p>
      <w:pPr>
        <w:ind w:firstLine="422" w:firstLineChars="200"/>
      </w:pPr>
      <w:r>
        <w:rPr>
          <w:rFonts w:hint="eastAsia" w:ascii="Arial" w:hAnsi="Arial" w:eastAsia="宋体" w:cs="Arial"/>
          <w:b/>
          <w:bCs/>
          <w:i w:val="0"/>
          <w:iCs w:val="0"/>
          <w:caps w:val="0"/>
          <w:color w:val="222222"/>
          <w:spacing w:val="0"/>
          <w:sz w:val="21"/>
          <w:szCs w:val="21"/>
          <w:shd w:val="clear" w:fill="FFFFFF"/>
          <w:lang w:val="en-US" w:eastAsia="zh-CN"/>
        </w:rPr>
        <w:t>财务分析：</w:t>
      </w: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如图4，</w:t>
      </w:r>
      <w:r>
        <w:rPr>
          <w:rFonts w:hint="default" w:ascii="Arial" w:hAnsi="Arial" w:eastAsia="宋体" w:cs="Arial"/>
          <w:i w:val="0"/>
          <w:iCs w:val="0"/>
          <w:caps w:val="0"/>
          <w:color w:val="222222"/>
          <w:spacing w:val="0"/>
          <w:sz w:val="21"/>
          <w:szCs w:val="21"/>
          <w:shd w:val="clear" w:fill="FFFFFF"/>
          <w:lang w:val="en-US" w:eastAsia="zh-CN"/>
        </w:rPr>
        <w:t>盈利能力有所加强，本期回报股东能力有所提升</w:t>
      </w:r>
      <w:r>
        <w:rPr>
          <w:rFonts w:hint="eastAsia" w:ascii="Arial" w:hAnsi="Arial" w:eastAsia="宋体" w:cs="Arial"/>
          <w:i w:val="0"/>
          <w:iCs w:val="0"/>
          <w:caps w:val="0"/>
          <w:color w:val="222222"/>
          <w:spacing w:val="0"/>
          <w:sz w:val="21"/>
          <w:szCs w:val="21"/>
          <w:shd w:val="clear" w:fill="FFFFFF"/>
          <w:lang w:val="en-US" w:eastAsia="zh-CN"/>
        </w:rPr>
        <w:t>；</w:t>
      </w:r>
      <w:r>
        <w:rPr>
          <w:rFonts w:hint="default" w:ascii="Arial" w:hAnsi="Arial" w:eastAsia="宋体" w:cs="Arial"/>
          <w:i w:val="0"/>
          <w:iCs w:val="0"/>
          <w:caps w:val="0"/>
          <w:color w:val="222222"/>
          <w:spacing w:val="0"/>
          <w:sz w:val="21"/>
          <w:szCs w:val="21"/>
          <w:shd w:val="clear" w:fill="FFFFFF"/>
          <w:lang w:val="en-US" w:eastAsia="zh-CN"/>
        </w:rPr>
        <w:t>成长能力明显改善，营利增速步入上升通道</w:t>
      </w:r>
      <w:r>
        <w:rPr>
          <w:rFonts w:hint="eastAsia" w:ascii="Arial" w:hAnsi="Arial" w:eastAsia="宋体" w:cs="Arial"/>
          <w:i w:val="0"/>
          <w:iCs w:val="0"/>
          <w:caps w:val="0"/>
          <w:color w:val="222222"/>
          <w:spacing w:val="0"/>
          <w:sz w:val="21"/>
          <w:szCs w:val="21"/>
          <w:shd w:val="clear" w:fill="FFFFFF"/>
          <w:lang w:val="en-US" w:eastAsia="zh-CN"/>
        </w:rPr>
        <w:t>；</w:t>
      </w:r>
      <w:r>
        <w:rPr>
          <w:rFonts w:hint="default" w:ascii="Arial" w:hAnsi="Arial" w:eastAsia="宋体" w:cs="Arial"/>
          <w:i w:val="0"/>
          <w:iCs w:val="0"/>
          <w:caps w:val="0"/>
          <w:color w:val="222222"/>
          <w:spacing w:val="0"/>
          <w:sz w:val="21"/>
          <w:szCs w:val="21"/>
          <w:shd w:val="clear" w:fill="FFFFFF"/>
          <w:lang w:val="en-US" w:eastAsia="zh-CN"/>
        </w:rPr>
        <w:t>偿债能力维持稳定，财务杠杆风险加大</w:t>
      </w:r>
      <w:r>
        <w:rPr>
          <w:rFonts w:hint="eastAsia" w:ascii="Arial" w:hAnsi="Arial" w:eastAsia="宋体" w:cs="Arial"/>
          <w:i w:val="0"/>
          <w:iCs w:val="0"/>
          <w:caps w:val="0"/>
          <w:color w:val="222222"/>
          <w:spacing w:val="0"/>
          <w:sz w:val="21"/>
          <w:szCs w:val="21"/>
          <w:shd w:val="clear" w:fill="FFFFFF"/>
          <w:lang w:val="en-US" w:eastAsia="zh-CN"/>
        </w:rPr>
        <w:t>；</w:t>
      </w:r>
      <w:r>
        <w:rPr>
          <w:rFonts w:hint="default" w:ascii="Arial" w:hAnsi="Arial" w:eastAsia="宋体" w:cs="Arial"/>
          <w:i w:val="0"/>
          <w:iCs w:val="0"/>
          <w:caps w:val="0"/>
          <w:color w:val="222222"/>
          <w:spacing w:val="0"/>
          <w:sz w:val="21"/>
          <w:szCs w:val="21"/>
          <w:shd w:val="clear" w:fill="FFFFFF"/>
          <w:lang w:val="en-US" w:eastAsia="zh-CN"/>
        </w:rPr>
        <w:t>运营能力明显改善，存货变现能力有所加强</w:t>
      </w:r>
      <w:r>
        <w:rPr>
          <w:rFonts w:hint="eastAsia" w:ascii="Arial" w:hAnsi="Arial" w:eastAsia="宋体" w:cs="Arial"/>
          <w:i w:val="0"/>
          <w:iCs w:val="0"/>
          <w:caps w:val="0"/>
          <w:color w:val="222222"/>
          <w:spacing w:val="0"/>
          <w:sz w:val="21"/>
          <w:szCs w:val="21"/>
          <w:shd w:val="clear" w:fill="FFFFFF"/>
          <w:lang w:val="en-US" w:eastAsia="zh-CN"/>
        </w:rPr>
        <w:t>；</w:t>
      </w:r>
      <w:r>
        <w:rPr>
          <w:rFonts w:hint="default" w:ascii="Arial" w:hAnsi="Arial" w:eastAsia="宋体" w:cs="Arial"/>
          <w:i w:val="0"/>
          <w:iCs w:val="0"/>
          <w:caps w:val="0"/>
          <w:color w:val="222222"/>
          <w:spacing w:val="0"/>
          <w:sz w:val="21"/>
          <w:szCs w:val="21"/>
          <w:shd w:val="clear" w:fill="FFFFFF"/>
          <w:lang w:val="en-US" w:eastAsia="zh-CN"/>
        </w:rPr>
        <w:t>现金流能力明显改善，资金利用效率低下的现状被扭转</w:t>
      </w:r>
      <w:r>
        <w:rPr>
          <w:rFonts w:hint="eastAsia" w:ascii="Arial" w:hAnsi="Arial" w:eastAsia="宋体" w:cs="Arial"/>
          <w:i w:val="0"/>
          <w:iCs w:val="0"/>
          <w:caps w:val="0"/>
          <w:color w:val="222222"/>
          <w:spacing w:val="0"/>
          <w:sz w:val="21"/>
          <w:szCs w:val="21"/>
          <w:shd w:val="clear" w:fill="FFFFFF"/>
          <w:lang w:val="en-US" w:eastAsia="zh-CN"/>
        </w:rPr>
        <w:t>。相对同行业营利增速步入上升通道,但短期偿债能力偏弱。</w:t>
      </w:r>
    </w:p>
    <w:p>
      <w:pPr>
        <w:jc w:val="center"/>
        <w:rPr>
          <w:rFonts w:hint="eastAsia" w:ascii="Arial" w:hAnsi="Arial" w:eastAsia="宋体" w:cs="Arial"/>
          <w:i w:val="0"/>
          <w:iCs w:val="0"/>
          <w:caps w:val="0"/>
          <w:color w:val="222222"/>
          <w:spacing w:val="0"/>
          <w:sz w:val="21"/>
          <w:szCs w:val="21"/>
          <w:shd w:val="clear" w:fill="FFFFFF"/>
          <w:lang w:val="en-US" w:eastAsia="zh-CN"/>
        </w:rPr>
      </w:pPr>
      <w:r>
        <w:rPr>
          <w:rFonts w:ascii="宋体" w:hAnsi="宋体" w:eastAsia="宋体" w:cs="宋体"/>
          <w:kern w:val="0"/>
          <w:sz w:val="24"/>
          <w:szCs w:val="24"/>
          <w:lang w:val="en-US" w:eastAsia="zh-CN" w:bidi="ar"/>
        </w:rPr>
        <w:drawing>
          <wp:inline distT="0" distB="0" distL="114300" distR="114300">
            <wp:extent cx="3599815" cy="1800225"/>
            <wp:effectExtent l="0" t="0" r="12065" b="13335"/>
            <wp:docPr id="4" name="图片 2" descr="IMG_256"/>
            <wp:cNvGraphicFramePr/>
            <a:graphic xmlns:a="http://schemas.openxmlformats.org/drawingml/2006/main">
              <a:graphicData uri="http://schemas.openxmlformats.org/drawingml/2006/picture">
                <pic:pic xmlns:pic="http://schemas.openxmlformats.org/drawingml/2006/picture">
                  <pic:nvPicPr>
                    <pic:cNvPr id="4" name="图片 2" descr="IMG_256"/>
                    <pic:cNvPicPr/>
                  </pic:nvPicPr>
                  <pic:blipFill>
                    <a:blip r:embed="rId9"/>
                    <a:stretch>
                      <a:fillRect/>
                    </a:stretch>
                  </pic:blipFill>
                  <pic:spPr>
                    <a:xfrm>
                      <a:off x="0" y="0"/>
                      <a:ext cx="3599815" cy="1800225"/>
                    </a:xfrm>
                    <a:prstGeom prst="rect">
                      <a:avLst/>
                    </a:prstGeom>
                    <a:noFill/>
                    <a:ln w="9525">
                      <a:noFill/>
                    </a:ln>
                  </pic:spPr>
                </pic:pic>
              </a:graphicData>
            </a:graphic>
          </wp:inline>
        </w:drawing>
      </w:r>
    </w:p>
    <w:p>
      <w:pPr>
        <w:ind w:firstLine="420" w:firstLineChars="200"/>
        <w:jc w:val="center"/>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图4</w:t>
      </w:r>
    </w:p>
    <w:p>
      <w:pPr>
        <w:ind w:firstLine="420" w:firstLineChars="200"/>
        <w:rPr>
          <w:rFonts w:hint="default"/>
          <w:lang w:val="en-US" w:eastAsia="zh-CN"/>
        </w:rPr>
      </w:pPr>
      <w:r>
        <w:rPr>
          <w:rFonts w:hint="eastAsia"/>
          <w:lang w:val="en-US" w:eastAsia="zh-CN"/>
        </w:rPr>
        <w:t>2、证券投资技术分析：</w:t>
      </w:r>
    </w:p>
    <w:p>
      <w:pPr>
        <w:ind w:firstLine="422" w:firstLineChars="200"/>
      </w:pPr>
      <w:r>
        <w:rPr>
          <w:rFonts w:hint="default"/>
          <w:b/>
          <w:bCs/>
          <w:lang w:val="en-US" w:eastAsia="zh-CN"/>
        </w:rPr>
        <w:t>K线图分析</w:t>
      </w:r>
      <w:r>
        <w:rPr>
          <w:rFonts w:hint="eastAsia"/>
          <w:b/>
          <w:bCs/>
          <w:lang w:val="en-US" w:eastAsia="zh-CN"/>
        </w:rPr>
        <w:t>：</w:t>
      </w:r>
    </w:p>
    <w:p>
      <w:pPr>
        <w:ind w:firstLine="420" w:firstLineChars="200"/>
        <w:rPr>
          <w:rFonts w:hint="eastAsia" w:ascii="Arial" w:hAnsi="Arial" w:cs="Arial"/>
          <w:i w:val="0"/>
          <w:iCs w:val="0"/>
          <w:caps w:val="0"/>
          <w:color w:val="333333"/>
          <w:spacing w:val="0"/>
          <w:kern w:val="0"/>
          <w:sz w:val="19"/>
          <w:szCs w:val="19"/>
          <w:lang w:val="en-US" w:eastAsia="zh-CN" w:bidi="ar"/>
        </w:rPr>
      </w:pPr>
      <w:r>
        <w:rPr>
          <w:rFonts w:hint="eastAsia" w:ascii="Arial" w:hAnsi="Arial" w:eastAsia="宋体" w:cs="Arial"/>
          <w:i w:val="0"/>
          <w:iCs w:val="0"/>
          <w:caps w:val="0"/>
          <w:color w:val="222222"/>
          <w:spacing w:val="0"/>
          <w:sz w:val="21"/>
          <w:szCs w:val="21"/>
          <w:shd w:val="clear" w:fill="FFFFFF"/>
          <w:lang w:val="en-US" w:eastAsia="zh-CN"/>
        </w:rPr>
        <w:t>①如图5，红色框K线特点：平均线的多头排列，典型性的均线多头排列，是一个较为普遍的高涨数据信号。投资人应当以持仓主导，尽量不要售出。</w:t>
      </w:r>
    </w:p>
    <w:p>
      <w:pPr>
        <w:jc w:val="center"/>
      </w:pPr>
      <w:r>
        <w:drawing>
          <wp:inline distT="0" distB="0" distL="114300" distR="114300">
            <wp:extent cx="1800225" cy="1080135"/>
            <wp:effectExtent l="0" t="0" r="13335" b="1905"/>
            <wp:docPr id="18" name="图片 7"/>
            <wp:cNvGraphicFramePr/>
            <a:graphic xmlns:a="http://schemas.openxmlformats.org/drawingml/2006/main">
              <a:graphicData uri="http://schemas.openxmlformats.org/drawingml/2006/picture">
                <pic:pic xmlns:pic="http://schemas.openxmlformats.org/drawingml/2006/picture">
                  <pic:nvPicPr>
                    <pic:cNvPr id="18" name="图片 7"/>
                    <pic:cNvPicPr/>
                  </pic:nvPicPr>
                  <pic:blipFill>
                    <a:blip r:embed="rId10"/>
                    <a:stretch>
                      <a:fillRect/>
                    </a:stretch>
                  </pic:blipFill>
                  <pic:spPr>
                    <a:xfrm>
                      <a:off x="0" y="0"/>
                      <a:ext cx="1800225" cy="1080135"/>
                    </a:xfrm>
                    <a:prstGeom prst="rect">
                      <a:avLst/>
                    </a:prstGeom>
                    <a:noFill/>
                    <a:ln>
                      <a:noFill/>
                    </a:ln>
                  </pic:spPr>
                </pic:pic>
              </a:graphicData>
            </a:graphic>
          </wp:inline>
        </w:drawing>
      </w:r>
    </w:p>
    <w:p>
      <w:pPr>
        <w:jc w:val="center"/>
        <w:rPr>
          <w:rFonts w:hint="eastAsia" w:ascii="Arial" w:hAnsi="Arial" w:cs="Arial"/>
          <w:i w:val="0"/>
          <w:iCs w:val="0"/>
          <w:caps w:val="0"/>
          <w:color w:val="333333"/>
          <w:spacing w:val="0"/>
          <w:kern w:val="0"/>
          <w:sz w:val="19"/>
          <w:szCs w:val="19"/>
          <w:lang w:val="en-US" w:eastAsia="zh-CN" w:bidi="ar"/>
        </w:rPr>
      </w:pPr>
      <w:r>
        <w:rPr>
          <w:rFonts w:hint="eastAsia"/>
          <w:lang w:val="en-US" w:eastAsia="zh-CN"/>
        </w:rPr>
        <w:t>图5</w:t>
      </w:r>
    </w:p>
    <w:p>
      <w:pPr>
        <w:ind w:firstLine="422" w:firstLineChars="200"/>
        <w:rPr>
          <w:rFonts w:hint="eastAsia"/>
          <w:b/>
          <w:bCs/>
          <w:lang w:val="en-US" w:eastAsia="zh-CN"/>
        </w:rPr>
      </w:pPr>
      <w:r>
        <w:rPr>
          <w:rFonts w:hint="default"/>
          <w:b/>
          <w:bCs/>
          <w:lang w:val="en-US" w:eastAsia="zh-CN"/>
        </w:rPr>
        <w:t>形态分析</w:t>
      </w:r>
      <w:r>
        <w:rPr>
          <w:rFonts w:hint="eastAsia"/>
          <w:b/>
          <w:bCs/>
          <w:lang w:val="en-US" w:eastAsia="zh-CN"/>
        </w:rPr>
        <w:t>：</w:t>
      </w:r>
    </w:p>
    <w:p>
      <w:pPr>
        <w:ind w:firstLine="420" w:firstLineChars="200"/>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①如图6，MACD分析：红柱状开始缩小，股</w:t>
      </w:r>
      <w:r>
        <w:rPr>
          <w:rFonts w:hint="eastAsia" w:ascii="Arial" w:hAnsi="Arial" w:eastAsia="宋体" w:cs="Arial"/>
          <w:i w:val="0"/>
          <w:iCs w:val="0"/>
          <w:caps w:val="0"/>
          <w:color w:val="222222"/>
          <w:spacing w:val="0"/>
          <w:sz w:val="21"/>
          <w:szCs w:val="21"/>
          <w:shd w:val="clear" w:fill="FFFFFF"/>
          <w:lang w:val="en-US" w:eastAsia="zh-CN"/>
        </w:rPr>
        <w:t>票上涨</w:t>
      </w:r>
      <w:r>
        <w:rPr>
          <w:rFonts w:hint="eastAsia" w:ascii="Arial" w:hAnsi="Arial" w:eastAsia="宋体" w:cs="Arial"/>
          <w:i w:val="0"/>
          <w:iCs w:val="0"/>
          <w:caps w:val="0"/>
          <w:color w:val="222222"/>
          <w:spacing w:val="0"/>
          <w:sz w:val="21"/>
          <w:szCs w:val="21"/>
          <w:shd w:val="clear" w:fill="FFFFFF"/>
          <w:lang w:val="en-US" w:eastAsia="zh-CN"/>
        </w:rPr>
        <w:t>便缓或</w:t>
      </w:r>
      <w:r>
        <w:rPr>
          <w:rFonts w:hint="eastAsia" w:ascii="Arial" w:hAnsi="Arial" w:eastAsia="宋体" w:cs="Arial"/>
          <w:i w:val="0"/>
          <w:iCs w:val="0"/>
          <w:caps w:val="0"/>
          <w:color w:val="222222"/>
          <w:spacing w:val="0"/>
          <w:sz w:val="21"/>
          <w:szCs w:val="21"/>
          <w:shd w:val="clear" w:fill="FFFFFF"/>
          <w:lang w:val="en-US" w:eastAsia="zh-CN"/>
        </w:rPr>
        <w:t>可能进入调整</w:t>
      </w:r>
      <w:r>
        <w:rPr>
          <w:rFonts w:hint="eastAsia" w:ascii="Arial" w:hAnsi="Arial" w:eastAsia="宋体" w:cs="Arial"/>
          <w:i w:val="0"/>
          <w:iCs w:val="0"/>
          <w:caps w:val="0"/>
          <w:color w:val="222222"/>
          <w:spacing w:val="0"/>
          <w:sz w:val="21"/>
          <w:szCs w:val="21"/>
          <w:shd w:val="clear" w:fill="FFFFFF"/>
          <w:lang w:val="en-US" w:eastAsia="zh-CN"/>
        </w:rPr>
        <w:t>期，股价将出现</w:t>
      </w:r>
      <w:r>
        <w:rPr>
          <w:rFonts w:hint="eastAsia" w:ascii="Arial" w:hAnsi="Arial" w:eastAsia="宋体" w:cs="Arial"/>
          <w:i w:val="0"/>
          <w:iCs w:val="0"/>
          <w:caps w:val="0"/>
          <w:color w:val="222222"/>
          <w:spacing w:val="0"/>
          <w:sz w:val="21"/>
          <w:szCs w:val="21"/>
          <w:shd w:val="clear" w:fill="FFFFFF"/>
          <w:lang w:val="en-US" w:eastAsia="zh-CN"/>
        </w:rPr>
        <w:t>波动，这时</w:t>
      </w:r>
      <w:r>
        <w:rPr>
          <w:rFonts w:hint="eastAsia" w:ascii="Arial" w:hAnsi="Arial" w:eastAsia="宋体" w:cs="Arial"/>
          <w:i w:val="0"/>
          <w:iCs w:val="0"/>
          <w:caps w:val="0"/>
          <w:color w:val="222222"/>
          <w:spacing w:val="0"/>
          <w:sz w:val="21"/>
          <w:szCs w:val="21"/>
          <w:shd w:val="clear" w:fill="FFFFFF"/>
          <w:lang w:val="en-US" w:eastAsia="zh-CN"/>
        </w:rPr>
        <w:t>可卖出大部分</w:t>
      </w:r>
      <w:r>
        <w:rPr>
          <w:rFonts w:hint="eastAsia" w:ascii="Arial" w:hAnsi="Arial" w:eastAsia="宋体" w:cs="Arial"/>
          <w:i w:val="0"/>
          <w:iCs w:val="0"/>
          <w:caps w:val="0"/>
          <w:color w:val="222222"/>
          <w:spacing w:val="0"/>
          <w:sz w:val="21"/>
          <w:szCs w:val="21"/>
          <w:shd w:val="clear" w:fill="FFFFFF"/>
          <w:lang w:val="en-US" w:eastAsia="zh-CN"/>
        </w:rPr>
        <w:t>该股票而</w:t>
      </w:r>
      <w:r>
        <w:rPr>
          <w:rFonts w:hint="eastAsia" w:ascii="Arial" w:hAnsi="Arial" w:eastAsia="宋体" w:cs="Arial"/>
          <w:i w:val="0"/>
          <w:iCs w:val="0"/>
          <w:caps w:val="0"/>
          <w:color w:val="222222"/>
          <w:spacing w:val="0"/>
          <w:sz w:val="21"/>
          <w:szCs w:val="21"/>
          <w:shd w:val="clear" w:fill="FFFFFF"/>
          <w:lang w:val="en-US" w:eastAsia="zh-CN"/>
        </w:rPr>
        <w:t>应减少买入股票； </w:t>
      </w:r>
      <w:r>
        <w:rPr>
          <w:rFonts w:hint="default" w:ascii="Arial" w:hAnsi="Arial" w:eastAsia="宋体" w:cs="Arial"/>
          <w:i w:val="0"/>
          <w:iCs w:val="0"/>
          <w:caps w:val="0"/>
          <w:color w:val="222222"/>
          <w:spacing w:val="0"/>
          <w:sz w:val="21"/>
          <w:szCs w:val="21"/>
          <w:shd w:val="clear" w:fill="FFFFFF"/>
          <w:lang w:val="en-US" w:eastAsia="zh-CN"/>
        </w:rPr>
        <w:t>DIF和DEA均大于0并向上移动时，股市处于多头行情中，可以</w:t>
      </w:r>
      <w:r>
        <w:rPr>
          <w:rFonts w:hint="eastAsia" w:ascii="Arial" w:hAnsi="Arial" w:eastAsia="宋体" w:cs="Arial"/>
          <w:i w:val="0"/>
          <w:iCs w:val="0"/>
          <w:caps w:val="0"/>
          <w:color w:val="222222"/>
          <w:spacing w:val="0"/>
          <w:sz w:val="21"/>
          <w:szCs w:val="21"/>
          <w:shd w:val="clear" w:fill="FFFFFF"/>
          <w:lang w:val="en-US" w:eastAsia="zh-CN"/>
        </w:rPr>
        <w:t>继续</w:t>
      </w:r>
      <w:r>
        <w:rPr>
          <w:rFonts w:hint="default" w:ascii="Arial" w:hAnsi="Arial" w:eastAsia="宋体" w:cs="Arial"/>
          <w:i w:val="0"/>
          <w:iCs w:val="0"/>
          <w:caps w:val="0"/>
          <w:color w:val="222222"/>
          <w:spacing w:val="0"/>
          <w:sz w:val="21"/>
          <w:szCs w:val="21"/>
          <w:shd w:val="clear" w:fill="FFFFFF"/>
          <w:lang w:val="en-US" w:eastAsia="zh-CN"/>
        </w:rPr>
        <w:t>持股。</w:t>
      </w: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②如图7，BOLL线分析：布林线的上、中、下轨线同时向上运行，表明价格强势特征非常明显，价格短期内将继续上涨，投资者应坚决持有待涨或逢低买入。</w:t>
      </w:r>
    </w:p>
    <w:p>
      <w:pPr>
        <w:ind w:firstLine="420" w:firstLineChars="200"/>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③如图8，</w:t>
      </w:r>
      <w:bookmarkStart w:id="0" w:name="_GoBack"/>
      <w:bookmarkEnd w:id="0"/>
      <w:r>
        <w:rPr>
          <w:rFonts w:hint="eastAsia" w:ascii="Arial" w:hAnsi="Arial" w:eastAsia="宋体" w:cs="Arial"/>
          <w:i w:val="0"/>
          <w:iCs w:val="0"/>
          <w:caps w:val="0"/>
          <w:color w:val="222222"/>
          <w:spacing w:val="0"/>
          <w:sz w:val="21"/>
          <w:szCs w:val="21"/>
          <w:shd w:val="clear" w:fill="FFFFFF"/>
          <w:lang w:val="en-US" w:eastAsia="zh-CN"/>
        </w:rPr>
        <w:t>压力线分析：该股票的跌的价格可能向在黄色压力线靠近，可能突破压力线而后回落，投资者</w:t>
      </w:r>
      <w:r>
        <w:rPr>
          <w:rFonts w:hint="eastAsia" w:ascii="Arial" w:hAnsi="Arial" w:eastAsia="宋体" w:cs="Arial"/>
          <w:i w:val="0"/>
          <w:iCs w:val="0"/>
          <w:caps w:val="0"/>
          <w:color w:val="222222"/>
          <w:spacing w:val="0"/>
          <w:sz w:val="21"/>
          <w:szCs w:val="21"/>
          <w:shd w:val="clear" w:fill="FFFFFF"/>
          <w:lang w:val="en-US" w:eastAsia="zh-CN"/>
        </w:rPr>
        <w:t>可继续持有待涨</w:t>
      </w:r>
      <w:r>
        <w:rPr>
          <w:rFonts w:hint="eastAsia" w:ascii="Arial" w:hAnsi="Arial" w:eastAsia="宋体" w:cs="Arial"/>
          <w:i w:val="0"/>
          <w:iCs w:val="0"/>
          <w:caps w:val="0"/>
          <w:color w:val="222222"/>
          <w:spacing w:val="0"/>
          <w:sz w:val="21"/>
          <w:szCs w:val="21"/>
          <w:shd w:val="clear" w:fill="FFFFFF"/>
          <w:lang w:val="en-US" w:eastAsia="zh-CN"/>
        </w:rPr>
        <w:t>而卖出。</w:t>
      </w:r>
    </w:p>
    <w:p>
      <w:pPr>
        <w:ind w:firstLine="380" w:firstLineChars="200"/>
        <w:jc w:val="center"/>
        <w:rPr>
          <w:rFonts w:hint="eastAsia" w:ascii="Arial" w:hAnsi="Arial" w:cs="Arial"/>
          <w:i w:val="0"/>
          <w:iCs w:val="0"/>
          <w:caps w:val="0"/>
          <w:color w:val="333333"/>
          <w:spacing w:val="0"/>
          <w:kern w:val="0"/>
          <w:sz w:val="19"/>
          <w:szCs w:val="19"/>
          <w:lang w:val="en-US" w:eastAsia="zh-CN" w:bidi="ar"/>
        </w:rPr>
      </w:pPr>
      <w:r>
        <w:rPr>
          <w:rFonts w:hint="eastAsia" w:ascii="Arial" w:hAnsi="Arial" w:cs="Arial"/>
          <w:i w:val="0"/>
          <w:iCs w:val="0"/>
          <w:caps w:val="0"/>
          <w:color w:val="333333"/>
          <w:spacing w:val="0"/>
          <w:kern w:val="0"/>
          <w:sz w:val="19"/>
          <w:szCs w:val="19"/>
          <w:lang w:val="en-US" w:eastAsia="zh-CN" w:bidi="ar"/>
        </w:rPr>
        <w:drawing>
          <wp:inline distT="0" distB="0" distL="114300" distR="114300">
            <wp:extent cx="3599815" cy="1800225"/>
            <wp:effectExtent l="0" t="0" r="12065" b="13335"/>
            <wp:docPr id="19" name="图片 19" descr="1715431942785(1)"/>
            <wp:cNvGraphicFramePr/>
            <a:graphic xmlns:a="http://schemas.openxmlformats.org/drawingml/2006/main">
              <a:graphicData uri="http://schemas.openxmlformats.org/drawingml/2006/picture">
                <pic:pic xmlns:pic="http://schemas.openxmlformats.org/drawingml/2006/picture">
                  <pic:nvPicPr>
                    <pic:cNvPr id="19" name="图片 19" descr="1715431942785(1)"/>
                    <pic:cNvPicPr/>
                  </pic:nvPicPr>
                  <pic:blipFill>
                    <a:blip r:embed="rId11"/>
                    <a:stretch>
                      <a:fillRect/>
                    </a:stretch>
                  </pic:blipFill>
                  <pic:spPr>
                    <a:xfrm>
                      <a:off x="0" y="0"/>
                      <a:ext cx="3599815" cy="1800225"/>
                    </a:xfrm>
                    <a:prstGeom prst="rect">
                      <a:avLst/>
                    </a:prstGeom>
                  </pic:spPr>
                </pic:pic>
              </a:graphicData>
            </a:graphic>
          </wp:inline>
        </w:drawing>
      </w:r>
    </w:p>
    <w:p>
      <w:pPr>
        <w:ind w:firstLine="420" w:firstLineChars="200"/>
        <w:jc w:val="center"/>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图6</w:t>
      </w:r>
    </w:p>
    <w:p>
      <w:pPr>
        <w:ind w:firstLine="380" w:firstLineChars="200"/>
        <w:jc w:val="center"/>
        <w:rPr>
          <w:rFonts w:hint="eastAsia" w:ascii="Arial" w:hAnsi="Arial" w:cs="Arial"/>
          <w:i w:val="0"/>
          <w:iCs w:val="0"/>
          <w:caps w:val="0"/>
          <w:color w:val="333333"/>
          <w:spacing w:val="0"/>
          <w:kern w:val="0"/>
          <w:sz w:val="19"/>
          <w:szCs w:val="19"/>
          <w:lang w:val="en-US" w:eastAsia="zh-CN" w:bidi="ar"/>
        </w:rPr>
      </w:pPr>
      <w:r>
        <w:rPr>
          <w:rFonts w:hint="eastAsia" w:ascii="Arial" w:hAnsi="Arial" w:cs="Arial"/>
          <w:i w:val="0"/>
          <w:iCs w:val="0"/>
          <w:caps w:val="0"/>
          <w:color w:val="333333"/>
          <w:spacing w:val="0"/>
          <w:kern w:val="0"/>
          <w:sz w:val="19"/>
          <w:szCs w:val="19"/>
          <w:lang w:val="en-US" w:eastAsia="zh-CN" w:bidi="ar"/>
        </w:rPr>
        <w:drawing>
          <wp:inline distT="0" distB="0" distL="114300" distR="114300">
            <wp:extent cx="3599815" cy="1800225"/>
            <wp:effectExtent l="0" t="0" r="12065" b="13335"/>
            <wp:docPr id="23" name="图片 23" descr="1715433376516"/>
            <wp:cNvGraphicFramePr/>
            <a:graphic xmlns:a="http://schemas.openxmlformats.org/drawingml/2006/main">
              <a:graphicData uri="http://schemas.openxmlformats.org/drawingml/2006/picture">
                <pic:pic xmlns:pic="http://schemas.openxmlformats.org/drawingml/2006/picture">
                  <pic:nvPicPr>
                    <pic:cNvPr id="23" name="图片 23" descr="1715433376516"/>
                    <pic:cNvPicPr/>
                  </pic:nvPicPr>
                  <pic:blipFill>
                    <a:blip r:embed="rId12"/>
                    <a:stretch>
                      <a:fillRect/>
                    </a:stretch>
                  </pic:blipFill>
                  <pic:spPr>
                    <a:xfrm>
                      <a:off x="0" y="0"/>
                      <a:ext cx="3599815" cy="1800225"/>
                    </a:xfrm>
                    <a:prstGeom prst="rect">
                      <a:avLst/>
                    </a:prstGeom>
                  </pic:spPr>
                </pic:pic>
              </a:graphicData>
            </a:graphic>
          </wp:inline>
        </w:drawing>
      </w:r>
    </w:p>
    <w:p>
      <w:pPr>
        <w:ind w:firstLine="420" w:firstLineChars="200"/>
        <w:jc w:val="center"/>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图7</w:t>
      </w:r>
    </w:p>
    <w:p>
      <w:pPr>
        <w:ind w:firstLine="380" w:firstLineChars="200"/>
        <w:jc w:val="center"/>
        <w:rPr>
          <w:rFonts w:hint="eastAsia" w:ascii="Arial" w:hAnsi="Arial" w:cs="Arial"/>
          <w:i w:val="0"/>
          <w:iCs w:val="0"/>
          <w:caps w:val="0"/>
          <w:color w:val="333333"/>
          <w:spacing w:val="0"/>
          <w:kern w:val="0"/>
          <w:sz w:val="19"/>
          <w:szCs w:val="19"/>
          <w:lang w:val="en-US" w:eastAsia="zh-CN" w:bidi="ar"/>
        </w:rPr>
      </w:pPr>
      <w:r>
        <w:rPr>
          <w:rFonts w:hint="eastAsia" w:ascii="Arial" w:hAnsi="Arial" w:cs="Arial"/>
          <w:i w:val="0"/>
          <w:iCs w:val="0"/>
          <w:caps w:val="0"/>
          <w:color w:val="333333"/>
          <w:spacing w:val="0"/>
          <w:kern w:val="0"/>
          <w:sz w:val="19"/>
          <w:szCs w:val="19"/>
          <w:lang w:val="en-US" w:eastAsia="zh-CN" w:bidi="ar"/>
        </w:rPr>
        <w:drawing>
          <wp:inline distT="0" distB="0" distL="114300" distR="114300">
            <wp:extent cx="1800225" cy="1080135"/>
            <wp:effectExtent l="0" t="0" r="13335" b="1905"/>
            <wp:docPr id="24" name="图片 24" descr="1715433529484(1)"/>
            <wp:cNvGraphicFramePr/>
            <a:graphic xmlns:a="http://schemas.openxmlformats.org/drawingml/2006/main">
              <a:graphicData uri="http://schemas.openxmlformats.org/drawingml/2006/picture">
                <pic:pic xmlns:pic="http://schemas.openxmlformats.org/drawingml/2006/picture">
                  <pic:nvPicPr>
                    <pic:cNvPr id="24" name="图片 24" descr="1715433529484(1)"/>
                    <pic:cNvPicPr/>
                  </pic:nvPicPr>
                  <pic:blipFill>
                    <a:blip r:embed="rId13"/>
                    <a:stretch>
                      <a:fillRect/>
                    </a:stretch>
                  </pic:blipFill>
                  <pic:spPr>
                    <a:xfrm>
                      <a:off x="0" y="0"/>
                      <a:ext cx="1800225" cy="1080135"/>
                    </a:xfrm>
                    <a:prstGeom prst="rect">
                      <a:avLst/>
                    </a:prstGeom>
                  </pic:spPr>
                </pic:pic>
              </a:graphicData>
            </a:graphic>
          </wp:inline>
        </w:drawing>
      </w:r>
    </w:p>
    <w:p>
      <w:pPr>
        <w:ind w:firstLine="420" w:firstLineChars="200"/>
        <w:jc w:val="center"/>
        <w:rPr>
          <w:rFonts w:hint="default"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图8</w:t>
      </w:r>
    </w:p>
    <w:p>
      <w:pPr>
        <w:rPr>
          <w:rFonts w:hint="eastAsia" w:ascii="Arial" w:hAnsi="Arial" w:eastAsia="宋体" w:cs="Arial"/>
          <w:i w:val="0"/>
          <w:iCs w:val="0"/>
          <w:caps w:val="0"/>
          <w:color w:val="222222"/>
          <w:spacing w:val="0"/>
          <w:sz w:val="21"/>
          <w:szCs w:val="21"/>
          <w:shd w:val="clear" w:fill="FFFFFF"/>
          <w:lang w:val="en-US" w:eastAsia="zh-CN"/>
        </w:rPr>
      </w:pPr>
      <w:r>
        <w:rPr>
          <w:rFonts w:hint="eastAsia" w:ascii="Arial" w:hAnsi="Arial" w:eastAsia="宋体" w:cs="Arial"/>
          <w:i w:val="0"/>
          <w:iCs w:val="0"/>
          <w:caps w:val="0"/>
          <w:color w:val="222222"/>
          <w:spacing w:val="0"/>
          <w:sz w:val="21"/>
          <w:szCs w:val="21"/>
          <w:shd w:val="clear" w:fill="FFFFFF"/>
          <w:lang w:val="en-US" w:eastAsia="zh-CN"/>
        </w:rPr>
        <w:t>海康威视：</w:t>
      </w:r>
    </w:p>
    <w:p>
      <w:pPr>
        <w:rPr>
          <w:rFonts w:hint="eastAsia" w:ascii="Arial" w:hAnsi="Arial" w:eastAsia="宋体" w:cs="Arial"/>
          <w:b/>
          <w:bCs/>
          <w:i w:val="0"/>
          <w:iCs w:val="0"/>
          <w:caps w:val="0"/>
          <w:color w:val="222222"/>
          <w:spacing w:val="0"/>
          <w:sz w:val="21"/>
          <w:szCs w:val="21"/>
          <w:shd w:val="clear" w:fill="FFFFFF"/>
          <w:lang w:val="en-US" w:eastAsia="zh-CN"/>
        </w:rPr>
      </w:pPr>
      <w:r>
        <w:rPr>
          <w:rFonts w:hint="eastAsia" w:ascii="Arial" w:hAnsi="Arial" w:eastAsia="宋体" w:cs="Arial"/>
          <w:b/>
          <w:bCs/>
          <w:i w:val="0"/>
          <w:iCs w:val="0"/>
          <w:caps w:val="0"/>
          <w:color w:val="222222"/>
          <w:spacing w:val="0"/>
          <w:sz w:val="21"/>
          <w:szCs w:val="21"/>
          <w:shd w:val="clear" w:fill="FFFFFF"/>
          <w:lang w:val="en-US" w:eastAsia="zh-CN"/>
        </w:rPr>
        <w:t>基本面分析：</w:t>
      </w:r>
    </w:p>
    <w:p>
      <w:pPr>
        <w:rPr>
          <w:rFonts w:hint="eastAsia" w:ascii="Arial" w:hAnsi="Arial" w:eastAsia="宋体" w:cs="Arial"/>
          <w:i w:val="0"/>
          <w:iCs w:val="0"/>
          <w:caps w:val="0"/>
          <w:color w:val="000000"/>
          <w:spacing w:val="0"/>
          <w:sz w:val="21"/>
          <w:szCs w:val="21"/>
          <w:shd w:val="clear" w:fill="FFFFFF"/>
          <w:lang w:val="en-US" w:eastAsia="zh-CN"/>
        </w:rPr>
      </w:pPr>
      <w:r>
        <w:rPr>
          <w:rFonts w:hint="eastAsia" w:ascii="Arial" w:hAnsi="Arial" w:eastAsia="宋体" w:cs="Arial"/>
          <w:b/>
          <w:bCs/>
          <w:i w:val="0"/>
          <w:iCs w:val="0"/>
          <w:caps w:val="0"/>
          <w:color w:val="222222"/>
          <w:spacing w:val="0"/>
          <w:sz w:val="21"/>
          <w:szCs w:val="21"/>
          <w:shd w:val="clear" w:fill="FFFFFF"/>
          <w:lang w:val="en-US" w:eastAsia="zh-CN"/>
        </w:rPr>
        <w:t>宏观面：</w:t>
      </w:r>
      <w:r>
        <w:rPr>
          <w:rFonts w:hint="eastAsia" w:ascii="Arial" w:hAnsi="Arial" w:eastAsia="宋体" w:cs="Arial"/>
          <w:b w:val="0"/>
          <w:bCs w:val="0"/>
          <w:i w:val="0"/>
          <w:iCs w:val="0"/>
          <w:caps w:val="0"/>
          <w:color w:val="222222"/>
          <w:spacing w:val="0"/>
          <w:sz w:val="21"/>
          <w:szCs w:val="21"/>
          <w:shd w:val="clear" w:fill="FFFFFF"/>
          <w:lang w:val="en-US" w:eastAsia="zh-CN"/>
        </w:rPr>
        <w:t>①大事记：</w:t>
      </w:r>
      <w:r>
        <w:rPr>
          <w:rFonts w:ascii="Arial" w:hAnsi="Arial" w:eastAsia="宋体" w:cs="Arial"/>
          <w:i w:val="0"/>
          <w:iCs w:val="0"/>
          <w:caps w:val="0"/>
          <w:color w:val="000000"/>
          <w:spacing w:val="0"/>
          <w:sz w:val="21"/>
          <w:szCs w:val="21"/>
          <w:shd w:val="clear" w:fill="FFFFFF"/>
        </w:rPr>
        <w:t>2022年，受新冠疫情反复影响，国内G端与B端支出同时面临压力，C端消费能力亦受影响，海康威视国内三大BG营收均出现同比下滑</w:t>
      </w:r>
      <w:r>
        <w:rPr>
          <w:rFonts w:hint="eastAsia" w:ascii="Arial" w:hAnsi="Arial" w:eastAsia="宋体" w:cs="Arial"/>
          <w:i w:val="0"/>
          <w:iCs w:val="0"/>
          <w:caps w:val="0"/>
          <w:color w:val="000000"/>
          <w:spacing w:val="0"/>
          <w:sz w:val="21"/>
          <w:szCs w:val="21"/>
          <w:shd w:val="clear" w:fill="FFFFFF"/>
          <w:lang w:eastAsia="zh-CN"/>
        </w:rPr>
        <w:t>，</w:t>
      </w:r>
      <w:r>
        <w:rPr>
          <w:rFonts w:hint="eastAsia" w:ascii="Arial" w:hAnsi="Arial" w:eastAsia="宋体" w:cs="Arial"/>
          <w:i w:val="0"/>
          <w:iCs w:val="0"/>
          <w:caps w:val="0"/>
          <w:color w:val="000000"/>
          <w:spacing w:val="0"/>
          <w:sz w:val="21"/>
          <w:szCs w:val="21"/>
          <w:shd w:val="clear" w:fill="FFFFFF"/>
          <w:lang w:val="en-US" w:eastAsia="zh-CN"/>
        </w:rPr>
        <w:t>陷入两年至暗时刻。②开展</w:t>
      </w:r>
      <w:r>
        <w:rPr>
          <w:rFonts w:ascii="Arial" w:hAnsi="Arial" w:eastAsia="宋体" w:cs="Arial"/>
          <w:i w:val="0"/>
          <w:iCs w:val="0"/>
          <w:caps w:val="0"/>
          <w:color w:val="000000"/>
          <w:spacing w:val="0"/>
          <w:sz w:val="21"/>
          <w:szCs w:val="21"/>
          <w:shd w:val="clear" w:fill="FFFFFF"/>
        </w:rPr>
        <w:t>方案解决个性化</w:t>
      </w:r>
      <w:r>
        <w:rPr>
          <w:rFonts w:hint="eastAsia" w:ascii="Arial" w:hAnsi="Arial" w:eastAsia="宋体" w:cs="Arial"/>
          <w:i w:val="0"/>
          <w:iCs w:val="0"/>
          <w:caps w:val="0"/>
          <w:color w:val="000000"/>
          <w:spacing w:val="0"/>
          <w:sz w:val="21"/>
          <w:szCs w:val="21"/>
          <w:shd w:val="clear" w:fill="FFFFFF"/>
          <w:lang w:val="en-US" w:eastAsia="zh-CN"/>
        </w:rPr>
        <w:t>和</w:t>
      </w:r>
      <w:r>
        <w:rPr>
          <w:rFonts w:ascii="Arial" w:hAnsi="Arial" w:eastAsia="宋体" w:cs="Arial"/>
          <w:i w:val="0"/>
          <w:iCs w:val="0"/>
          <w:caps w:val="0"/>
          <w:color w:val="000000"/>
          <w:spacing w:val="0"/>
          <w:sz w:val="21"/>
          <w:szCs w:val="21"/>
          <w:shd w:val="clear" w:fill="FFFFFF"/>
        </w:rPr>
        <w:t>碎片化的业务</w:t>
      </w:r>
      <w:r>
        <w:rPr>
          <w:rFonts w:hint="eastAsia" w:ascii="Arial" w:hAnsi="Arial" w:eastAsia="宋体" w:cs="Arial"/>
          <w:i w:val="0"/>
          <w:iCs w:val="0"/>
          <w:caps w:val="0"/>
          <w:color w:val="000000"/>
          <w:spacing w:val="0"/>
          <w:sz w:val="21"/>
          <w:szCs w:val="21"/>
          <w:shd w:val="clear" w:fill="FFFFFF"/>
          <w:lang w:val="en-US" w:eastAsia="zh-CN"/>
        </w:rPr>
        <w:t>虽然能够增利，其</w:t>
      </w:r>
      <w:r>
        <w:rPr>
          <w:rFonts w:ascii="Arial" w:hAnsi="Arial" w:eastAsia="宋体" w:cs="Arial"/>
          <w:i w:val="0"/>
          <w:iCs w:val="0"/>
          <w:caps w:val="0"/>
          <w:color w:val="000000"/>
          <w:spacing w:val="0"/>
          <w:sz w:val="21"/>
          <w:szCs w:val="21"/>
          <w:shd w:val="clear" w:fill="FFFFFF"/>
        </w:rPr>
        <w:t>规模效应的弱化</w:t>
      </w:r>
      <w:r>
        <w:rPr>
          <w:rFonts w:hint="eastAsia" w:ascii="Arial" w:hAnsi="Arial" w:eastAsia="宋体" w:cs="Arial"/>
          <w:i w:val="0"/>
          <w:iCs w:val="0"/>
          <w:caps w:val="0"/>
          <w:color w:val="000000"/>
          <w:spacing w:val="0"/>
          <w:sz w:val="21"/>
          <w:szCs w:val="21"/>
          <w:shd w:val="clear" w:fill="FFFFFF"/>
          <w:lang w:eastAsia="zh-CN"/>
        </w:rPr>
        <w:t>，</w:t>
      </w:r>
      <w:r>
        <w:rPr>
          <w:rFonts w:hint="eastAsia" w:ascii="Arial" w:hAnsi="Arial" w:eastAsia="宋体" w:cs="Arial"/>
          <w:i w:val="0"/>
          <w:iCs w:val="0"/>
          <w:caps w:val="0"/>
          <w:color w:val="000000"/>
          <w:spacing w:val="0"/>
          <w:sz w:val="21"/>
          <w:szCs w:val="21"/>
          <w:shd w:val="clear" w:fill="FFFFFF"/>
          <w:lang w:val="en-US" w:eastAsia="zh-CN"/>
        </w:rPr>
        <w:t>不利于其提高收入。③</w:t>
      </w:r>
      <w:r>
        <w:rPr>
          <w:rFonts w:ascii="Arial" w:hAnsi="Arial" w:eastAsia="宋体" w:cs="Arial"/>
          <w:i w:val="0"/>
          <w:iCs w:val="0"/>
          <w:caps w:val="0"/>
          <w:color w:val="000000"/>
          <w:spacing w:val="0"/>
          <w:sz w:val="21"/>
          <w:szCs w:val="21"/>
          <w:shd w:val="clear" w:fill="FFFFFF"/>
        </w:rPr>
        <w:t>除了研发技术人员之外，海康威视销售以及生产人员总体是呈现下行趋势，公司应该已经认识到了“降本增效”的重要性。</w:t>
      </w:r>
      <w:r>
        <w:rPr>
          <w:rFonts w:hint="eastAsia" w:ascii="Arial" w:hAnsi="Arial" w:eastAsia="宋体" w:cs="Arial"/>
          <w:i w:val="0"/>
          <w:iCs w:val="0"/>
          <w:caps w:val="0"/>
          <w:color w:val="000000"/>
          <w:spacing w:val="0"/>
          <w:sz w:val="21"/>
          <w:szCs w:val="21"/>
          <w:shd w:val="clear" w:fill="FFFFFF"/>
          <w:lang w:val="en-US" w:eastAsia="zh-CN"/>
        </w:rPr>
        <w:t>④受宏观经济影响，海康威视的中小企业群体正在减小。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Arial" w:hAnsi="Arial" w:cs="Arial"/>
          <w:b w:val="0"/>
          <w:bCs w:val="0"/>
          <w:i w:val="0"/>
          <w:iCs w:val="0"/>
          <w:caps w:val="0"/>
          <w:color w:val="000000"/>
          <w:spacing w:val="0"/>
          <w:kern w:val="2"/>
          <w:sz w:val="21"/>
          <w:szCs w:val="21"/>
          <w:shd w:val="clear" w:fill="FFFFFF"/>
          <w:lang w:val="en-US" w:eastAsia="zh-CN" w:bidi="ar-SA"/>
        </w:rPr>
      </w:pPr>
      <w:r>
        <w:rPr>
          <w:rFonts w:hint="eastAsia" w:ascii="Arial" w:hAnsi="Arial" w:eastAsia="宋体" w:cs="Arial"/>
          <w:b/>
          <w:bCs/>
          <w:i w:val="0"/>
          <w:iCs w:val="0"/>
          <w:caps w:val="0"/>
          <w:color w:val="000000"/>
          <w:spacing w:val="0"/>
          <w:sz w:val="21"/>
          <w:szCs w:val="21"/>
          <w:shd w:val="clear" w:fill="FFFFFF"/>
          <w:lang w:val="en-US" w:eastAsia="zh-CN"/>
        </w:rPr>
        <w:t>行业分析：</w:t>
      </w:r>
      <w:r>
        <w:rPr>
          <w:rFonts w:hint="eastAsia" w:ascii="Arial" w:hAnsi="Arial" w:eastAsia="宋体" w:cs="Arial"/>
          <w:b w:val="0"/>
          <w:bCs w:val="0"/>
          <w:i w:val="0"/>
          <w:iCs w:val="0"/>
          <w:caps w:val="0"/>
          <w:color w:val="000000"/>
          <w:spacing w:val="0"/>
          <w:sz w:val="21"/>
          <w:szCs w:val="21"/>
          <w:shd w:val="clear" w:fill="FFFFFF"/>
          <w:lang w:val="en-US" w:eastAsia="zh-CN"/>
        </w:rPr>
        <w:t>①海康威</w:t>
      </w:r>
      <w:r>
        <w:rPr>
          <w:rFonts w:hint="eastAsia" w:ascii="Arial" w:hAnsi="Arial" w:eastAsia="宋体" w:cs="Arial"/>
          <w:b w:val="0"/>
          <w:bCs w:val="0"/>
          <w:i w:val="0"/>
          <w:iCs w:val="0"/>
          <w:caps w:val="0"/>
          <w:color w:val="000000"/>
          <w:spacing w:val="0"/>
          <w:kern w:val="2"/>
          <w:sz w:val="21"/>
          <w:szCs w:val="21"/>
          <w:shd w:val="clear" w:fill="FFFFFF"/>
          <w:lang w:val="en-US" w:eastAsia="zh-CN" w:bidi="ar-SA"/>
        </w:rPr>
        <w:t>视依然是</w:t>
      </w:r>
      <w:r>
        <w:rPr>
          <w:rFonts w:hint="default" w:ascii="Arial" w:hAnsi="Arial" w:eastAsia="宋体" w:cs="Arial"/>
          <w:b w:val="0"/>
          <w:bCs w:val="0"/>
          <w:i w:val="0"/>
          <w:iCs w:val="0"/>
          <w:caps w:val="0"/>
          <w:color w:val="000000"/>
          <w:spacing w:val="0"/>
          <w:kern w:val="2"/>
          <w:sz w:val="21"/>
          <w:szCs w:val="21"/>
          <w:shd w:val="clear" w:fill="FFFFFF"/>
          <w:lang w:val="en-US" w:eastAsia="zh-CN" w:bidi="ar-SA"/>
        </w:rPr>
        <w:t>中国“安防龙头”</w:t>
      </w:r>
      <w:r>
        <w:rPr>
          <w:rFonts w:hint="eastAsia" w:ascii="Arial" w:hAnsi="Arial" w:eastAsia="宋体" w:cs="Arial"/>
          <w:b w:val="0"/>
          <w:bCs w:val="0"/>
          <w:i w:val="0"/>
          <w:iCs w:val="0"/>
          <w:caps w:val="0"/>
          <w:color w:val="000000"/>
          <w:spacing w:val="0"/>
          <w:kern w:val="2"/>
          <w:sz w:val="21"/>
          <w:szCs w:val="21"/>
          <w:shd w:val="clear" w:fill="FFFFFF"/>
          <w:lang w:val="en-US" w:eastAsia="zh-CN" w:bidi="ar-SA"/>
        </w:rPr>
        <w:t>，在海外市场也夺取较优势的竞争地位；②在安防领域中，海康威视与中小企业的竞争激烈，销售虽有增加，但其利润也在减少，科技赋能带动海康威视向</w:t>
      </w:r>
      <w:r>
        <w:rPr>
          <w:rFonts w:hint="default" w:ascii="Arial" w:hAnsi="Arial" w:eastAsia="宋体" w:cs="Arial"/>
          <w:b w:val="0"/>
          <w:bCs w:val="0"/>
          <w:i w:val="0"/>
          <w:iCs w:val="0"/>
          <w:caps w:val="0"/>
          <w:color w:val="000000"/>
          <w:spacing w:val="0"/>
          <w:kern w:val="2"/>
          <w:sz w:val="21"/>
          <w:szCs w:val="21"/>
          <w:shd w:val="clear" w:fill="FFFFFF"/>
          <w:lang w:val="en-US" w:eastAsia="zh-CN" w:bidi="ar-SA"/>
        </w:rPr>
        <w:t>转型智能物联 AIoT</w:t>
      </w:r>
      <w:r>
        <w:rPr>
          <w:rFonts w:hint="eastAsia" w:ascii="Arial" w:hAnsi="Arial" w:cs="Arial"/>
          <w:b w:val="0"/>
          <w:bCs w:val="0"/>
          <w:i w:val="0"/>
          <w:iCs w:val="0"/>
          <w:caps w:val="0"/>
          <w:color w:val="000000"/>
          <w:spacing w:val="0"/>
          <w:kern w:val="2"/>
          <w:sz w:val="21"/>
          <w:szCs w:val="21"/>
          <w:shd w:val="clear" w:fill="FFFFFF"/>
          <w:lang w:val="en-US" w:eastAsia="zh-CN" w:bidi="ar-SA"/>
        </w:rPr>
        <w:t>转型。</w:t>
      </w:r>
    </w:p>
    <w:p>
      <w:pPr>
        <w:rPr>
          <w:rFonts w:hint="eastAsia" w:ascii="Arial" w:hAnsi="Arial" w:eastAsia="宋体" w:cs="Arial"/>
          <w:b w:val="0"/>
          <w:bCs w:val="0"/>
          <w:i w:val="0"/>
          <w:iCs w:val="0"/>
          <w:caps w:val="0"/>
          <w:color w:val="000000"/>
          <w:spacing w:val="0"/>
          <w:kern w:val="2"/>
          <w:sz w:val="21"/>
          <w:szCs w:val="21"/>
          <w:shd w:val="clear" w:fill="FFFFFF"/>
          <w:lang w:val="en-US" w:eastAsia="zh-CN" w:bidi="ar-SA"/>
        </w:rPr>
      </w:pPr>
      <w:r>
        <w:rPr>
          <w:rFonts w:hint="eastAsia" w:ascii="Arial" w:hAnsi="Arial" w:cs="Arial"/>
          <w:b/>
          <w:bCs/>
          <w:i w:val="0"/>
          <w:iCs w:val="0"/>
          <w:caps w:val="0"/>
          <w:color w:val="000000"/>
          <w:spacing w:val="0"/>
          <w:kern w:val="2"/>
          <w:sz w:val="21"/>
          <w:szCs w:val="21"/>
          <w:shd w:val="clear" w:fill="FFFFFF"/>
          <w:lang w:val="en-US" w:eastAsia="zh-CN" w:bidi="ar-SA"/>
        </w:rPr>
        <w:t>公司技术水平分析：</w:t>
      </w:r>
      <w:r>
        <w:rPr>
          <w:rFonts w:hint="eastAsia" w:ascii="Arial" w:hAnsi="Arial" w:eastAsia="宋体" w:cs="Arial"/>
          <w:b w:val="0"/>
          <w:bCs w:val="0"/>
          <w:i w:val="0"/>
          <w:iCs w:val="0"/>
          <w:caps w:val="0"/>
          <w:color w:val="000000"/>
          <w:spacing w:val="0"/>
          <w:kern w:val="2"/>
          <w:sz w:val="21"/>
          <w:szCs w:val="21"/>
          <w:shd w:val="clear" w:fill="FFFFFF"/>
          <w:lang w:val="en-US" w:eastAsia="zh-CN" w:bidi="ar-SA"/>
        </w:rPr>
        <w:t>海康威视在安防技术方面具有领先水平。在视频监控技术、人工智能应用、大数据分析还是物联网技术保持了在行业内的技术领先地位。视频监控技术、人工智能运用、大数据分析、云计算与物联网和生物识别技术等方面都进行领域深耕。</w:t>
      </w:r>
    </w:p>
    <w:p>
      <w:pPr>
        <w:rPr>
          <w:rFonts w:hint="default" w:ascii="Arial" w:hAnsi="Arial" w:eastAsia="宋体" w:cs="Arial"/>
          <w:b w:val="0"/>
          <w:bCs w:val="0"/>
          <w:i w:val="0"/>
          <w:iCs w:val="0"/>
          <w:caps w:val="0"/>
          <w:color w:val="000000"/>
          <w:spacing w:val="0"/>
          <w:kern w:val="2"/>
          <w:sz w:val="21"/>
          <w:szCs w:val="21"/>
          <w:shd w:val="clear" w:fill="FFFFFF"/>
          <w:lang w:val="en-US" w:eastAsia="zh-CN" w:bidi="ar-SA"/>
        </w:rPr>
      </w:pPr>
      <w:r>
        <w:rPr>
          <w:rFonts w:hint="eastAsia" w:ascii="Arial" w:hAnsi="Arial" w:eastAsia="宋体" w:cs="Arial"/>
          <w:b/>
          <w:bCs/>
          <w:i w:val="0"/>
          <w:iCs w:val="0"/>
          <w:caps w:val="0"/>
          <w:color w:val="000000"/>
          <w:spacing w:val="0"/>
          <w:kern w:val="2"/>
          <w:sz w:val="21"/>
          <w:szCs w:val="21"/>
          <w:shd w:val="clear" w:fill="FFFFFF"/>
          <w:lang w:val="en-US" w:eastAsia="zh-CN" w:bidi="ar-SA"/>
        </w:rPr>
        <w:t>规模分析：</w:t>
      </w:r>
      <w:r>
        <w:rPr>
          <w:rFonts w:hint="eastAsia" w:ascii="Arial" w:hAnsi="Arial" w:eastAsia="宋体" w:cs="Arial"/>
          <w:b w:val="0"/>
          <w:bCs w:val="0"/>
          <w:i w:val="0"/>
          <w:iCs w:val="0"/>
          <w:caps w:val="0"/>
          <w:color w:val="000000"/>
          <w:spacing w:val="0"/>
          <w:kern w:val="2"/>
          <w:sz w:val="21"/>
          <w:szCs w:val="21"/>
          <w:shd w:val="clear" w:fill="FFFFFF"/>
          <w:lang w:val="en-US" w:eastAsia="zh-CN" w:bidi="ar-SA"/>
        </w:rPr>
        <w:t>①员工规模</w:t>
      </w:r>
      <w:r>
        <w:rPr>
          <w:rFonts w:hint="default" w:ascii="Arial" w:hAnsi="Arial" w:eastAsia="宋体" w:cs="Arial"/>
          <w:b w:val="0"/>
          <w:bCs w:val="0"/>
          <w:i w:val="0"/>
          <w:iCs w:val="0"/>
          <w:caps w:val="0"/>
          <w:color w:val="000000"/>
          <w:spacing w:val="0"/>
          <w:kern w:val="2"/>
          <w:sz w:val="21"/>
          <w:szCs w:val="21"/>
          <w:shd w:val="clear" w:fill="FFFFFF"/>
          <w:lang w:val="en-US" w:eastAsia="zh-CN" w:bidi="ar-SA"/>
        </w:rPr>
        <w:t>: 海康威视拥有庞大的员工团队，涵盖了研发、生产、销售、客户服务等多个领域。</w:t>
      </w:r>
      <w:r>
        <w:rPr>
          <w:rFonts w:hint="eastAsia" w:ascii="Arial" w:hAnsi="Arial" w:eastAsia="宋体" w:cs="Arial"/>
          <w:b w:val="0"/>
          <w:bCs w:val="0"/>
          <w:i w:val="0"/>
          <w:iCs w:val="0"/>
          <w:caps w:val="0"/>
          <w:color w:val="000000"/>
          <w:spacing w:val="0"/>
          <w:kern w:val="2"/>
          <w:sz w:val="21"/>
          <w:szCs w:val="21"/>
          <w:shd w:val="clear" w:fill="FFFFFF"/>
          <w:lang w:val="en-US" w:eastAsia="zh-CN" w:bidi="ar-SA"/>
        </w:rPr>
        <w:t>②研发投入</w:t>
      </w:r>
      <w:r>
        <w:rPr>
          <w:rFonts w:hint="default" w:ascii="Arial" w:hAnsi="Arial" w:eastAsia="宋体" w:cs="Arial"/>
          <w:b w:val="0"/>
          <w:bCs w:val="0"/>
          <w:i w:val="0"/>
          <w:iCs w:val="0"/>
          <w:caps w:val="0"/>
          <w:color w:val="000000"/>
          <w:spacing w:val="0"/>
          <w:kern w:val="2"/>
          <w:sz w:val="21"/>
          <w:szCs w:val="21"/>
          <w:shd w:val="clear" w:fill="FFFFFF"/>
          <w:lang w:val="en-US" w:eastAsia="zh-CN" w:bidi="ar-SA"/>
        </w:rPr>
        <w:t>: 海康威视在研发方面的投入非常巨大，拥有一支强大的研发团队和先进的研发设施。</w:t>
      </w:r>
      <w:r>
        <w:rPr>
          <w:rFonts w:hint="eastAsia" w:ascii="Arial" w:hAnsi="Arial" w:eastAsia="宋体" w:cs="Arial"/>
          <w:b w:val="0"/>
          <w:bCs w:val="0"/>
          <w:i w:val="0"/>
          <w:iCs w:val="0"/>
          <w:caps w:val="0"/>
          <w:color w:val="000000"/>
          <w:spacing w:val="0"/>
          <w:kern w:val="2"/>
          <w:sz w:val="21"/>
          <w:szCs w:val="21"/>
          <w:shd w:val="clear" w:fill="FFFFFF"/>
          <w:lang w:val="en-US" w:eastAsia="zh-CN" w:bidi="ar-SA"/>
        </w:rPr>
        <w:t>③生产基地</w:t>
      </w:r>
      <w:r>
        <w:rPr>
          <w:rFonts w:hint="default" w:ascii="Arial" w:hAnsi="Arial" w:eastAsia="宋体" w:cs="Arial"/>
          <w:b w:val="0"/>
          <w:bCs w:val="0"/>
          <w:i w:val="0"/>
          <w:iCs w:val="0"/>
          <w:caps w:val="0"/>
          <w:color w:val="000000"/>
          <w:spacing w:val="0"/>
          <w:kern w:val="2"/>
          <w:sz w:val="21"/>
          <w:szCs w:val="21"/>
          <w:shd w:val="clear" w:fill="FFFFFF"/>
          <w:lang w:val="en-US" w:eastAsia="zh-CN" w:bidi="ar-SA"/>
        </w:rPr>
        <w:t>:</w:t>
      </w:r>
      <w:r>
        <w:rPr>
          <w:rFonts w:hint="eastAsia" w:ascii="Arial" w:hAnsi="Arial" w:eastAsia="宋体" w:cs="Arial"/>
          <w:b w:val="0"/>
          <w:bCs w:val="0"/>
          <w:i w:val="0"/>
          <w:iCs w:val="0"/>
          <w:caps w:val="0"/>
          <w:color w:val="000000"/>
          <w:spacing w:val="0"/>
          <w:kern w:val="2"/>
          <w:sz w:val="21"/>
          <w:szCs w:val="21"/>
          <w:shd w:val="clear" w:fill="FFFFFF"/>
          <w:lang w:val="en-US" w:eastAsia="zh-CN" w:bidi="ar-SA"/>
        </w:rPr>
        <w:t>海康威视在全球范围内建立了多个生产基地和研发中心，拥有先进的生产设备和技术工艺。④全球业务布局</w:t>
      </w:r>
      <w:r>
        <w:rPr>
          <w:rFonts w:hint="default" w:ascii="Arial" w:hAnsi="Arial" w:eastAsia="宋体" w:cs="Arial"/>
          <w:b w:val="0"/>
          <w:bCs w:val="0"/>
          <w:i w:val="0"/>
          <w:iCs w:val="0"/>
          <w:caps w:val="0"/>
          <w:color w:val="000000"/>
          <w:spacing w:val="0"/>
          <w:kern w:val="2"/>
          <w:sz w:val="21"/>
          <w:szCs w:val="21"/>
          <w:shd w:val="clear" w:fill="FFFFFF"/>
          <w:lang w:val="en-US" w:eastAsia="zh-CN" w:bidi="ar-SA"/>
        </w:rPr>
        <w:t>: 海康威视在全球范围内拥有广泛的业务布局，覆盖了多个国家和地区。</w:t>
      </w:r>
    </w:p>
    <w:p>
      <w:pPr>
        <w:rPr>
          <w:rFonts w:ascii="宋体" w:hAnsi="宋体" w:eastAsia="宋体" w:cs="宋体"/>
          <w:kern w:val="0"/>
          <w:sz w:val="24"/>
          <w:szCs w:val="24"/>
          <w:lang w:val="en-US" w:eastAsia="zh-CN" w:bidi="ar"/>
        </w:rPr>
      </w:pPr>
      <w:r>
        <w:rPr>
          <w:rFonts w:hint="eastAsia" w:ascii="Arial" w:hAnsi="Arial" w:eastAsia="宋体" w:cs="Arial"/>
          <w:b/>
          <w:bCs/>
          <w:i w:val="0"/>
          <w:iCs w:val="0"/>
          <w:caps w:val="0"/>
          <w:color w:val="000000"/>
          <w:spacing w:val="0"/>
          <w:kern w:val="2"/>
          <w:sz w:val="21"/>
          <w:szCs w:val="21"/>
          <w:shd w:val="clear" w:fill="FFFFFF"/>
          <w:lang w:val="en-US" w:eastAsia="zh-CN" w:bidi="ar-SA"/>
        </w:rPr>
        <w:t>财务分析：</w:t>
      </w:r>
    </w:p>
    <w:p>
      <w:pPr>
        <w:keepNext w:val="0"/>
        <w:keepLines w:val="0"/>
        <w:widowControl/>
        <w:suppressLineNumbers w:val="0"/>
        <w:jc w:val="left"/>
        <w:rPr>
          <w:rFonts w:hint="default" w:ascii="Arial" w:hAnsi="Arial" w:eastAsia="宋体" w:cs="Arial"/>
          <w:b w:val="0"/>
          <w:bCs w:val="0"/>
          <w:i w:val="0"/>
          <w:iCs w:val="0"/>
          <w:caps w:val="0"/>
          <w:color w:val="000000"/>
          <w:spacing w:val="0"/>
          <w:kern w:val="2"/>
          <w:sz w:val="21"/>
          <w:szCs w:val="21"/>
          <w:shd w:val="clear" w:fill="FFFFFF"/>
          <w:lang w:val="en-US" w:eastAsia="zh-CN" w:bidi="ar-SA"/>
        </w:rPr>
      </w:pP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val="en-US" w:eastAsia="zh-CN" w:bidi="ar"/>
        </w:rPr>
        <w:tab/>
      </w:r>
      <w:r>
        <w:rPr>
          <w:rFonts w:hint="eastAsia" w:ascii="Arial" w:hAnsi="Arial" w:eastAsia="宋体" w:cs="Arial"/>
          <w:b w:val="0"/>
          <w:bCs w:val="0"/>
          <w:i w:val="0"/>
          <w:iCs w:val="0"/>
          <w:caps w:val="0"/>
          <w:color w:val="000000"/>
          <w:spacing w:val="0"/>
          <w:kern w:val="2"/>
          <w:sz w:val="21"/>
          <w:szCs w:val="21"/>
          <w:shd w:val="clear" w:fill="FFFFFF"/>
          <w:lang w:val="en-US" w:eastAsia="zh-CN" w:bidi="ar-SA"/>
        </w:rPr>
        <w:t>盈利能力维持稳定，主营获利能力保持稳定；成长能力有所加强，营收增长率重拾升势；偿债能力维持稳定，负债资产占比维持稳定；运营能力维持稳定，应收账款周转速度需加快；现金流能力有所加强，对外投资目标易于实现。</w:t>
      </w:r>
      <w:r>
        <w:rPr>
          <w:rFonts w:hint="default" w:ascii="Arial" w:hAnsi="Arial" w:eastAsia="宋体" w:cs="Arial"/>
          <w:b w:val="0"/>
          <w:bCs w:val="0"/>
          <w:i w:val="0"/>
          <w:iCs w:val="0"/>
          <w:caps w:val="0"/>
          <w:color w:val="000000"/>
          <w:spacing w:val="0"/>
          <w:kern w:val="2"/>
          <w:sz w:val="21"/>
          <w:szCs w:val="21"/>
          <w:shd w:val="clear" w:fill="FFFFFF"/>
          <w:lang w:val="en-US" w:eastAsia="zh-CN" w:bidi="ar-SA"/>
        </w:rPr>
        <w:t>相对同行业主营业务利润贡献略有提升,但销售</w:t>
      </w:r>
      <w:r>
        <w:rPr>
          <w:rFonts w:hint="eastAsia" w:ascii="Arial" w:hAnsi="Arial" w:eastAsia="宋体" w:cs="Arial"/>
          <w:b w:val="0"/>
          <w:bCs w:val="0"/>
          <w:i w:val="0"/>
          <w:iCs w:val="0"/>
          <w:caps w:val="0"/>
          <w:color w:val="000000"/>
          <w:spacing w:val="0"/>
          <w:kern w:val="2"/>
          <w:sz w:val="21"/>
          <w:szCs w:val="21"/>
          <w:shd w:val="clear" w:fill="FFFFFF"/>
          <w:lang w:val="en-US" w:eastAsia="zh-CN" w:bidi="ar-SA"/>
        </w:rPr>
        <w:t>回款</w:t>
      </w:r>
      <w:r>
        <w:rPr>
          <w:rFonts w:hint="default" w:ascii="Arial" w:hAnsi="Arial" w:eastAsia="宋体" w:cs="Arial"/>
          <w:b w:val="0"/>
          <w:bCs w:val="0"/>
          <w:i w:val="0"/>
          <w:iCs w:val="0"/>
          <w:caps w:val="0"/>
          <w:color w:val="000000"/>
          <w:spacing w:val="0"/>
          <w:kern w:val="2"/>
          <w:sz w:val="21"/>
          <w:szCs w:val="21"/>
          <w:shd w:val="clear" w:fill="FFFFFF"/>
          <w:lang w:val="en-US" w:eastAsia="zh-CN" w:bidi="ar-SA"/>
        </w:rPr>
        <w:t>力进一步减弱。</w:t>
      </w:r>
    </w:p>
    <w:p>
      <w:pPr>
        <w:rPr>
          <w:rFonts w:hint="default" w:ascii="Arial" w:hAnsi="Arial" w:eastAsia="宋体" w:cs="Arial"/>
          <w:b/>
          <w:bCs/>
          <w:i w:val="0"/>
          <w:iCs w:val="0"/>
          <w:caps w:val="0"/>
          <w:color w:val="222222"/>
          <w:spacing w:val="0"/>
          <w:sz w:val="21"/>
          <w:szCs w:val="21"/>
          <w:shd w:val="clear" w:fill="FFFFFF"/>
          <w:lang w:val="en-US" w:eastAsia="zh-CN"/>
        </w:rPr>
      </w:pPr>
      <w:r>
        <w:rPr>
          <w:rFonts w:hint="eastAsia" w:ascii="Arial" w:hAnsi="Arial" w:eastAsia="宋体" w:cs="Arial"/>
          <w:b/>
          <w:bCs/>
          <w:i w:val="0"/>
          <w:iCs w:val="0"/>
          <w:caps w:val="0"/>
          <w:color w:val="222222"/>
          <w:spacing w:val="0"/>
          <w:sz w:val="21"/>
          <w:szCs w:val="21"/>
          <w:shd w:val="clear" w:fill="FFFFFF"/>
          <w:lang w:val="en-US" w:eastAsia="zh-CN"/>
        </w:rPr>
        <w:t>证券投资技术分析：</w:t>
      </w:r>
    </w:p>
    <w:p>
      <w:pPr>
        <w:rPr>
          <w:rFonts w:hint="eastAsia"/>
          <w:b/>
          <w:bCs/>
          <w:lang w:val="en-US" w:eastAsia="zh-CN"/>
        </w:rPr>
      </w:pPr>
      <w:r>
        <w:rPr>
          <w:rFonts w:hint="default"/>
          <w:b/>
          <w:bCs/>
          <w:lang w:val="en-US" w:eastAsia="zh-CN"/>
        </w:rPr>
        <w:t>K线图分析</w:t>
      </w:r>
      <w:r>
        <w:rPr>
          <w:rFonts w:hint="eastAsia"/>
          <w:b/>
          <w:bCs/>
          <w:lang w:val="en-US" w:eastAsia="zh-CN"/>
        </w:rPr>
        <w:t>：</w:t>
      </w:r>
    </w:p>
    <w:p>
      <w:pPr>
        <w:jc w:val="center"/>
        <w:rPr>
          <w:rFonts w:hint="eastAsia"/>
          <w:b/>
          <w:bCs/>
          <w:lang w:val="en-US" w:eastAsia="zh-CN"/>
        </w:rPr>
      </w:pPr>
      <w:r>
        <w:rPr>
          <w:rFonts w:hint="eastAsia"/>
          <w:b/>
          <w:bCs/>
          <w:lang w:val="en-US" w:eastAsia="zh-CN"/>
        </w:rPr>
        <w:drawing>
          <wp:inline distT="0" distB="0" distL="114300" distR="114300">
            <wp:extent cx="2330450" cy="1377315"/>
            <wp:effectExtent l="0" t="0" r="1270" b="9525"/>
            <wp:docPr id="16" name="图片 16" descr="1715431075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15431075010(1)"/>
                    <pic:cNvPicPr>
                      <a:picLocks noChangeAspect="1"/>
                    </pic:cNvPicPr>
                  </pic:nvPicPr>
                  <pic:blipFill>
                    <a:blip r:embed="rId14"/>
                    <a:stretch>
                      <a:fillRect/>
                    </a:stretch>
                  </pic:blipFill>
                  <pic:spPr>
                    <a:xfrm>
                      <a:off x="0" y="0"/>
                      <a:ext cx="2330450" cy="1377315"/>
                    </a:xfrm>
                    <a:prstGeom prst="rect">
                      <a:avLst/>
                    </a:prstGeom>
                  </pic:spPr>
                </pic:pic>
              </a:graphicData>
            </a:graphic>
          </wp:inline>
        </w:drawing>
      </w:r>
    </w:p>
    <w:p>
      <w:pPr>
        <w:jc w:val="left"/>
        <w:rPr>
          <w:rFonts w:hint="default" w:ascii="Arial" w:hAnsi="Arial" w:cs="Arial"/>
          <w:i w:val="0"/>
          <w:iCs w:val="0"/>
          <w:caps w:val="0"/>
          <w:color w:val="333333"/>
          <w:spacing w:val="0"/>
          <w:kern w:val="0"/>
          <w:sz w:val="19"/>
          <w:szCs w:val="19"/>
          <w:lang w:val="en-US" w:eastAsia="zh-CN" w:bidi="ar"/>
        </w:rPr>
      </w:pPr>
      <w:r>
        <w:rPr>
          <w:rFonts w:hint="eastAsia" w:ascii="Arial" w:hAnsi="Arial" w:cs="Arial"/>
          <w:i w:val="0"/>
          <w:iCs w:val="0"/>
          <w:caps w:val="0"/>
          <w:color w:val="333333"/>
          <w:spacing w:val="0"/>
          <w:kern w:val="0"/>
          <w:sz w:val="19"/>
          <w:szCs w:val="19"/>
          <w:lang w:val="en-US" w:eastAsia="zh-CN" w:bidi="ar"/>
        </w:rPr>
        <w:t>①红色框K线特点：平均线的多头排列，典型性的均线多头排列。一般来说，不论是股票還是大盘，是一个较为普遍的高涨数据信号。投资人应当以持仓主导，尽量不要售出。②黄色框中K线：为均线空头排列，移动平均线另外呈弧形降低，这只股已进到了下挫周期时间，行情趋弱，从图中可知其大幅的下挫，可售出手上的个股或股票止损退场，持币观望。③绿色框K线特点：均线黏合状态，此时股票的买卖情绪不大，并且此时股票不涨破与跌破，根据判断可能进入震荡期间，可能引来上涨趋势。</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left"/>
        <w:rPr>
          <w:rFonts w:hint="default" w:ascii="Arial" w:hAnsi="Arial" w:cs="Arial"/>
          <w:i w:val="0"/>
          <w:iCs w:val="0"/>
          <w:caps w:val="0"/>
          <w:color w:val="333333"/>
          <w:spacing w:val="0"/>
          <w:sz w:val="19"/>
          <w:szCs w:val="19"/>
        </w:rPr>
      </w:pPr>
    </w:p>
    <w:p>
      <w:pPr>
        <w:jc w:val="left"/>
        <w:rPr>
          <w:rFonts w:hint="default"/>
          <w:b/>
          <w:bCs/>
          <w:lang w:val="en-US" w:eastAsia="zh-CN"/>
        </w:rPr>
      </w:pPr>
    </w:p>
    <w:p>
      <w:pPr>
        <w:rPr>
          <w:rFonts w:hint="eastAsia"/>
          <w:b/>
          <w:bCs/>
          <w:lang w:val="en-US" w:eastAsia="zh-CN"/>
        </w:rPr>
      </w:pPr>
      <w:r>
        <w:rPr>
          <w:rFonts w:hint="default"/>
          <w:b/>
          <w:bCs/>
          <w:lang w:val="en-US" w:eastAsia="zh-CN"/>
        </w:rPr>
        <w:t>形态分析</w:t>
      </w:r>
      <w:r>
        <w:rPr>
          <w:rFonts w:hint="eastAsia"/>
          <w:b/>
          <w:bCs/>
          <w:lang w:val="en-US" w:eastAsia="zh-CN"/>
        </w:rPr>
        <w:t>：</w:t>
      </w:r>
    </w:p>
    <w:p>
      <w:pPr>
        <w:rPr>
          <w:rFonts w:hint="default"/>
          <w:b/>
          <w:bCs/>
          <w:lang w:val="en-US" w:eastAsia="zh-CN"/>
        </w:rPr>
      </w:pPr>
    </w:p>
    <w:p>
      <w:pPr>
        <w:jc w:val="center"/>
        <w:rPr>
          <w:rFonts w:hint="default"/>
          <w:b/>
          <w:bCs/>
          <w:lang w:val="en-US" w:eastAsia="zh-CN"/>
        </w:rPr>
      </w:pPr>
      <w:r>
        <w:rPr>
          <w:rFonts w:hint="default"/>
          <w:b/>
          <w:bCs/>
          <w:lang w:val="en-US" w:eastAsia="zh-CN"/>
        </w:rPr>
        <w:drawing>
          <wp:inline distT="0" distB="0" distL="114300" distR="114300">
            <wp:extent cx="2315845" cy="1024255"/>
            <wp:effectExtent l="0" t="0" r="635" b="12065"/>
            <wp:docPr id="20" name="图片 20" descr="1715432379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15432379240(1)"/>
                    <pic:cNvPicPr>
                      <a:picLocks noChangeAspect="1"/>
                    </pic:cNvPicPr>
                  </pic:nvPicPr>
                  <pic:blipFill>
                    <a:blip r:embed="rId15"/>
                    <a:stretch>
                      <a:fillRect/>
                    </a:stretch>
                  </pic:blipFill>
                  <pic:spPr>
                    <a:xfrm>
                      <a:off x="0" y="0"/>
                      <a:ext cx="2315845" cy="1024255"/>
                    </a:xfrm>
                    <a:prstGeom prst="rect">
                      <a:avLst/>
                    </a:prstGeom>
                  </pic:spPr>
                </pic:pic>
              </a:graphicData>
            </a:graphic>
          </wp:inline>
        </w:drawing>
      </w:r>
    </w:p>
    <w:p>
      <w:pPr>
        <w:jc w:val="center"/>
        <w:rPr>
          <w:rFonts w:hint="default"/>
          <w:b/>
          <w:bCs/>
          <w:lang w:val="en-US" w:eastAsia="zh-CN"/>
        </w:rPr>
      </w:pPr>
      <w:r>
        <w:rPr>
          <w:rFonts w:hint="default"/>
          <w:b/>
          <w:bCs/>
          <w:lang w:val="en-US" w:eastAsia="zh-CN"/>
        </w:rPr>
        <w:drawing>
          <wp:inline distT="0" distB="0" distL="114300" distR="114300">
            <wp:extent cx="4358640" cy="1752600"/>
            <wp:effectExtent l="0" t="0" r="0" b="0"/>
            <wp:docPr id="25" name="图片 25" descr="1715433632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715433632577(1)"/>
                    <pic:cNvPicPr>
                      <a:picLocks noChangeAspect="1"/>
                    </pic:cNvPicPr>
                  </pic:nvPicPr>
                  <pic:blipFill>
                    <a:blip r:embed="rId16"/>
                    <a:stretch>
                      <a:fillRect/>
                    </a:stretch>
                  </pic:blipFill>
                  <pic:spPr>
                    <a:xfrm>
                      <a:off x="0" y="0"/>
                      <a:ext cx="4358640" cy="1752600"/>
                    </a:xfrm>
                    <a:prstGeom prst="rect">
                      <a:avLst/>
                    </a:prstGeom>
                  </pic:spPr>
                </pic:pic>
              </a:graphicData>
            </a:graphic>
          </wp:inline>
        </w:drawing>
      </w:r>
    </w:p>
    <w:p>
      <w:pPr>
        <w:jc w:val="left"/>
        <w:rPr>
          <w:rFonts w:hint="default" w:ascii="Arial" w:hAnsi="Arial" w:cs="Arial"/>
          <w:i w:val="0"/>
          <w:iCs w:val="0"/>
          <w:caps w:val="0"/>
          <w:color w:val="333333"/>
          <w:spacing w:val="0"/>
          <w:kern w:val="0"/>
          <w:sz w:val="19"/>
          <w:szCs w:val="19"/>
          <w:lang w:val="en-US" w:eastAsia="zh-CN" w:bidi="ar"/>
        </w:rPr>
      </w:pPr>
      <w:r>
        <w:rPr>
          <w:rFonts w:hint="eastAsia"/>
          <w:lang w:val="en-US" w:eastAsia="zh-CN"/>
        </w:rPr>
        <w:t>①MACD分析：</w:t>
      </w:r>
      <w:r>
        <w:rPr>
          <w:rFonts w:ascii="Arial" w:hAnsi="Arial" w:eastAsia="宋体" w:cs="Arial"/>
          <w:i w:val="0"/>
          <w:iCs w:val="0"/>
          <w:caps w:val="0"/>
          <w:color w:val="222222"/>
          <w:spacing w:val="0"/>
          <w:sz w:val="21"/>
          <w:szCs w:val="21"/>
          <w:shd w:val="clear" w:fill="FFFFFF"/>
        </w:rPr>
        <w:t>红柱状开始缩小，股</w:t>
      </w:r>
      <w:r>
        <w:rPr>
          <w:rFonts w:hint="eastAsia" w:ascii="Arial" w:hAnsi="Arial" w:eastAsia="宋体" w:cs="Arial"/>
          <w:i w:val="0"/>
          <w:iCs w:val="0"/>
          <w:caps w:val="0"/>
          <w:color w:val="222222"/>
          <w:spacing w:val="0"/>
          <w:sz w:val="21"/>
          <w:szCs w:val="21"/>
          <w:shd w:val="clear" w:fill="FFFFFF"/>
          <w:lang w:val="en-US" w:eastAsia="zh-CN"/>
        </w:rPr>
        <w:t>票</w:t>
      </w:r>
      <w:r>
        <w:rPr>
          <w:rFonts w:ascii="Arial" w:hAnsi="Arial" w:eastAsia="宋体" w:cs="Arial"/>
          <w:i w:val="0"/>
          <w:iCs w:val="0"/>
          <w:caps w:val="0"/>
          <w:color w:val="222222"/>
          <w:spacing w:val="0"/>
          <w:sz w:val="21"/>
          <w:szCs w:val="21"/>
          <w:shd w:val="clear" w:fill="FFFFFF"/>
        </w:rPr>
        <w:t>上涨</w:t>
      </w:r>
      <w:r>
        <w:rPr>
          <w:rFonts w:hint="eastAsia" w:ascii="Arial" w:hAnsi="Arial" w:eastAsia="宋体" w:cs="Arial"/>
          <w:i w:val="0"/>
          <w:iCs w:val="0"/>
          <w:caps w:val="0"/>
          <w:color w:val="222222"/>
          <w:spacing w:val="0"/>
          <w:sz w:val="21"/>
          <w:szCs w:val="21"/>
          <w:shd w:val="clear" w:fill="FFFFFF"/>
          <w:lang w:val="en-US" w:eastAsia="zh-CN"/>
        </w:rPr>
        <w:t>可能</w:t>
      </w:r>
      <w:r>
        <w:rPr>
          <w:rFonts w:ascii="Arial" w:hAnsi="Arial" w:eastAsia="宋体" w:cs="Arial"/>
          <w:i w:val="0"/>
          <w:iCs w:val="0"/>
          <w:caps w:val="0"/>
          <w:color w:val="222222"/>
          <w:spacing w:val="0"/>
          <w:sz w:val="21"/>
          <w:szCs w:val="21"/>
          <w:shd w:val="clear" w:fill="FFFFFF"/>
        </w:rPr>
        <w:t>结束或</w:t>
      </w:r>
      <w:r>
        <w:rPr>
          <w:rFonts w:hint="eastAsia" w:ascii="Arial" w:hAnsi="Arial" w:eastAsia="宋体" w:cs="Arial"/>
          <w:i w:val="0"/>
          <w:iCs w:val="0"/>
          <w:caps w:val="0"/>
          <w:color w:val="222222"/>
          <w:spacing w:val="0"/>
          <w:sz w:val="21"/>
          <w:szCs w:val="21"/>
          <w:shd w:val="clear" w:fill="FFFFFF"/>
          <w:lang w:val="en-US" w:eastAsia="zh-CN"/>
        </w:rPr>
        <w:t>可能</w:t>
      </w:r>
      <w:r>
        <w:rPr>
          <w:rFonts w:ascii="Arial" w:hAnsi="Arial" w:eastAsia="宋体" w:cs="Arial"/>
          <w:i w:val="0"/>
          <w:iCs w:val="0"/>
          <w:caps w:val="0"/>
          <w:color w:val="222222"/>
          <w:spacing w:val="0"/>
          <w:sz w:val="21"/>
          <w:szCs w:val="21"/>
          <w:shd w:val="clear" w:fill="FFFFFF"/>
        </w:rPr>
        <w:t>进入调整</w:t>
      </w:r>
      <w:r>
        <w:rPr>
          <w:rFonts w:hint="eastAsia" w:ascii="Arial" w:hAnsi="Arial" w:eastAsia="宋体" w:cs="Arial"/>
          <w:i w:val="0"/>
          <w:iCs w:val="0"/>
          <w:caps w:val="0"/>
          <w:color w:val="222222"/>
          <w:spacing w:val="0"/>
          <w:sz w:val="21"/>
          <w:szCs w:val="21"/>
          <w:shd w:val="clear" w:fill="FFFFFF"/>
          <w:lang w:val="en-US" w:eastAsia="zh-CN"/>
        </w:rPr>
        <w:t>期</w:t>
      </w:r>
      <w:r>
        <w:rPr>
          <w:rFonts w:ascii="Arial" w:hAnsi="Arial" w:eastAsia="宋体" w:cs="Arial"/>
          <w:i w:val="0"/>
          <w:iCs w:val="0"/>
          <w:caps w:val="0"/>
          <w:color w:val="222222"/>
          <w:spacing w:val="0"/>
          <w:sz w:val="21"/>
          <w:szCs w:val="21"/>
          <w:shd w:val="clear" w:fill="FFFFFF"/>
        </w:rPr>
        <w:t>，股价</w:t>
      </w:r>
      <w:r>
        <w:rPr>
          <w:rFonts w:hint="eastAsia" w:ascii="Arial" w:hAnsi="Arial" w:eastAsia="宋体" w:cs="Arial"/>
          <w:i w:val="0"/>
          <w:iCs w:val="0"/>
          <w:caps w:val="0"/>
          <w:color w:val="222222"/>
          <w:spacing w:val="0"/>
          <w:sz w:val="21"/>
          <w:szCs w:val="21"/>
          <w:shd w:val="clear" w:fill="FFFFFF"/>
          <w:lang w:val="en-US" w:eastAsia="zh-CN"/>
        </w:rPr>
        <w:t>可能</w:t>
      </w:r>
      <w:r>
        <w:rPr>
          <w:rFonts w:ascii="Arial" w:hAnsi="Arial" w:eastAsia="宋体" w:cs="Arial"/>
          <w:i w:val="0"/>
          <w:iCs w:val="0"/>
          <w:caps w:val="0"/>
          <w:color w:val="222222"/>
          <w:spacing w:val="0"/>
          <w:sz w:val="21"/>
          <w:szCs w:val="21"/>
          <w:shd w:val="clear" w:fill="FFFFFF"/>
        </w:rPr>
        <w:t>将出现下跌，这时应卖出大部分</w:t>
      </w:r>
      <w:r>
        <w:rPr>
          <w:rFonts w:hint="eastAsia" w:ascii="Arial" w:hAnsi="Arial" w:eastAsia="宋体" w:cs="Arial"/>
          <w:i w:val="0"/>
          <w:iCs w:val="0"/>
          <w:caps w:val="0"/>
          <w:color w:val="222222"/>
          <w:spacing w:val="0"/>
          <w:sz w:val="21"/>
          <w:szCs w:val="21"/>
          <w:shd w:val="clear" w:fill="FFFFFF"/>
          <w:lang w:val="en-US" w:eastAsia="zh-CN"/>
        </w:rPr>
        <w:t>该</w:t>
      </w:r>
      <w:r>
        <w:rPr>
          <w:rFonts w:ascii="Arial" w:hAnsi="Arial" w:eastAsia="宋体" w:cs="Arial"/>
          <w:i w:val="0"/>
          <w:iCs w:val="0"/>
          <w:caps w:val="0"/>
          <w:color w:val="222222"/>
          <w:spacing w:val="0"/>
          <w:sz w:val="21"/>
          <w:szCs w:val="21"/>
          <w:shd w:val="clear" w:fill="FFFFFF"/>
        </w:rPr>
        <w:t>股票而不能买入股票</w:t>
      </w:r>
      <w:r>
        <w:rPr>
          <w:rFonts w:hint="eastAsia" w:ascii="Arial" w:hAnsi="Arial" w:eastAsia="宋体" w:cs="Arial"/>
          <w:i w:val="0"/>
          <w:iCs w:val="0"/>
          <w:caps w:val="0"/>
          <w:color w:val="222222"/>
          <w:spacing w:val="0"/>
          <w:sz w:val="21"/>
          <w:szCs w:val="21"/>
          <w:shd w:val="clear" w:fill="FFFFFF"/>
          <w:lang w:eastAsia="zh-CN"/>
        </w:rPr>
        <w:t>；</w:t>
      </w:r>
      <w:r>
        <w:rPr>
          <w:rFonts w:ascii="Arial" w:hAnsi="Arial" w:eastAsia="宋体" w:cs="Arial"/>
          <w:i w:val="0"/>
          <w:iCs w:val="0"/>
          <w:caps w:val="0"/>
          <w:color w:val="222222"/>
          <w:spacing w:val="0"/>
          <w:sz w:val="21"/>
          <w:szCs w:val="21"/>
          <w:shd w:val="clear" w:fill="FFFFFF"/>
        </w:rPr>
        <w:t>DIF和DEA均大于0但</w:t>
      </w:r>
      <w:r>
        <w:rPr>
          <w:rFonts w:hint="eastAsia" w:ascii="Arial" w:hAnsi="Arial" w:eastAsia="宋体" w:cs="Arial"/>
          <w:i w:val="0"/>
          <w:iCs w:val="0"/>
          <w:caps w:val="0"/>
          <w:color w:val="222222"/>
          <w:spacing w:val="0"/>
          <w:sz w:val="21"/>
          <w:szCs w:val="21"/>
          <w:shd w:val="clear" w:fill="FFFFFF"/>
          <w:lang w:val="en-US" w:eastAsia="zh-CN"/>
        </w:rPr>
        <w:t>可能向上</w:t>
      </w:r>
      <w:r>
        <w:rPr>
          <w:rFonts w:ascii="Arial" w:hAnsi="Arial" w:eastAsia="宋体" w:cs="Arial"/>
          <w:i w:val="0"/>
          <w:iCs w:val="0"/>
          <w:caps w:val="0"/>
          <w:color w:val="222222"/>
          <w:spacing w:val="0"/>
          <w:sz w:val="21"/>
          <w:szCs w:val="21"/>
          <w:shd w:val="clear" w:fill="FFFFFF"/>
        </w:rPr>
        <w:t>移动时，可以卖出股票</w:t>
      </w:r>
      <w:r>
        <w:rPr>
          <w:rFonts w:hint="eastAsia" w:ascii="Arial" w:hAnsi="Arial" w:eastAsia="宋体" w:cs="Arial"/>
          <w:i w:val="0"/>
          <w:iCs w:val="0"/>
          <w:caps w:val="0"/>
          <w:color w:val="222222"/>
          <w:spacing w:val="0"/>
          <w:sz w:val="21"/>
          <w:szCs w:val="21"/>
          <w:shd w:val="clear" w:fill="FFFFFF"/>
          <w:lang w:val="en-US" w:eastAsia="zh-CN"/>
        </w:rPr>
        <w:t>或</w:t>
      </w:r>
      <w:r>
        <w:rPr>
          <w:rFonts w:ascii="Arial" w:hAnsi="Arial" w:eastAsia="宋体" w:cs="Arial"/>
          <w:i w:val="0"/>
          <w:iCs w:val="0"/>
          <w:caps w:val="0"/>
          <w:color w:val="222222"/>
          <w:spacing w:val="0"/>
          <w:sz w:val="21"/>
          <w:szCs w:val="21"/>
          <w:shd w:val="clear" w:fill="FFFFFF"/>
        </w:rPr>
        <w:t>观望。</w:t>
      </w:r>
      <w:r>
        <w:rPr>
          <w:rFonts w:hint="eastAsia" w:ascii="Arial" w:hAnsi="Arial" w:cs="Arial"/>
          <w:i w:val="0"/>
          <w:iCs w:val="0"/>
          <w:caps w:val="0"/>
          <w:color w:val="333333"/>
          <w:spacing w:val="0"/>
          <w:kern w:val="0"/>
          <w:sz w:val="19"/>
          <w:szCs w:val="19"/>
          <w:lang w:val="en-US" w:eastAsia="zh-CN" w:bidi="ar"/>
        </w:rPr>
        <w:t>②</w:t>
      </w:r>
      <w:r>
        <w:rPr>
          <w:rFonts w:hint="eastAsia" w:ascii="Arial" w:hAnsi="Arial" w:eastAsia="宋体" w:cs="Arial"/>
          <w:i w:val="0"/>
          <w:iCs w:val="0"/>
          <w:caps w:val="0"/>
          <w:color w:val="222222"/>
          <w:spacing w:val="0"/>
          <w:sz w:val="21"/>
          <w:szCs w:val="21"/>
          <w:shd w:val="clear" w:fill="FFFFFF"/>
          <w:lang w:val="en-US" w:eastAsia="zh-CN"/>
        </w:rPr>
        <w:t>BOLL线分析：</w:t>
      </w:r>
      <w:r>
        <w:rPr>
          <w:rFonts w:ascii="Arial" w:hAnsi="Arial" w:eastAsia="宋体" w:cs="Arial"/>
          <w:i w:val="0"/>
          <w:iCs w:val="0"/>
          <w:caps w:val="0"/>
          <w:color w:val="222222"/>
          <w:spacing w:val="0"/>
          <w:sz w:val="21"/>
          <w:szCs w:val="21"/>
          <w:shd w:val="clear" w:fill="FFFFFF"/>
        </w:rPr>
        <w:t>布林线的上、中、下轨线</w:t>
      </w:r>
      <w:r>
        <w:rPr>
          <w:rFonts w:hint="eastAsia" w:ascii="Arial" w:hAnsi="Arial" w:eastAsia="宋体" w:cs="Arial"/>
          <w:i w:val="0"/>
          <w:iCs w:val="0"/>
          <w:caps w:val="0"/>
          <w:color w:val="222222"/>
          <w:spacing w:val="0"/>
          <w:sz w:val="21"/>
          <w:szCs w:val="21"/>
          <w:shd w:val="clear" w:fill="FFFFFF"/>
          <w:lang w:val="en-US" w:eastAsia="zh-CN"/>
        </w:rPr>
        <w:t>有</w:t>
      </w:r>
      <w:r>
        <w:rPr>
          <w:rFonts w:ascii="Arial" w:hAnsi="Arial" w:eastAsia="宋体" w:cs="Arial"/>
          <w:i w:val="0"/>
          <w:iCs w:val="0"/>
          <w:caps w:val="0"/>
          <w:color w:val="222222"/>
          <w:spacing w:val="0"/>
          <w:sz w:val="21"/>
          <w:szCs w:val="21"/>
          <w:shd w:val="clear" w:fill="FFFFFF"/>
        </w:rPr>
        <w:t>同时向上运行</w:t>
      </w:r>
      <w:r>
        <w:rPr>
          <w:rFonts w:hint="eastAsia" w:ascii="Arial" w:hAnsi="Arial" w:eastAsia="宋体" w:cs="Arial"/>
          <w:i w:val="0"/>
          <w:iCs w:val="0"/>
          <w:caps w:val="0"/>
          <w:color w:val="222222"/>
          <w:spacing w:val="0"/>
          <w:sz w:val="21"/>
          <w:szCs w:val="21"/>
          <w:shd w:val="clear" w:fill="FFFFFF"/>
          <w:lang w:val="en-US" w:eastAsia="zh-CN"/>
        </w:rPr>
        <w:t>趋势</w:t>
      </w:r>
      <w:r>
        <w:rPr>
          <w:rFonts w:ascii="Arial" w:hAnsi="Arial" w:eastAsia="宋体" w:cs="Arial"/>
          <w:i w:val="0"/>
          <w:iCs w:val="0"/>
          <w:caps w:val="0"/>
          <w:color w:val="222222"/>
          <w:spacing w:val="0"/>
          <w:sz w:val="21"/>
          <w:szCs w:val="21"/>
          <w:shd w:val="clear" w:fill="FFFFFF"/>
        </w:rPr>
        <w:t>，价格强势特征非常明显，价格短期内</w:t>
      </w:r>
      <w:r>
        <w:rPr>
          <w:rFonts w:hint="eastAsia" w:ascii="Arial" w:hAnsi="Arial" w:eastAsia="宋体" w:cs="Arial"/>
          <w:i w:val="0"/>
          <w:iCs w:val="0"/>
          <w:caps w:val="0"/>
          <w:color w:val="222222"/>
          <w:spacing w:val="0"/>
          <w:sz w:val="21"/>
          <w:szCs w:val="21"/>
          <w:shd w:val="clear" w:fill="FFFFFF"/>
          <w:lang w:val="en-US" w:eastAsia="zh-CN"/>
        </w:rPr>
        <w:t>可能</w:t>
      </w:r>
      <w:r>
        <w:rPr>
          <w:rFonts w:ascii="Arial" w:hAnsi="Arial" w:eastAsia="宋体" w:cs="Arial"/>
          <w:i w:val="0"/>
          <w:iCs w:val="0"/>
          <w:caps w:val="0"/>
          <w:color w:val="222222"/>
          <w:spacing w:val="0"/>
          <w:sz w:val="21"/>
          <w:szCs w:val="21"/>
          <w:shd w:val="clear" w:fill="FFFFFF"/>
        </w:rPr>
        <w:t>上涨，投资者</w:t>
      </w:r>
      <w:r>
        <w:rPr>
          <w:rFonts w:hint="eastAsia" w:ascii="Arial" w:hAnsi="Arial" w:eastAsia="宋体" w:cs="Arial"/>
          <w:i w:val="0"/>
          <w:iCs w:val="0"/>
          <w:caps w:val="0"/>
          <w:color w:val="222222"/>
          <w:spacing w:val="0"/>
          <w:sz w:val="21"/>
          <w:szCs w:val="21"/>
          <w:shd w:val="clear" w:fill="FFFFFF"/>
          <w:lang w:val="en-US" w:eastAsia="zh-CN"/>
        </w:rPr>
        <w:t>可继续持有待涨卖出或卖出留利</w:t>
      </w:r>
      <w:r>
        <w:rPr>
          <w:rFonts w:ascii="Arial" w:hAnsi="Arial" w:eastAsia="宋体" w:cs="Arial"/>
          <w:i w:val="0"/>
          <w:iCs w:val="0"/>
          <w:caps w:val="0"/>
          <w:color w:val="222222"/>
          <w:spacing w:val="0"/>
          <w:sz w:val="21"/>
          <w:szCs w:val="21"/>
          <w:shd w:val="clear" w:fill="FFFFFF"/>
        </w:rPr>
        <w:t>。</w:t>
      </w:r>
      <w:r>
        <w:rPr>
          <w:rFonts w:hint="eastAsia" w:ascii="Arial" w:hAnsi="Arial" w:cs="Arial"/>
          <w:i w:val="0"/>
          <w:iCs w:val="0"/>
          <w:caps w:val="0"/>
          <w:color w:val="333333"/>
          <w:spacing w:val="0"/>
          <w:kern w:val="0"/>
          <w:sz w:val="19"/>
          <w:szCs w:val="19"/>
          <w:lang w:val="en-US" w:eastAsia="zh-CN" w:bidi="ar"/>
        </w:rPr>
        <w:t>③压力线分析：该股票的跌的价格将会在黄色压力线附近震荡，可能突破压力线，股票处于调整阶段，可以观望。</w:t>
      </w:r>
    </w:p>
    <w:p>
      <w:pPr>
        <w:keepNext w:val="0"/>
        <w:keepLines w:val="0"/>
        <w:widowControl/>
        <w:suppressLineNumbers w:val="0"/>
        <w:jc w:val="left"/>
        <w:rPr>
          <w:rFonts w:hint="default" w:ascii="Arial" w:hAnsi="Arial" w:eastAsia="宋体" w:cs="Arial"/>
          <w:b w:val="0"/>
          <w:bCs w:val="0"/>
          <w:i w:val="0"/>
          <w:iCs w:val="0"/>
          <w:caps w:val="0"/>
          <w:color w:val="000000"/>
          <w:spacing w:val="0"/>
          <w:kern w:val="2"/>
          <w:sz w:val="21"/>
          <w:szCs w:val="21"/>
          <w:shd w:val="clear" w:fill="FFFFFF"/>
          <w:lang w:val="en-US" w:eastAsia="zh-CN" w:bidi="ar-SA"/>
        </w:rPr>
      </w:pP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中信证券：</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36" w:beforeAutospacing="0" w:after="0" w:afterAutospacing="0" w:line="360" w:lineRule="atLeast"/>
        <w:ind w:left="0" w:right="0"/>
        <w:jc w:val="left"/>
        <w:rPr>
          <w:rFonts w:hint="eastAsia"/>
          <w:b w:val="0"/>
          <w:bCs w:val="0"/>
          <w:lang w:val="en-US" w:eastAsia="zh-CN"/>
        </w:rPr>
      </w:pPr>
      <w:r>
        <w:rPr>
          <w:rFonts w:hint="default"/>
          <w:b/>
          <w:bCs/>
          <w:lang w:val="en-US" w:eastAsia="zh-CN"/>
        </w:rPr>
        <w:t>宏观面</w:t>
      </w:r>
      <w:r>
        <w:rPr>
          <w:rFonts w:hint="eastAsia"/>
          <w:b/>
          <w:bCs/>
          <w:lang w:val="en-US" w:eastAsia="zh-CN"/>
        </w:rPr>
        <w:t>：①</w:t>
      </w:r>
      <w:r>
        <w:rPr>
          <w:rFonts w:hint="eastAsia" w:ascii="Arial" w:hAnsi="Arial" w:eastAsia="宋体" w:cs="Arial"/>
          <w:b w:val="0"/>
          <w:bCs w:val="0"/>
          <w:i w:val="0"/>
          <w:iCs w:val="0"/>
          <w:caps w:val="0"/>
          <w:color w:val="000000"/>
          <w:spacing w:val="0"/>
          <w:kern w:val="2"/>
          <w:sz w:val="21"/>
          <w:szCs w:val="21"/>
          <w:shd w:val="clear" w:fill="FFFFFF"/>
          <w:lang w:val="en-US" w:eastAsia="zh-CN" w:bidi="ar-SA"/>
        </w:rPr>
        <w:t>中信证券股份有限公司是一家主要从事投资银行、财富管理、资产管理、金融市场等相关金融服务。②最近环境：</w:t>
      </w:r>
      <w:r>
        <w:rPr>
          <w:rFonts w:ascii="Helvetica" w:hAnsi="Helvetica" w:eastAsia="Helvetica" w:cs="Helvetica"/>
          <w:i w:val="0"/>
          <w:iCs w:val="0"/>
          <w:caps w:val="0"/>
          <w:color w:val="333333"/>
          <w:spacing w:val="0"/>
          <w:sz w:val="16"/>
          <w:szCs w:val="16"/>
          <w:shd w:val="clear" w:fill="FFFFFF"/>
        </w:rPr>
        <w:t>2024年</w:t>
      </w:r>
      <w:r>
        <w:rPr>
          <w:rFonts w:hint="eastAsia" w:ascii="Arial" w:hAnsi="Arial" w:eastAsia="宋体" w:cs="Arial"/>
          <w:b w:val="0"/>
          <w:bCs w:val="0"/>
          <w:i w:val="0"/>
          <w:iCs w:val="0"/>
          <w:caps w:val="0"/>
          <w:color w:val="000000"/>
          <w:spacing w:val="0"/>
          <w:kern w:val="2"/>
          <w:sz w:val="21"/>
          <w:szCs w:val="21"/>
          <w:shd w:val="clear" w:fill="FFFFFF"/>
          <w:lang w:val="en-US" w:eastAsia="zh-CN" w:bidi="ar-SA"/>
        </w:rPr>
        <w:t>5月10日，广东证监局发布关于对中信证券股份有限公司出具警示函措施的决定；中信证券作为泉为科技的持续督导机构，均牵涉泉为科技在2019年至2020年上半年贸易业务的财务造假；2024年4月12日，中信证券发布公告，公司收到证监会《立案告知书》；公司在2024年4月30日收到中国证监会《行政处罚决定书》</w:t>
      </w:r>
    </w:p>
    <w:p>
      <w:pPr>
        <w:keepNext w:val="0"/>
        <w:keepLines w:val="0"/>
        <w:widowControl/>
        <w:suppressLineNumbers w:val="0"/>
        <w:tabs>
          <w:tab w:val="left" w:pos="1806"/>
        </w:tabs>
        <w:jc w:val="left"/>
        <w:rPr>
          <w:rFonts w:hint="default" w:ascii="Arial" w:hAnsi="Arial" w:eastAsia="宋体" w:cs="Arial"/>
          <w:b w:val="0"/>
          <w:bCs w:val="0"/>
          <w:i w:val="0"/>
          <w:iCs w:val="0"/>
          <w:caps w:val="0"/>
          <w:color w:val="000000"/>
          <w:spacing w:val="0"/>
          <w:kern w:val="2"/>
          <w:sz w:val="21"/>
          <w:szCs w:val="21"/>
          <w:shd w:val="clear" w:fill="FFFFFF"/>
          <w:lang w:val="en-US" w:eastAsia="zh-CN" w:bidi="ar-SA"/>
        </w:rPr>
      </w:pPr>
      <w:r>
        <w:rPr>
          <w:rFonts w:hint="default"/>
          <w:b/>
          <w:bCs/>
          <w:lang w:val="en-US" w:eastAsia="zh-CN"/>
        </w:rPr>
        <w:t>行业分析</w:t>
      </w:r>
      <w:r>
        <w:rPr>
          <w:rFonts w:hint="eastAsia"/>
          <w:b/>
          <w:bCs/>
          <w:lang w:val="en-US" w:eastAsia="zh-CN"/>
        </w:rPr>
        <w:t>：</w:t>
      </w:r>
      <w:r>
        <w:rPr>
          <w:rFonts w:hint="eastAsia"/>
          <w:b w:val="0"/>
          <w:bCs w:val="0"/>
          <w:lang w:val="en-US" w:eastAsia="zh-CN"/>
        </w:rPr>
        <w:t>①经营情况：</w:t>
      </w:r>
      <w:r>
        <w:rPr>
          <w:rFonts w:hint="eastAsia" w:ascii="Arial" w:hAnsi="Arial" w:eastAsia="宋体" w:cs="Arial"/>
          <w:b w:val="0"/>
          <w:bCs w:val="0"/>
          <w:i w:val="0"/>
          <w:iCs w:val="0"/>
          <w:caps w:val="0"/>
          <w:color w:val="000000"/>
          <w:spacing w:val="0"/>
          <w:kern w:val="2"/>
          <w:sz w:val="21"/>
          <w:szCs w:val="21"/>
          <w:shd w:val="clear" w:fill="FFFFFF"/>
          <w:lang w:val="en-US" w:eastAsia="zh-CN" w:bidi="ar-SA"/>
        </w:rPr>
        <w:t>据</w:t>
      </w:r>
      <w:r>
        <w:rPr>
          <w:rFonts w:hint="default" w:ascii="Arial" w:hAnsi="Arial" w:eastAsia="宋体" w:cs="Arial"/>
          <w:b w:val="0"/>
          <w:bCs w:val="0"/>
          <w:i w:val="0"/>
          <w:iCs w:val="0"/>
          <w:caps w:val="0"/>
          <w:color w:val="000000"/>
          <w:spacing w:val="0"/>
          <w:kern w:val="2"/>
          <w:sz w:val="21"/>
          <w:szCs w:val="21"/>
          <w:shd w:val="clear" w:fill="FFFFFF"/>
          <w:lang w:val="en-US" w:eastAsia="zh-CN" w:bidi="ar-SA"/>
        </w:rPr>
        <w:fldChar w:fldCharType="begin"/>
      </w:r>
      <w:r>
        <w:rPr>
          <w:rFonts w:hint="default" w:ascii="Arial" w:hAnsi="Arial" w:eastAsia="宋体" w:cs="Arial"/>
          <w:b w:val="0"/>
          <w:bCs w:val="0"/>
          <w:i w:val="0"/>
          <w:iCs w:val="0"/>
          <w:caps w:val="0"/>
          <w:color w:val="000000"/>
          <w:spacing w:val="0"/>
          <w:kern w:val="2"/>
          <w:sz w:val="21"/>
          <w:szCs w:val="21"/>
          <w:shd w:val="clear" w:fill="FFFFFF"/>
          <w:lang w:val="en-US" w:eastAsia="zh-CN" w:bidi="ar-SA"/>
        </w:rPr>
        <w:instrText xml:space="preserve"> HYPERLINK "https://baike.baidu.com/item/%E4%B8%AD%E5%9B%BD%E8%AF%81%E5%88%B8%E4%B8%9A%E5%8D%8F%E4%BC%9A/2987957?fromModule=lemma_inlink" \t "https://baike.baidu.com/item/%E4%B8%AD%E4%BF%A1%E8%AF%81%E5%88%B8%E8%82%A1%E4%BB%BD%E6%9C%89%E9%99%90%E5%85%AC%E5%8F%B8/_blank" </w:instrText>
      </w:r>
      <w:r>
        <w:rPr>
          <w:rFonts w:hint="default" w:ascii="Arial" w:hAnsi="Arial" w:eastAsia="宋体" w:cs="Arial"/>
          <w:b w:val="0"/>
          <w:bCs w:val="0"/>
          <w:i w:val="0"/>
          <w:iCs w:val="0"/>
          <w:caps w:val="0"/>
          <w:color w:val="000000"/>
          <w:spacing w:val="0"/>
          <w:kern w:val="2"/>
          <w:sz w:val="21"/>
          <w:szCs w:val="21"/>
          <w:shd w:val="clear" w:fill="FFFFFF"/>
          <w:lang w:val="en-US" w:eastAsia="zh-CN" w:bidi="ar-SA"/>
        </w:rPr>
        <w:fldChar w:fldCharType="separate"/>
      </w:r>
      <w:r>
        <w:rPr>
          <w:rFonts w:hint="default" w:ascii="Arial" w:hAnsi="Arial" w:eastAsia="宋体" w:cs="Arial"/>
          <w:b w:val="0"/>
          <w:bCs w:val="0"/>
          <w:i w:val="0"/>
          <w:iCs w:val="0"/>
          <w:caps w:val="0"/>
          <w:color w:val="000000"/>
          <w:spacing w:val="0"/>
          <w:kern w:val="2"/>
          <w:sz w:val="21"/>
          <w:szCs w:val="21"/>
          <w:shd w:val="clear" w:fill="FFFFFF"/>
          <w:lang w:val="en-US" w:eastAsia="zh-CN" w:bidi="ar-SA"/>
        </w:rPr>
        <w:t>中国证券业协会</w:t>
      </w:r>
      <w:r>
        <w:rPr>
          <w:rFonts w:hint="default" w:ascii="Arial" w:hAnsi="Arial" w:eastAsia="宋体" w:cs="Arial"/>
          <w:b w:val="0"/>
          <w:bCs w:val="0"/>
          <w:i w:val="0"/>
          <w:iCs w:val="0"/>
          <w:caps w:val="0"/>
          <w:color w:val="000000"/>
          <w:spacing w:val="0"/>
          <w:kern w:val="2"/>
          <w:sz w:val="21"/>
          <w:szCs w:val="21"/>
          <w:shd w:val="clear" w:fill="FFFFFF"/>
          <w:lang w:val="en-US" w:eastAsia="zh-CN" w:bidi="ar-SA"/>
        </w:rPr>
        <w:fldChar w:fldCharType="end"/>
      </w:r>
      <w:r>
        <w:rPr>
          <w:rFonts w:hint="default" w:ascii="Arial" w:hAnsi="Arial" w:eastAsia="宋体" w:cs="Arial"/>
          <w:b w:val="0"/>
          <w:bCs w:val="0"/>
          <w:i w:val="0"/>
          <w:iCs w:val="0"/>
          <w:caps w:val="0"/>
          <w:color w:val="000000"/>
          <w:spacing w:val="0"/>
          <w:kern w:val="2"/>
          <w:sz w:val="21"/>
          <w:szCs w:val="21"/>
          <w:shd w:val="clear" w:fill="FFFFFF"/>
          <w:lang w:val="en-US" w:eastAsia="zh-CN" w:bidi="ar-SA"/>
        </w:rPr>
        <w:t>公布的2018年度证券公司经营业绩指标排名数据，中信证券的</w:t>
      </w:r>
      <w:r>
        <w:rPr>
          <w:rFonts w:hint="default" w:ascii="Arial" w:hAnsi="Arial" w:eastAsia="宋体" w:cs="Arial"/>
          <w:b w:val="0"/>
          <w:bCs w:val="0"/>
          <w:i w:val="0"/>
          <w:iCs w:val="0"/>
          <w:caps w:val="0"/>
          <w:color w:val="000000"/>
          <w:spacing w:val="0"/>
          <w:kern w:val="2"/>
          <w:sz w:val="21"/>
          <w:szCs w:val="21"/>
          <w:shd w:val="clear" w:fill="FFFFFF"/>
          <w:lang w:val="en-US" w:eastAsia="zh-CN" w:bidi="ar-SA"/>
        </w:rPr>
        <w:fldChar w:fldCharType="begin"/>
      </w:r>
      <w:r>
        <w:rPr>
          <w:rFonts w:hint="default" w:ascii="Arial" w:hAnsi="Arial" w:eastAsia="宋体" w:cs="Arial"/>
          <w:b w:val="0"/>
          <w:bCs w:val="0"/>
          <w:i w:val="0"/>
          <w:iCs w:val="0"/>
          <w:caps w:val="0"/>
          <w:color w:val="000000"/>
          <w:spacing w:val="0"/>
          <w:kern w:val="2"/>
          <w:sz w:val="21"/>
          <w:szCs w:val="21"/>
          <w:shd w:val="clear" w:fill="FFFFFF"/>
          <w:lang w:val="en-US" w:eastAsia="zh-CN" w:bidi="ar-SA"/>
        </w:rPr>
        <w:instrText xml:space="preserve"> HYPERLINK "https://baike.baidu.com/item/%E6%80%BB%E8%B5%84%E4%BA%A7/9803630?fromModule=lemma_inlink" \t "https://baike.baidu.com/item/%E4%B8%AD%E4%BF%A1%E8%AF%81%E5%88%B8%E8%82%A1%E4%BB%BD%E6%9C%89%E9%99%90%E5%85%AC%E5%8F%B8/_blank" </w:instrText>
      </w:r>
      <w:r>
        <w:rPr>
          <w:rFonts w:hint="default" w:ascii="Arial" w:hAnsi="Arial" w:eastAsia="宋体" w:cs="Arial"/>
          <w:b w:val="0"/>
          <w:bCs w:val="0"/>
          <w:i w:val="0"/>
          <w:iCs w:val="0"/>
          <w:caps w:val="0"/>
          <w:color w:val="000000"/>
          <w:spacing w:val="0"/>
          <w:kern w:val="2"/>
          <w:sz w:val="21"/>
          <w:szCs w:val="21"/>
          <w:shd w:val="clear" w:fill="FFFFFF"/>
          <w:lang w:val="en-US" w:eastAsia="zh-CN" w:bidi="ar-SA"/>
        </w:rPr>
        <w:fldChar w:fldCharType="separate"/>
      </w:r>
      <w:r>
        <w:rPr>
          <w:rFonts w:hint="default" w:ascii="Arial" w:hAnsi="Arial" w:eastAsia="宋体" w:cs="Arial"/>
          <w:b w:val="0"/>
          <w:bCs w:val="0"/>
          <w:i w:val="0"/>
          <w:iCs w:val="0"/>
          <w:caps w:val="0"/>
          <w:color w:val="000000"/>
          <w:spacing w:val="0"/>
          <w:kern w:val="2"/>
          <w:sz w:val="21"/>
          <w:szCs w:val="21"/>
          <w:shd w:val="clear" w:fill="FFFFFF"/>
          <w:lang w:val="en-US" w:eastAsia="zh-CN" w:bidi="ar-SA"/>
        </w:rPr>
        <w:t>总资产</w:t>
      </w:r>
      <w:r>
        <w:rPr>
          <w:rFonts w:hint="default" w:ascii="Arial" w:hAnsi="Arial" w:eastAsia="宋体" w:cs="Arial"/>
          <w:b w:val="0"/>
          <w:bCs w:val="0"/>
          <w:i w:val="0"/>
          <w:iCs w:val="0"/>
          <w:caps w:val="0"/>
          <w:color w:val="000000"/>
          <w:spacing w:val="0"/>
          <w:kern w:val="2"/>
          <w:sz w:val="21"/>
          <w:szCs w:val="21"/>
          <w:shd w:val="clear" w:fill="FFFFFF"/>
          <w:lang w:val="en-US" w:eastAsia="zh-CN" w:bidi="ar-SA"/>
        </w:rPr>
        <w:fldChar w:fldCharType="end"/>
      </w:r>
      <w:r>
        <w:rPr>
          <w:rFonts w:hint="default" w:ascii="Arial" w:hAnsi="Arial" w:eastAsia="宋体" w:cs="Arial"/>
          <w:b w:val="0"/>
          <w:bCs w:val="0"/>
          <w:i w:val="0"/>
          <w:iCs w:val="0"/>
          <w:caps w:val="0"/>
          <w:color w:val="000000"/>
          <w:spacing w:val="0"/>
          <w:kern w:val="2"/>
          <w:sz w:val="21"/>
          <w:szCs w:val="21"/>
          <w:shd w:val="clear" w:fill="FFFFFF"/>
          <w:lang w:val="en-US" w:eastAsia="zh-CN" w:bidi="ar-SA"/>
        </w:rPr>
        <w:t>、净资产、营业收入、</w:t>
      </w:r>
      <w:r>
        <w:rPr>
          <w:rFonts w:hint="default" w:ascii="Arial" w:hAnsi="Arial" w:eastAsia="宋体" w:cs="Arial"/>
          <w:b w:val="0"/>
          <w:bCs w:val="0"/>
          <w:i w:val="0"/>
          <w:iCs w:val="0"/>
          <w:caps w:val="0"/>
          <w:color w:val="000000"/>
          <w:spacing w:val="0"/>
          <w:kern w:val="2"/>
          <w:sz w:val="21"/>
          <w:szCs w:val="21"/>
          <w:shd w:val="clear" w:fill="FFFFFF"/>
          <w:lang w:val="en-US" w:eastAsia="zh-CN" w:bidi="ar-SA"/>
        </w:rPr>
        <w:fldChar w:fldCharType="begin"/>
      </w:r>
      <w:r>
        <w:rPr>
          <w:rFonts w:hint="default" w:ascii="Arial" w:hAnsi="Arial" w:eastAsia="宋体" w:cs="Arial"/>
          <w:b w:val="0"/>
          <w:bCs w:val="0"/>
          <w:i w:val="0"/>
          <w:iCs w:val="0"/>
          <w:caps w:val="0"/>
          <w:color w:val="000000"/>
          <w:spacing w:val="0"/>
          <w:kern w:val="2"/>
          <w:sz w:val="21"/>
          <w:szCs w:val="21"/>
          <w:shd w:val="clear" w:fill="FFFFFF"/>
          <w:lang w:val="en-US" w:eastAsia="zh-CN" w:bidi="ar-SA"/>
        </w:rPr>
        <w:instrText xml:space="preserve"> HYPERLINK "https://baike.baidu.com/item/%E5%87%80%E5%88%A9%E6%B6%A6/5352725?fromModule=lemma_inlink" \t "https://baike.baidu.com/item/%E4%B8%AD%E4%BF%A1%E8%AF%81%E5%88%B8%E8%82%A1%E4%BB%BD%E6%9C%89%E9%99%90%E5%85%AC%E5%8F%B8/_blank" </w:instrText>
      </w:r>
      <w:r>
        <w:rPr>
          <w:rFonts w:hint="default" w:ascii="Arial" w:hAnsi="Arial" w:eastAsia="宋体" w:cs="Arial"/>
          <w:b w:val="0"/>
          <w:bCs w:val="0"/>
          <w:i w:val="0"/>
          <w:iCs w:val="0"/>
          <w:caps w:val="0"/>
          <w:color w:val="000000"/>
          <w:spacing w:val="0"/>
          <w:kern w:val="2"/>
          <w:sz w:val="21"/>
          <w:szCs w:val="21"/>
          <w:shd w:val="clear" w:fill="FFFFFF"/>
          <w:lang w:val="en-US" w:eastAsia="zh-CN" w:bidi="ar-SA"/>
        </w:rPr>
        <w:fldChar w:fldCharType="separate"/>
      </w:r>
      <w:r>
        <w:rPr>
          <w:rFonts w:hint="default" w:ascii="Arial" w:hAnsi="Arial" w:eastAsia="宋体" w:cs="Arial"/>
          <w:b w:val="0"/>
          <w:bCs w:val="0"/>
          <w:i w:val="0"/>
          <w:iCs w:val="0"/>
          <w:caps w:val="0"/>
          <w:color w:val="000000"/>
          <w:spacing w:val="0"/>
          <w:kern w:val="2"/>
          <w:sz w:val="21"/>
          <w:szCs w:val="21"/>
          <w:shd w:val="clear" w:fill="FFFFFF"/>
          <w:lang w:val="en-US" w:eastAsia="zh-CN" w:bidi="ar-SA"/>
        </w:rPr>
        <w:t>净利润</w:t>
      </w:r>
      <w:r>
        <w:rPr>
          <w:rFonts w:hint="default" w:ascii="Arial" w:hAnsi="Arial" w:eastAsia="宋体" w:cs="Arial"/>
          <w:b w:val="0"/>
          <w:bCs w:val="0"/>
          <w:i w:val="0"/>
          <w:iCs w:val="0"/>
          <w:caps w:val="0"/>
          <w:color w:val="000000"/>
          <w:spacing w:val="0"/>
          <w:kern w:val="2"/>
          <w:sz w:val="21"/>
          <w:szCs w:val="21"/>
          <w:shd w:val="clear" w:fill="FFFFFF"/>
          <w:lang w:val="en-US" w:eastAsia="zh-CN" w:bidi="ar-SA"/>
        </w:rPr>
        <w:fldChar w:fldCharType="end"/>
      </w:r>
      <w:r>
        <w:rPr>
          <w:rFonts w:hint="default" w:ascii="Arial" w:hAnsi="Arial" w:eastAsia="宋体" w:cs="Arial"/>
          <w:b w:val="0"/>
          <w:bCs w:val="0"/>
          <w:i w:val="0"/>
          <w:iCs w:val="0"/>
          <w:caps w:val="0"/>
          <w:color w:val="000000"/>
          <w:spacing w:val="0"/>
          <w:kern w:val="2"/>
          <w:sz w:val="21"/>
          <w:szCs w:val="21"/>
          <w:shd w:val="clear" w:fill="FFFFFF"/>
          <w:lang w:val="en-US" w:eastAsia="zh-CN" w:bidi="ar-SA"/>
        </w:rPr>
        <w:t>等指标在行业均排名第一</w:t>
      </w:r>
      <w:r>
        <w:rPr>
          <w:rFonts w:hint="eastAsia" w:ascii="Arial" w:hAnsi="Arial" w:eastAsia="宋体" w:cs="Arial"/>
          <w:b w:val="0"/>
          <w:bCs w:val="0"/>
          <w:i w:val="0"/>
          <w:iCs w:val="0"/>
          <w:caps w:val="0"/>
          <w:color w:val="000000"/>
          <w:spacing w:val="0"/>
          <w:kern w:val="2"/>
          <w:sz w:val="21"/>
          <w:szCs w:val="21"/>
          <w:shd w:val="clear" w:fill="FFFFFF"/>
          <w:lang w:val="en-US" w:eastAsia="zh-CN" w:bidi="ar-SA"/>
        </w:rPr>
        <w:t>。②市场地位：</w:t>
      </w:r>
      <w:r>
        <w:rPr>
          <w:rFonts w:hint="default" w:ascii="Arial" w:hAnsi="Arial" w:eastAsia="宋体" w:cs="Arial"/>
          <w:b w:val="0"/>
          <w:bCs w:val="0"/>
          <w:i w:val="0"/>
          <w:iCs w:val="0"/>
          <w:caps w:val="0"/>
          <w:color w:val="000000"/>
          <w:spacing w:val="0"/>
          <w:kern w:val="2"/>
          <w:sz w:val="21"/>
          <w:szCs w:val="21"/>
          <w:shd w:val="clear" w:fill="FFFFFF"/>
          <w:lang w:val="en-US" w:eastAsia="zh-CN" w:bidi="ar-SA"/>
        </w:rPr>
        <w:t>中信证券在中国证券市场中占据着重要地位，是中国证券业龙头企业，其在股票、债券、期货等多个领域都有较大的市场份额。</w:t>
      </w:r>
      <w:r>
        <w:rPr>
          <w:rFonts w:hint="eastAsia" w:ascii="Arial" w:hAnsi="Arial" w:eastAsia="宋体" w:cs="Arial"/>
          <w:b w:val="0"/>
          <w:bCs w:val="0"/>
          <w:i w:val="0"/>
          <w:iCs w:val="0"/>
          <w:caps w:val="0"/>
          <w:color w:val="000000"/>
          <w:spacing w:val="0"/>
          <w:kern w:val="2"/>
          <w:sz w:val="21"/>
          <w:szCs w:val="21"/>
          <w:shd w:val="clear" w:fill="FFFFFF"/>
          <w:lang w:val="en-US" w:eastAsia="zh-CN" w:bidi="ar-SA"/>
        </w:rPr>
        <w:t>③业务范围：</w:t>
      </w:r>
      <w:r>
        <w:rPr>
          <w:rFonts w:hint="default" w:ascii="Arial" w:hAnsi="Arial" w:eastAsia="宋体" w:cs="Arial"/>
          <w:b w:val="0"/>
          <w:bCs w:val="0"/>
          <w:i w:val="0"/>
          <w:iCs w:val="0"/>
          <w:caps w:val="0"/>
          <w:color w:val="000000"/>
          <w:spacing w:val="0"/>
          <w:kern w:val="2"/>
          <w:sz w:val="21"/>
          <w:szCs w:val="21"/>
          <w:shd w:val="clear" w:fill="FFFFFF"/>
          <w:lang w:val="en-US" w:eastAsia="zh-CN" w:bidi="ar-SA"/>
        </w:rPr>
        <w:t>涵盖了证券经纪、投资银行、资产管理、财富管理等多个领域</w:t>
      </w:r>
      <w:r>
        <w:rPr>
          <w:rFonts w:hint="eastAsia" w:ascii="Arial" w:hAnsi="Arial" w:eastAsia="宋体" w:cs="Arial"/>
          <w:b w:val="0"/>
          <w:bCs w:val="0"/>
          <w:i w:val="0"/>
          <w:iCs w:val="0"/>
          <w:caps w:val="0"/>
          <w:color w:val="000000"/>
          <w:spacing w:val="0"/>
          <w:kern w:val="2"/>
          <w:sz w:val="21"/>
          <w:szCs w:val="21"/>
          <w:shd w:val="clear" w:fill="FFFFFF"/>
          <w:lang w:val="en-US" w:eastAsia="zh-CN" w:bidi="ar-SA"/>
        </w:rPr>
        <w:t>，</w:t>
      </w:r>
      <w:r>
        <w:rPr>
          <w:rFonts w:hint="default" w:ascii="Arial" w:hAnsi="Arial" w:eastAsia="宋体" w:cs="Arial"/>
          <w:b w:val="0"/>
          <w:bCs w:val="0"/>
          <w:i w:val="0"/>
          <w:iCs w:val="0"/>
          <w:caps w:val="0"/>
          <w:color w:val="000000"/>
          <w:spacing w:val="0"/>
          <w:kern w:val="2"/>
          <w:sz w:val="21"/>
          <w:szCs w:val="21"/>
          <w:shd w:val="clear" w:fill="FFFFFF"/>
          <w:lang w:val="en-US" w:eastAsia="zh-CN" w:bidi="ar-SA"/>
        </w:rPr>
        <w:t>拥有完善的金融服务体系，为客户提供股票、债券、衍生品等多种投资和融资产品，满足了不同客户的需求。</w:t>
      </w:r>
    </w:p>
    <w:p>
      <w:pPr>
        <w:keepNext w:val="0"/>
        <w:keepLines w:val="0"/>
        <w:widowControl/>
        <w:suppressLineNumbers w:val="0"/>
        <w:jc w:val="left"/>
        <w:rPr>
          <w:rFonts w:hint="default"/>
          <w:b/>
          <w:bCs/>
          <w:lang w:val="en-US" w:eastAsia="zh-CN"/>
        </w:rPr>
      </w:pPr>
      <w:r>
        <w:rPr>
          <w:rFonts w:hint="default"/>
          <w:b/>
          <w:bCs/>
          <w:lang w:val="en-US" w:eastAsia="zh-CN"/>
        </w:rPr>
        <w:t>公司技术水</w:t>
      </w:r>
      <w:r>
        <w:rPr>
          <w:rFonts w:hint="default" w:ascii="Arial" w:hAnsi="Arial" w:eastAsia="宋体" w:cs="Arial"/>
          <w:b/>
          <w:bCs/>
          <w:i w:val="0"/>
          <w:iCs w:val="0"/>
          <w:caps w:val="0"/>
          <w:color w:val="000000"/>
          <w:spacing w:val="0"/>
          <w:kern w:val="2"/>
          <w:sz w:val="21"/>
          <w:szCs w:val="21"/>
          <w:shd w:val="clear" w:fill="FFFFFF"/>
          <w:lang w:val="en-US" w:eastAsia="zh-CN" w:bidi="ar-SA"/>
        </w:rPr>
        <w:t>平</w:t>
      </w:r>
      <w:r>
        <w:rPr>
          <w:rFonts w:hint="eastAsia" w:ascii="Arial" w:hAnsi="Arial" w:eastAsia="宋体" w:cs="Arial"/>
          <w:b/>
          <w:bCs/>
          <w:i w:val="0"/>
          <w:iCs w:val="0"/>
          <w:caps w:val="0"/>
          <w:color w:val="000000"/>
          <w:spacing w:val="0"/>
          <w:kern w:val="2"/>
          <w:sz w:val="21"/>
          <w:szCs w:val="21"/>
          <w:shd w:val="clear" w:fill="FFFFFF"/>
          <w:lang w:val="en-US" w:eastAsia="zh-CN" w:bidi="ar-SA"/>
        </w:rPr>
        <w:t>：</w:t>
      </w:r>
      <w:r>
        <w:rPr>
          <w:rFonts w:hint="eastAsia" w:ascii="Arial" w:hAnsi="Arial" w:eastAsia="宋体" w:cs="Arial"/>
          <w:b w:val="0"/>
          <w:bCs w:val="0"/>
          <w:i w:val="0"/>
          <w:iCs w:val="0"/>
          <w:caps w:val="0"/>
          <w:color w:val="000000"/>
          <w:spacing w:val="0"/>
          <w:kern w:val="2"/>
          <w:sz w:val="21"/>
          <w:szCs w:val="21"/>
          <w:shd w:val="clear" w:fill="FFFFFF"/>
          <w:lang w:val="en-US" w:eastAsia="zh-CN" w:bidi="ar-SA"/>
        </w:rPr>
        <w:t>①创新能力</w:t>
      </w:r>
      <w:r>
        <w:rPr>
          <w:rFonts w:hint="eastAsia"/>
          <w:b/>
          <w:bCs/>
          <w:lang w:val="en-US" w:eastAsia="zh-CN"/>
        </w:rPr>
        <w:t>：</w:t>
      </w:r>
      <w:r>
        <w:rPr>
          <w:rFonts w:hint="default" w:ascii="Arial" w:hAnsi="Arial" w:eastAsia="宋体" w:cs="Arial"/>
          <w:b w:val="0"/>
          <w:bCs w:val="0"/>
          <w:i w:val="0"/>
          <w:iCs w:val="0"/>
          <w:caps w:val="0"/>
          <w:color w:val="000000"/>
          <w:spacing w:val="0"/>
          <w:kern w:val="2"/>
          <w:sz w:val="21"/>
          <w:szCs w:val="21"/>
          <w:shd w:val="clear" w:fill="FFFFFF"/>
          <w:lang w:val="en-US" w:eastAsia="zh-CN" w:bidi="ar-SA"/>
        </w:rPr>
        <w:t>在金融科技和创新业务方面积极探索。公司不断加强科技投入，推动业务创新和数字化转型，提升服务水平和竞争力。</w:t>
      </w:r>
      <w:r>
        <w:rPr>
          <w:rFonts w:hint="eastAsia" w:ascii="Arial" w:hAnsi="Arial" w:eastAsia="宋体" w:cs="Arial"/>
          <w:b w:val="0"/>
          <w:bCs w:val="0"/>
          <w:i w:val="0"/>
          <w:iCs w:val="0"/>
          <w:caps w:val="0"/>
          <w:color w:val="000000"/>
          <w:spacing w:val="0"/>
          <w:kern w:val="2"/>
          <w:sz w:val="21"/>
          <w:szCs w:val="21"/>
          <w:shd w:val="clear" w:fill="FFFFFF"/>
          <w:lang w:val="en-US" w:eastAsia="zh-CN" w:bidi="ar-SA"/>
        </w:rPr>
        <w:t>②研究能力：</w:t>
      </w:r>
      <w:r>
        <w:rPr>
          <w:rFonts w:hint="default" w:ascii="Arial" w:hAnsi="Arial" w:eastAsia="宋体" w:cs="Arial"/>
          <w:b w:val="0"/>
          <w:bCs w:val="0"/>
          <w:i w:val="0"/>
          <w:iCs w:val="0"/>
          <w:caps w:val="0"/>
          <w:color w:val="000000"/>
          <w:spacing w:val="0"/>
          <w:kern w:val="2"/>
          <w:sz w:val="21"/>
          <w:szCs w:val="21"/>
          <w:shd w:val="clear" w:fill="FFFFFF"/>
          <w:lang w:val="en-US" w:eastAsia="zh-CN" w:bidi="ar-SA"/>
        </w:rPr>
        <w:t>在行业研究和投资分析方面具有较强的能力。公司拥有一支专业的研究团队，涵盖了宏观经济、行业分析、公司研究等多个领域，为客户提供及时、准确的投资建议和研究报告。</w:t>
      </w:r>
    </w:p>
    <w:p>
      <w:pPr>
        <w:keepNext w:val="0"/>
        <w:keepLines w:val="0"/>
        <w:widowControl/>
        <w:suppressLineNumbers w:val="0"/>
        <w:jc w:val="left"/>
        <w:rPr>
          <w:rFonts w:hint="eastAsia" w:ascii="Arial" w:hAnsi="Arial" w:eastAsia="宋体" w:cs="Arial"/>
          <w:b w:val="0"/>
          <w:bCs w:val="0"/>
          <w:i w:val="0"/>
          <w:iCs w:val="0"/>
          <w:caps w:val="0"/>
          <w:color w:val="000000"/>
          <w:spacing w:val="0"/>
          <w:kern w:val="2"/>
          <w:sz w:val="21"/>
          <w:szCs w:val="21"/>
          <w:shd w:val="clear" w:fill="FFFFFF"/>
          <w:lang w:val="en-US" w:eastAsia="zh-CN" w:bidi="ar-SA"/>
        </w:rPr>
      </w:pPr>
      <w:r>
        <w:rPr>
          <w:rFonts w:hint="default"/>
          <w:b/>
          <w:bCs/>
          <w:lang w:val="en-US" w:eastAsia="zh-CN"/>
        </w:rPr>
        <w:t>规模分析</w:t>
      </w:r>
      <w:r>
        <w:rPr>
          <w:rFonts w:hint="eastAsia"/>
          <w:b/>
          <w:bCs/>
          <w:lang w:val="en-US" w:eastAsia="zh-CN"/>
        </w:rPr>
        <w:t>：</w:t>
      </w:r>
      <w:r>
        <w:rPr>
          <w:rFonts w:hint="default" w:ascii="Arial" w:hAnsi="Arial" w:eastAsia="宋体" w:cs="Arial"/>
          <w:b w:val="0"/>
          <w:bCs w:val="0"/>
          <w:i w:val="0"/>
          <w:iCs w:val="0"/>
          <w:caps w:val="0"/>
          <w:color w:val="000000"/>
          <w:spacing w:val="0"/>
          <w:kern w:val="2"/>
          <w:sz w:val="21"/>
          <w:szCs w:val="21"/>
          <w:shd w:val="clear" w:fill="FFFFFF"/>
          <w:lang w:val="en-US" w:eastAsia="zh-CN" w:bidi="ar-SA"/>
        </w:rPr>
        <w:t>中信证券致力于国际化发展，拓展境外业务和市场。公司在香港、新加坡等地设立了分支机构和办事处，积极参与国际资本市场的竞争和合作。</w:t>
      </w:r>
    </w:p>
    <w:p>
      <w:pPr>
        <w:keepNext w:val="0"/>
        <w:keepLines w:val="0"/>
        <w:widowControl/>
        <w:suppressLineNumbers w:val="0"/>
        <w:jc w:val="left"/>
        <w:rPr>
          <w:rFonts w:hint="eastAsia"/>
          <w:b/>
          <w:bCs/>
          <w:lang w:val="en-US" w:eastAsia="zh-CN"/>
        </w:rPr>
      </w:pPr>
      <w:r>
        <w:rPr>
          <w:rFonts w:hint="default"/>
          <w:b/>
          <w:bCs/>
          <w:lang w:val="en-US" w:eastAsia="zh-CN"/>
        </w:rPr>
        <w:t>财务分析</w:t>
      </w:r>
      <w:r>
        <w:rPr>
          <w:rFonts w:hint="eastAsia"/>
          <w:b/>
          <w:bCs/>
          <w:lang w:val="en-US" w:eastAsia="zh-CN"/>
        </w:rPr>
        <w:t>：</w:t>
      </w:r>
    </w:p>
    <w:p>
      <w:pPr>
        <w:keepNext w:val="0"/>
        <w:keepLines w:val="0"/>
        <w:widowControl/>
        <w:suppressLineNumbers w:val="0"/>
        <w:jc w:val="left"/>
        <w:rPr>
          <w:rFonts w:hint="eastAsia"/>
          <w:b/>
          <w:bCs/>
          <w:lang w:val="en-US" w:eastAsia="zh-CN"/>
        </w:rPr>
      </w:pPr>
      <w:r>
        <w:rPr>
          <w:rFonts w:hint="eastAsia"/>
          <w:b/>
          <w:bCs/>
          <w:lang w:val="en-US" w:eastAsia="zh-CN"/>
        </w:rPr>
        <w:drawing>
          <wp:inline distT="0" distB="0" distL="114300" distR="114300">
            <wp:extent cx="5267960" cy="1482725"/>
            <wp:effectExtent l="0" t="0" r="5080" b="10795"/>
            <wp:docPr id="6" name="图片 6" descr="%_RY7L8XH%K(}AOIDJ~Y{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_RY7L8XH%K(}AOIDJ~Y{92"/>
                    <pic:cNvPicPr>
                      <a:picLocks noChangeAspect="1"/>
                    </pic:cNvPicPr>
                  </pic:nvPicPr>
                  <pic:blipFill>
                    <a:blip r:embed="rId17"/>
                    <a:stretch>
                      <a:fillRect/>
                    </a:stretch>
                  </pic:blipFill>
                  <pic:spPr>
                    <a:xfrm>
                      <a:off x="0" y="0"/>
                      <a:ext cx="5267960" cy="1482725"/>
                    </a:xfrm>
                    <a:prstGeom prst="rect">
                      <a:avLst/>
                    </a:prstGeom>
                  </pic:spPr>
                </pic:pic>
              </a:graphicData>
            </a:graphic>
          </wp:inline>
        </w:drawing>
      </w:r>
    </w:p>
    <w:p>
      <w:pPr>
        <w:keepNext w:val="0"/>
        <w:keepLines w:val="0"/>
        <w:widowControl/>
        <w:suppressLineNumbers w:val="0"/>
        <w:jc w:val="left"/>
        <w:rPr>
          <w:rFonts w:hint="eastAsia"/>
          <w:b/>
          <w:bCs/>
          <w:lang w:val="en-US" w:eastAsia="zh-CN"/>
        </w:rPr>
      </w:pPr>
      <w:r>
        <w:rPr>
          <w:rFonts w:ascii="宋体" w:hAnsi="宋体" w:eastAsia="宋体" w:cs="宋体"/>
          <w:kern w:val="0"/>
          <w:sz w:val="24"/>
          <w:szCs w:val="24"/>
          <w:lang w:val="en-US" w:eastAsia="zh-CN" w:bidi="ar"/>
        </w:rPr>
        <w:drawing>
          <wp:inline distT="0" distB="0" distL="114300" distR="114300">
            <wp:extent cx="4721225" cy="1557655"/>
            <wp:effectExtent l="0" t="0" r="3175" b="1206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8"/>
                    <a:stretch>
                      <a:fillRect/>
                    </a:stretch>
                  </pic:blipFill>
                  <pic:spPr>
                    <a:xfrm>
                      <a:off x="0" y="0"/>
                      <a:ext cx="4721225" cy="155765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left"/>
        <w:rPr>
          <w:rFonts w:hint="default" w:ascii="Arial" w:hAnsi="Arial" w:cs="Arial"/>
          <w:i w:val="0"/>
          <w:iCs w:val="0"/>
          <w:caps w:val="0"/>
          <w:color w:val="333333"/>
          <w:spacing w:val="0"/>
          <w:sz w:val="19"/>
          <w:szCs w:val="19"/>
        </w:rPr>
      </w:pPr>
      <w:r>
        <w:rPr>
          <w:rFonts w:hint="eastAsia" w:ascii="Arial" w:hAnsi="Arial" w:cs="Arial"/>
          <w:i w:val="0"/>
          <w:iCs w:val="0"/>
          <w:caps w:val="0"/>
          <w:color w:val="333333"/>
          <w:spacing w:val="0"/>
          <w:sz w:val="19"/>
          <w:szCs w:val="19"/>
          <w:lang w:val="en-US" w:eastAsia="zh-CN"/>
        </w:rPr>
        <w:t>2023年的归母净利润比2022与2021都要低和其利润也是逐年下降。</w:t>
      </w:r>
      <w:r>
        <w:rPr>
          <w:rFonts w:ascii="Arial" w:hAnsi="Arial" w:eastAsia="宋体" w:cs="Arial"/>
          <w:i w:val="0"/>
          <w:iCs w:val="0"/>
          <w:caps w:val="0"/>
          <w:color w:val="333333"/>
          <w:spacing w:val="0"/>
          <w:sz w:val="19"/>
          <w:szCs w:val="19"/>
        </w:rPr>
        <w:t>根据</w:t>
      </w:r>
      <w:r>
        <w:rPr>
          <w:rFonts w:hint="default" w:ascii="Arial" w:hAnsi="Arial" w:eastAsia="宋体" w:cs="Arial"/>
          <w:i w:val="0"/>
          <w:iCs w:val="0"/>
          <w:caps w:val="0"/>
          <w:color w:val="408CD7"/>
          <w:spacing w:val="0"/>
          <w:sz w:val="19"/>
          <w:szCs w:val="19"/>
          <w:u w:val="none"/>
        </w:rPr>
        <w:fldChar w:fldCharType="begin"/>
      </w:r>
      <w:r>
        <w:rPr>
          <w:rFonts w:hint="default" w:ascii="Arial" w:hAnsi="Arial" w:eastAsia="宋体" w:cs="Arial"/>
          <w:i w:val="0"/>
          <w:iCs w:val="0"/>
          <w:caps w:val="0"/>
          <w:color w:val="408CD7"/>
          <w:spacing w:val="0"/>
          <w:sz w:val="19"/>
          <w:szCs w:val="19"/>
          <w:u w:val="none"/>
        </w:rPr>
        <w:instrText xml:space="preserve"> HYPERLINK "https://basic.10jqka.com.cn/thslc/editor/view/0fB3041f29" \l "mobile=1?businessSource=zixun&amp;code=600030&amp;marketid=17" </w:instrText>
      </w:r>
      <w:r>
        <w:rPr>
          <w:rFonts w:hint="default" w:ascii="Arial" w:hAnsi="Arial" w:eastAsia="宋体" w:cs="Arial"/>
          <w:i w:val="0"/>
          <w:iCs w:val="0"/>
          <w:caps w:val="0"/>
          <w:color w:val="408CD7"/>
          <w:spacing w:val="0"/>
          <w:sz w:val="19"/>
          <w:szCs w:val="19"/>
          <w:u w:val="none"/>
        </w:rPr>
        <w:fldChar w:fldCharType="separate"/>
      </w:r>
      <w:r>
        <w:rPr>
          <w:rStyle w:val="7"/>
          <w:rFonts w:hint="default" w:ascii="Arial" w:hAnsi="Arial" w:eastAsia="宋体" w:cs="Arial"/>
          <w:i w:val="0"/>
          <w:iCs w:val="0"/>
          <w:caps w:val="0"/>
          <w:color w:val="408CD7"/>
          <w:spacing w:val="0"/>
          <w:sz w:val="19"/>
          <w:szCs w:val="19"/>
          <w:u w:val="none"/>
        </w:rPr>
        <w:t>同花顺财务诊断大模型</w:t>
      </w:r>
      <w:r>
        <w:rPr>
          <w:rFonts w:hint="default" w:ascii="Arial" w:hAnsi="Arial" w:eastAsia="宋体" w:cs="Arial"/>
          <w:i w:val="0"/>
          <w:iCs w:val="0"/>
          <w:caps w:val="0"/>
          <w:color w:val="408CD7"/>
          <w:spacing w:val="0"/>
          <w:sz w:val="19"/>
          <w:szCs w:val="19"/>
          <w:u w:val="none"/>
        </w:rPr>
        <w:fldChar w:fldCharType="end"/>
      </w:r>
      <w:r>
        <w:rPr>
          <w:rFonts w:hint="default" w:ascii="Arial" w:hAnsi="Arial" w:eastAsia="宋体" w:cs="Arial"/>
          <w:i w:val="0"/>
          <w:iCs w:val="0"/>
          <w:caps w:val="0"/>
          <w:color w:val="333333"/>
          <w:spacing w:val="0"/>
          <w:sz w:val="19"/>
          <w:szCs w:val="19"/>
        </w:rPr>
        <w:t>对其</w:t>
      </w:r>
      <w:r>
        <w:rPr>
          <w:rFonts w:hint="default" w:ascii="Arial" w:hAnsi="Arial" w:cs="Arial"/>
          <w:i w:val="0"/>
          <w:iCs w:val="0"/>
          <w:caps w:val="0"/>
          <w:color w:val="333333"/>
          <w:spacing w:val="0"/>
          <w:sz w:val="19"/>
          <w:szCs w:val="19"/>
        </w:rPr>
        <w:t>本期及过去5年财务数据1200余项财务指标的综合运算及跟踪分析，中信证券近五年总体财务状况优秀。具体而言，盈利能力、成长能力优秀，偿债能力、运营能力、资产质量良好，现金流一般。净利润197.21亿元，同比下降7.49%</w:t>
      </w:r>
    </w:p>
    <w:p>
      <w:pPr>
        <w:rPr>
          <w:rFonts w:hint="default" w:ascii="Arial" w:hAnsi="Arial" w:eastAsia="宋体" w:cs="Arial"/>
          <w:b/>
          <w:bCs/>
          <w:i w:val="0"/>
          <w:iCs w:val="0"/>
          <w:caps w:val="0"/>
          <w:color w:val="222222"/>
          <w:spacing w:val="0"/>
          <w:sz w:val="21"/>
          <w:szCs w:val="21"/>
          <w:shd w:val="clear" w:fill="FFFFFF"/>
          <w:lang w:val="en-US" w:eastAsia="zh-CN"/>
        </w:rPr>
      </w:pPr>
      <w:r>
        <w:rPr>
          <w:rFonts w:hint="eastAsia" w:ascii="Arial" w:hAnsi="Arial" w:eastAsia="宋体" w:cs="Arial"/>
          <w:b/>
          <w:bCs/>
          <w:i w:val="0"/>
          <w:iCs w:val="0"/>
          <w:caps w:val="0"/>
          <w:color w:val="222222"/>
          <w:spacing w:val="0"/>
          <w:sz w:val="21"/>
          <w:szCs w:val="21"/>
          <w:shd w:val="clear" w:fill="FFFFFF"/>
          <w:lang w:val="en-US" w:eastAsia="zh-CN"/>
        </w:rPr>
        <w:t>证券投资技术分析：</w:t>
      </w:r>
    </w:p>
    <w:p>
      <w:pPr>
        <w:rPr>
          <w:rFonts w:hint="eastAsia"/>
          <w:b/>
          <w:bCs/>
          <w:lang w:val="en-US" w:eastAsia="zh-CN"/>
        </w:rPr>
      </w:pPr>
      <w:r>
        <w:rPr>
          <w:rFonts w:hint="default"/>
          <w:b/>
          <w:bCs/>
          <w:lang w:val="en-US" w:eastAsia="zh-CN"/>
        </w:rPr>
        <w:t>K线图分析</w:t>
      </w:r>
      <w:r>
        <w:rPr>
          <w:rFonts w:hint="eastAsia"/>
          <w:b/>
          <w:bCs/>
          <w:lang w:val="en-US" w:eastAsia="zh-CN"/>
        </w:rPr>
        <w:t>：</w:t>
      </w:r>
    </w:p>
    <w:p>
      <w:pPr>
        <w:jc w:val="center"/>
        <w:rPr>
          <w:rFonts w:hint="eastAsia"/>
          <w:b/>
          <w:bCs/>
          <w:lang w:val="en-US" w:eastAsia="zh-CN"/>
        </w:rPr>
      </w:pPr>
      <w:r>
        <w:rPr>
          <w:rFonts w:hint="eastAsia"/>
          <w:b/>
          <w:bCs/>
          <w:lang w:val="en-US" w:eastAsia="zh-CN"/>
        </w:rPr>
        <w:drawing>
          <wp:inline distT="0" distB="0" distL="114300" distR="114300">
            <wp:extent cx="2446655" cy="1810385"/>
            <wp:effectExtent l="0" t="0" r="6985" b="3175"/>
            <wp:docPr id="15" name="图片 15" descr="1715430511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715430511079(1)"/>
                    <pic:cNvPicPr>
                      <a:picLocks noChangeAspect="1"/>
                    </pic:cNvPicPr>
                  </pic:nvPicPr>
                  <pic:blipFill>
                    <a:blip r:embed="rId19"/>
                    <a:stretch>
                      <a:fillRect/>
                    </a:stretch>
                  </pic:blipFill>
                  <pic:spPr>
                    <a:xfrm>
                      <a:off x="0" y="0"/>
                      <a:ext cx="2446655" cy="1810385"/>
                    </a:xfrm>
                    <a:prstGeom prst="rect">
                      <a:avLst/>
                    </a:prstGeom>
                  </pic:spPr>
                </pic:pic>
              </a:graphicData>
            </a:graphic>
          </wp:inline>
        </w:drawing>
      </w:r>
    </w:p>
    <w:p>
      <w:pPr>
        <w:jc w:val="center"/>
        <w:rPr>
          <w:rFonts w:hint="eastAsia"/>
          <w:b/>
          <w:bCs/>
          <w:lang w:val="en-US" w:eastAsia="zh-CN"/>
        </w:rPr>
      </w:pPr>
    </w:p>
    <w:p>
      <w:pPr>
        <w:jc w:val="left"/>
        <w:rPr>
          <w:rFonts w:hint="default" w:ascii="Arial" w:hAnsi="Arial" w:cs="Arial"/>
          <w:i w:val="0"/>
          <w:iCs w:val="0"/>
          <w:caps w:val="0"/>
          <w:color w:val="333333"/>
          <w:spacing w:val="0"/>
          <w:kern w:val="0"/>
          <w:sz w:val="19"/>
          <w:szCs w:val="19"/>
          <w:lang w:val="en-US" w:eastAsia="zh-CN" w:bidi="ar"/>
        </w:rPr>
      </w:pPr>
      <w:r>
        <w:rPr>
          <w:rFonts w:hint="eastAsia" w:ascii="Arial" w:hAnsi="Arial" w:cs="Arial" w:eastAsiaTheme="minorEastAsia"/>
          <w:i w:val="0"/>
          <w:iCs w:val="0"/>
          <w:caps w:val="0"/>
          <w:color w:val="333333"/>
          <w:spacing w:val="0"/>
          <w:kern w:val="0"/>
          <w:sz w:val="19"/>
          <w:szCs w:val="19"/>
          <w:lang w:val="en-US" w:eastAsia="zh-CN" w:bidi="ar"/>
        </w:rPr>
        <w:t>①</w:t>
      </w:r>
      <w:r>
        <w:rPr>
          <w:rFonts w:hint="eastAsia" w:ascii="Arial" w:hAnsi="Arial" w:cs="Arial"/>
          <w:i w:val="0"/>
          <w:iCs w:val="0"/>
          <w:caps w:val="0"/>
          <w:color w:val="333333"/>
          <w:spacing w:val="0"/>
          <w:kern w:val="0"/>
          <w:sz w:val="19"/>
          <w:szCs w:val="19"/>
          <w:lang w:val="en-US" w:eastAsia="zh-CN" w:bidi="ar"/>
        </w:rPr>
        <w:t>红色框中K线：为均线空头排列，移动平均线另外呈弧形降低，这只股已进到了下挫周期时间，行情趋弱，从图中可知其大幅的下挫，可售出手上的个股或股票止损退场，持币观望。②黄色框中K线：均线黏合状态，此时股票的买卖情绪不大，并且此时股票不涨破与跌破，可能进入震荡区间</w:t>
      </w:r>
    </w:p>
    <w:p>
      <w:pPr>
        <w:rPr>
          <w:rFonts w:hint="eastAsia"/>
          <w:b/>
          <w:bCs/>
          <w:lang w:val="en-US" w:eastAsia="zh-CN"/>
        </w:rPr>
      </w:pPr>
      <w:r>
        <w:rPr>
          <w:rFonts w:hint="default"/>
          <w:b/>
          <w:bCs/>
          <w:lang w:val="en-US" w:eastAsia="zh-CN"/>
        </w:rPr>
        <w:t>形态分析</w:t>
      </w:r>
      <w:r>
        <w:rPr>
          <w:rFonts w:hint="eastAsia"/>
          <w:b/>
          <w:bCs/>
          <w:lang w:val="en-US" w:eastAsia="zh-CN"/>
        </w:rPr>
        <w:t>：</w:t>
      </w:r>
    </w:p>
    <w:p>
      <w:pPr>
        <w:rPr>
          <w:rFonts w:hint="eastAsia"/>
          <w:b/>
          <w:bCs/>
          <w:lang w:val="en-US" w:eastAsia="zh-CN"/>
        </w:rPr>
      </w:pPr>
      <w:r>
        <w:rPr>
          <w:rFonts w:hint="eastAsia"/>
          <w:b/>
          <w:bCs/>
          <w:lang w:val="en-US" w:eastAsia="zh-CN"/>
        </w:rPr>
        <w:drawing>
          <wp:inline distT="0" distB="0" distL="114300" distR="114300">
            <wp:extent cx="4048125" cy="1872615"/>
            <wp:effectExtent l="0" t="0" r="5715" b="1905"/>
            <wp:docPr id="21" name="图片 21" descr="1715432606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715432606220(1)"/>
                    <pic:cNvPicPr>
                      <a:picLocks noChangeAspect="1"/>
                    </pic:cNvPicPr>
                  </pic:nvPicPr>
                  <pic:blipFill>
                    <a:blip r:embed="rId20"/>
                    <a:stretch>
                      <a:fillRect/>
                    </a:stretch>
                  </pic:blipFill>
                  <pic:spPr>
                    <a:xfrm>
                      <a:off x="0" y="0"/>
                      <a:ext cx="4048125" cy="1872615"/>
                    </a:xfrm>
                    <a:prstGeom prst="rect">
                      <a:avLst/>
                    </a:prstGeom>
                  </pic:spPr>
                </pic:pic>
              </a:graphicData>
            </a:graphic>
          </wp:inline>
        </w:drawing>
      </w:r>
    </w:p>
    <w:p>
      <w:pPr>
        <w:rPr>
          <w:rFonts w:hint="eastAsia"/>
          <w:b/>
          <w:bCs/>
          <w:lang w:val="en-US" w:eastAsia="zh-CN"/>
        </w:rPr>
      </w:pPr>
      <w:r>
        <w:rPr>
          <w:rFonts w:hint="eastAsia"/>
          <w:b/>
          <w:bCs/>
          <w:lang w:val="en-US" w:eastAsia="zh-CN"/>
        </w:rPr>
        <w:drawing>
          <wp:inline distT="0" distB="0" distL="114300" distR="114300">
            <wp:extent cx="5270500" cy="1627505"/>
            <wp:effectExtent l="0" t="0" r="2540" b="3175"/>
            <wp:docPr id="27" name="图片 27" descr="17154339367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715433936743(1)"/>
                    <pic:cNvPicPr>
                      <a:picLocks noChangeAspect="1"/>
                    </pic:cNvPicPr>
                  </pic:nvPicPr>
                  <pic:blipFill>
                    <a:blip r:embed="rId21"/>
                    <a:stretch>
                      <a:fillRect/>
                    </a:stretch>
                  </pic:blipFill>
                  <pic:spPr>
                    <a:xfrm>
                      <a:off x="0" y="0"/>
                      <a:ext cx="5270500" cy="1627505"/>
                    </a:xfrm>
                    <a:prstGeom prst="rect">
                      <a:avLst/>
                    </a:prstGeom>
                  </pic:spPr>
                </pic:pic>
              </a:graphicData>
            </a:graphic>
          </wp:inline>
        </w:drawing>
      </w:r>
    </w:p>
    <w:p>
      <w:pPr>
        <w:rPr>
          <w:rFonts w:hint="eastAsia"/>
          <w:b/>
          <w:bCs/>
          <w:lang w:val="en-US" w:eastAsia="zh-CN"/>
        </w:rPr>
      </w:pPr>
      <w:r>
        <w:rPr>
          <w:rFonts w:hint="eastAsia"/>
          <w:b/>
          <w:bCs/>
          <w:lang w:val="en-US" w:eastAsia="zh-CN"/>
        </w:rPr>
        <w:drawing>
          <wp:inline distT="0" distB="0" distL="114300" distR="114300">
            <wp:extent cx="3977640" cy="2324100"/>
            <wp:effectExtent l="0" t="0" r="0" b="7620"/>
            <wp:docPr id="26" name="图片 26" descr="17154338295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715433829596(1)"/>
                    <pic:cNvPicPr>
                      <a:picLocks noChangeAspect="1"/>
                    </pic:cNvPicPr>
                  </pic:nvPicPr>
                  <pic:blipFill>
                    <a:blip r:embed="rId22"/>
                    <a:stretch>
                      <a:fillRect/>
                    </a:stretch>
                  </pic:blipFill>
                  <pic:spPr>
                    <a:xfrm>
                      <a:off x="0" y="0"/>
                      <a:ext cx="3977640" cy="2324100"/>
                    </a:xfrm>
                    <a:prstGeom prst="rect">
                      <a:avLst/>
                    </a:prstGeom>
                  </pic:spPr>
                </pic:pic>
              </a:graphicData>
            </a:graphic>
          </wp:inline>
        </w:drawing>
      </w:r>
    </w:p>
    <w:p>
      <w:pPr>
        <w:keepNext w:val="0"/>
        <w:keepLines w:val="0"/>
        <w:widowControl/>
        <w:suppressLineNumbers w:val="0"/>
        <w:jc w:val="left"/>
        <w:rPr>
          <w:rFonts w:hint="default" w:eastAsia="宋体"/>
          <w:lang w:val="en-US" w:eastAsia="zh-CN"/>
        </w:rPr>
      </w:pPr>
      <w:r>
        <w:rPr>
          <w:rFonts w:hint="eastAsia"/>
          <w:lang w:val="en-US" w:eastAsia="zh-CN"/>
        </w:rPr>
        <w:t>①MACD分析：</w:t>
      </w:r>
      <w:r>
        <w:rPr>
          <w:rFonts w:ascii="Arial" w:hAnsi="Arial" w:eastAsia="宋体" w:cs="Arial"/>
          <w:i w:val="0"/>
          <w:iCs w:val="0"/>
          <w:caps w:val="0"/>
          <w:color w:val="222222"/>
          <w:spacing w:val="0"/>
          <w:sz w:val="21"/>
          <w:szCs w:val="21"/>
          <w:shd w:val="clear" w:fill="FFFFFF"/>
        </w:rPr>
        <w:t>红柱状开始缩小，股</w:t>
      </w:r>
      <w:r>
        <w:rPr>
          <w:rFonts w:hint="eastAsia" w:ascii="Arial" w:hAnsi="Arial" w:eastAsia="宋体" w:cs="Arial"/>
          <w:i w:val="0"/>
          <w:iCs w:val="0"/>
          <w:caps w:val="0"/>
          <w:color w:val="222222"/>
          <w:spacing w:val="0"/>
          <w:sz w:val="21"/>
          <w:szCs w:val="21"/>
          <w:shd w:val="clear" w:fill="FFFFFF"/>
          <w:lang w:val="en-US" w:eastAsia="zh-CN"/>
        </w:rPr>
        <w:t>票</w:t>
      </w:r>
      <w:r>
        <w:rPr>
          <w:rFonts w:ascii="Arial" w:hAnsi="Arial" w:eastAsia="宋体" w:cs="Arial"/>
          <w:i w:val="0"/>
          <w:iCs w:val="0"/>
          <w:caps w:val="0"/>
          <w:color w:val="222222"/>
          <w:spacing w:val="0"/>
          <w:sz w:val="21"/>
          <w:szCs w:val="21"/>
          <w:shd w:val="clear" w:fill="FFFFFF"/>
        </w:rPr>
        <w:t>上涨</w:t>
      </w:r>
      <w:r>
        <w:rPr>
          <w:rFonts w:hint="eastAsia" w:ascii="Arial" w:hAnsi="Arial" w:eastAsia="宋体" w:cs="Arial"/>
          <w:i w:val="0"/>
          <w:iCs w:val="0"/>
          <w:caps w:val="0"/>
          <w:color w:val="222222"/>
          <w:spacing w:val="0"/>
          <w:sz w:val="21"/>
          <w:szCs w:val="21"/>
          <w:shd w:val="clear" w:fill="FFFFFF"/>
          <w:lang w:val="en-US" w:eastAsia="zh-CN"/>
        </w:rPr>
        <w:t>可能</w:t>
      </w:r>
      <w:r>
        <w:rPr>
          <w:rFonts w:ascii="Arial" w:hAnsi="Arial" w:eastAsia="宋体" w:cs="Arial"/>
          <w:i w:val="0"/>
          <w:iCs w:val="0"/>
          <w:caps w:val="0"/>
          <w:color w:val="222222"/>
          <w:spacing w:val="0"/>
          <w:sz w:val="21"/>
          <w:szCs w:val="21"/>
          <w:shd w:val="clear" w:fill="FFFFFF"/>
        </w:rPr>
        <w:t>结束或</w:t>
      </w:r>
      <w:r>
        <w:rPr>
          <w:rFonts w:hint="eastAsia" w:ascii="Arial" w:hAnsi="Arial" w:eastAsia="宋体" w:cs="Arial"/>
          <w:i w:val="0"/>
          <w:iCs w:val="0"/>
          <w:caps w:val="0"/>
          <w:color w:val="222222"/>
          <w:spacing w:val="0"/>
          <w:sz w:val="21"/>
          <w:szCs w:val="21"/>
          <w:shd w:val="clear" w:fill="FFFFFF"/>
          <w:lang w:val="en-US" w:eastAsia="zh-CN"/>
        </w:rPr>
        <w:t>可能</w:t>
      </w:r>
      <w:r>
        <w:rPr>
          <w:rFonts w:ascii="Arial" w:hAnsi="Arial" w:eastAsia="宋体" w:cs="Arial"/>
          <w:i w:val="0"/>
          <w:iCs w:val="0"/>
          <w:caps w:val="0"/>
          <w:color w:val="222222"/>
          <w:spacing w:val="0"/>
          <w:sz w:val="21"/>
          <w:szCs w:val="21"/>
          <w:shd w:val="clear" w:fill="FFFFFF"/>
        </w:rPr>
        <w:t>进入调整</w:t>
      </w:r>
      <w:r>
        <w:rPr>
          <w:rFonts w:hint="eastAsia" w:ascii="Arial" w:hAnsi="Arial" w:eastAsia="宋体" w:cs="Arial"/>
          <w:i w:val="0"/>
          <w:iCs w:val="0"/>
          <w:caps w:val="0"/>
          <w:color w:val="222222"/>
          <w:spacing w:val="0"/>
          <w:sz w:val="21"/>
          <w:szCs w:val="21"/>
          <w:shd w:val="clear" w:fill="FFFFFF"/>
          <w:lang w:val="en-US" w:eastAsia="zh-CN"/>
        </w:rPr>
        <w:t>期</w:t>
      </w:r>
      <w:r>
        <w:rPr>
          <w:rFonts w:ascii="Arial" w:hAnsi="Arial" w:eastAsia="宋体" w:cs="Arial"/>
          <w:i w:val="0"/>
          <w:iCs w:val="0"/>
          <w:caps w:val="0"/>
          <w:color w:val="222222"/>
          <w:spacing w:val="0"/>
          <w:sz w:val="21"/>
          <w:szCs w:val="21"/>
          <w:shd w:val="clear" w:fill="FFFFFF"/>
        </w:rPr>
        <w:t>，股价</w:t>
      </w:r>
      <w:r>
        <w:rPr>
          <w:rFonts w:hint="eastAsia" w:ascii="Arial" w:hAnsi="Arial" w:eastAsia="宋体" w:cs="Arial"/>
          <w:i w:val="0"/>
          <w:iCs w:val="0"/>
          <w:caps w:val="0"/>
          <w:color w:val="222222"/>
          <w:spacing w:val="0"/>
          <w:sz w:val="21"/>
          <w:szCs w:val="21"/>
          <w:shd w:val="clear" w:fill="FFFFFF"/>
          <w:lang w:val="en-US" w:eastAsia="zh-CN"/>
        </w:rPr>
        <w:t>可能</w:t>
      </w:r>
      <w:r>
        <w:rPr>
          <w:rFonts w:ascii="Arial" w:hAnsi="Arial" w:eastAsia="宋体" w:cs="Arial"/>
          <w:i w:val="0"/>
          <w:iCs w:val="0"/>
          <w:caps w:val="0"/>
          <w:color w:val="222222"/>
          <w:spacing w:val="0"/>
          <w:sz w:val="21"/>
          <w:szCs w:val="21"/>
          <w:shd w:val="clear" w:fill="FFFFFF"/>
        </w:rPr>
        <w:t>将出现下跌，这时应卖出大部分</w:t>
      </w:r>
      <w:r>
        <w:rPr>
          <w:rFonts w:hint="eastAsia" w:ascii="Arial" w:hAnsi="Arial" w:eastAsia="宋体" w:cs="Arial"/>
          <w:i w:val="0"/>
          <w:iCs w:val="0"/>
          <w:caps w:val="0"/>
          <w:color w:val="222222"/>
          <w:spacing w:val="0"/>
          <w:sz w:val="21"/>
          <w:szCs w:val="21"/>
          <w:shd w:val="clear" w:fill="FFFFFF"/>
          <w:lang w:val="en-US" w:eastAsia="zh-CN"/>
        </w:rPr>
        <w:t>该</w:t>
      </w:r>
      <w:r>
        <w:rPr>
          <w:rFonts w:ascii="Arial" w:hAnsi="Arial" w:eastAsia="宋体" w:cs="Arial"/>
          <w:i w:val="0"/>
          <w:iCs w:val="0"/>
          <w:caps w:val="0"/>
          <w:color w:val="222222"/>
          <w:spacing w:val="0"/>
          <w:sz w:val="21"/>
          <w:szCs w:val="21"/>
          <w:shd w:val="clear" w:fill="FFFFFF"/>
        </w:rPr>
        <w:t>股票而不能买入股票</w:t>
      </w:r>
      <w:r>
        <w:rPr>
          <w:rFonts w:hint="eastAsia" w:ascii="Arial" w:hAnsi="Arial" w:eastAsia="宋体" w:cs="Arial"/>
          <w:i w:val="0"/>
          <w:iCs w:val="0"/>
          <w:caps w:val="0"/>
          <w:color w:val="222222"/>
          <w:spacing w:val="0"/>
          <w:sz w:val="21"/>
          <w:szCs w:val="21"/>
          <w:shd w:val="clear" w:fill="FFFFFF"/>
          <w:lang w:eastAsia="zh-CN"/>
        </w:rPr>
        <w:t>；</w:t>
      </w:r>
      <w:r>
        <w:rPr>
          <w:rFonts w:ascii="Arial" w:hAnsi="Arial" w:eastAsia="宋体" w:cs="Arial"/>
          <w:i w:val="0"/>
          <w:iCs w:val="0"/>
          <w:caps w:val="0"/>
          <w:color w:val="222222"/>
          <w:spacing w:val="0"/>
          <w:sz w:val="21"/>
          <w:szCs w:val="21"/>
          <w:shd w:val="clear" w:fill="FFFFFF"/>
        </w:rPr>
        <w:t>DIF和DEA均小于0时但向上移动，表示为行情即将启动，股票</w:t>
      </w:r>
      <w:r>
        <w:rPr>
          <w:rFonts w:hint="eastAsia" w:ascii="Arial" w:hAnsi="Arial" w:eastAsia="宋体" w:cs="Arial"/>
          <w:i w:val="0"/>
          <w:iCs w:val="0"/>
          <w:caps w:val="0"/>
          <w:color w:val="222222"/>
          <w:spacing w:val="0"/>
          <w:sz w:val="21"/>
          <w:szCs w:val="21"/>
          <w:shd w:val="clear" w:fill="FFFFFF"/>
          <w:lang w:val="en-US" w:eastAsia="zh-CN"/>
        </w:rPr>
        <w:t>可能</w:t>
      </w:r>
      <w:r>
        <w:rPr>
          <w:rFonts w:ascii="Arial" w:hAnsi="Arial" w:eastAsia="宋体" w:cs="Arial"/>
          <w:i w:val="0"/>
          <w:iCs w:val="0"/>
          <w:caps w:val="0"/>
          <w:color w:val="222222"/>
          <w:spacing w:val="0"/>
          <w:sz w:val="21"/>
          <w:szCs w:val="21"/>
          <w:shd w:val="clear" w:fill="FFFFFF"/>
        </w:rPr>
        <w:t>将上涨，可以买进股票或持股待涨。</w:t>
      </w:r>
      <w:r>
        <w:rPr>
          <w:rFonts w:hint="eastAsia" w:ascii="Arial" w:hAnsi="Arial" w:eastAsia="宋体" w:cs="Arial"/>
          <w:i w:val="0"/>
          <w:iCs w:val="0"/>
          <w:caps w:val="0"/>
          <w:color w:val="222222"/>
          <w:spacing w:val="0"/>
          <w:sz w:val="21"/>
          <w:szCs w:val="21"/>
          <w:shd w:val="clear" w:fill="FFFFFF"/>
          <w:lang w:val="en-US" w:eastAsia="zh-CN"/>
        </w:rPr>
        <w:t>②BOLL线分析：</w:t>
      </w:r>
      <w:r>
        <w:rPr>
          <w:rFonts w:ascii="Arial" w:hAnsi="Arial" w:eastAsia="宋体" w:cs="Arial"/>
          <w:i w:val="0"/>
          <w:iCs w:val="0"/>
          <w:caps w:val="0"/>
          <w:color w:val="222222"/>
          <w:spacing w:val="0"/>
          <w:sz w:val="21"/>
          <w:szCs w:val="21"/>
          <w:shd w:val="clear" w:fill="FFFFFF"/>
        </w:rPr>
        <w:t>上、中、下轨线同时</w:t>
      </w:r>
      <w:r>
        <w:rPr>
          <w:rFonts w:hint="eastAsia" w:ascii="Arial" w:hAnsi="Arial" w:eastAsia="宋体" w:cs="Arial"/>
          <w:i w:val="0"/>
          <w:iCs w:val="0"/>
          <w:caps w:val="0"/>
          <w:color w:val="222222"/>
          <w:spacing w:val="0"/>
          <w:sz w:val="21"/>
          <w:szCs w:val="21"/>
          <w:shd w:val="clear" w:fill="FFFFFF"/>
          <w:lang w:val="en-US" w:eastAsia="zh-CN"/>
        </w:rPr>
        <w:t>平齐</w:t>
      </w:r>
      <w:r>
        <w:rPr>
          <w:rFonts w:ascii="Arial" w:hAnsi="Arial" w:eastAsia="宋体" w:cs="Arial"/>
          <w:i w:val="0"/>
          <w:iCs w:val="0"/>
          <w:caps w:val="0"/>
          <w:color w:val="222222"/>
          <w:spacing w:val="0"/>
          <w:sz w:val="21"/>
          <w:szCs w:val="21"/>
          <w:shd w:val="clear" w:fill="FFFFFF"/>
        </w:rPr>
        <w:t>，</w:t>
      </w:r>
      <w:r>
        <w:rPr>
          <w:rFonts w:hint="eastAsia" w:ascii="Arial" w:hAnsi="Arial" w:eastAsia="宋体" w:cs="Arial"/>
          <w:i w:val="0"/>
          <w:iCs w:val="0"/>
          <w:caps w:val="0"/>
          <w:color w:val="222222"/>
          <w:spacing w:val="0"/>
          <w:sz w:val="21"/>
          <w:szCs w:val="21"/>
          <w:shd w:val="clear" w:fill="FFFFFF"/>
          <w:lang w:val="en-US" w:eastAsia="zh-CN"/>
        </w:rPr>
        <w:t>该股票</w:t>
      </w:r>
      <w:r>
        <w:rPr>
          <w:rFonts w:ascii="Arial" w:hAnsi="Arial" w:eastAsia="宋体" w:cs="Arial"/>
          <w:i w:val="0"/>
          <w:iCs w:val="0"/>
          <w:caps w:val="0"/>
          <w:color w:val="222222"/>
          <w:spacing w:val="0"/>
          <w:sz w:val="21"/>
          <w:szCs w:val="21"/>
          <w:shd w:val="clear" w:fill="FFFFFF"/>
        </w:rPr>
        <w:t>价格的</w:t>
      </w:r>
      <w:r>
        <w:rPr>
          <w:rFonts w:hint="eastAsia" w:ascii="Arial" w:hAnsi="Arial" w:eastAsia="宋体" w:cs="Arial"/>
          <w:i w:val="0"/>
          <w:iCs w:val="0"/>
          <w:caps w:val="0"/>
          <w:color w:val="222222"/>
          <w:spacing w:val="0"/>
          <w:sz w:val="21"/>
          <w:szCs w:val="21"/>
          <w:shd w:val="clear" w:fill="FFFFFF"/>
          <w:lang w:val="en-US" w:eastAsia="zh-CN"/>
        </w:rPr>
        <w:t>处于调整阶段</w:t>
      </w:r>
      <w:r>
        <w:rPr>
          <w:rFonts w:ascii="Arial" w:hAnsi="Arial" w:eastAsia="宋体" w:cs="Arial"/>
          <w:i w:val="0"/>
          <w:iCs w:val="0"/>
          <w:caps w:val="0"/>
          <w:color w:val="222222"/>
          <w:spacing w:val="0"/>
          <w:sz w:val="21"/>
          <w:szCs w:val="21"/>
          <w:shd w:val="clear" w:fill="FFFFFF"/>
        </w:rPr>
        <w:t>，价格短期内</w:t>
      </w:r>
      <w:r>
        <w:rPr>
          <w:rFonts w:hint="eastAsia" w:ascii="Arial" w:hAnsi="Arial" w:eastAsia="宋体" w:cs="Arial"/>
          <w:i w:val="0"/>
          <w:iCs w:val="0"/>
          <w:caps w:val="0"/>
          <w:color w:val="222222"/>
          <w:spacing w:val="0"/>
          <w:sz w:val="21"/>
          <w:szCs w:val="21"/>
          <w:shd w:val="clear" w:fill="FFFFFF"/>
          <w:lang w:val="en-US" w:eastAsia="zh-CN"/>
        </w:rPr>
        <w:t>处于震荡</w:t>
      </w:r>
      <w:r>
        <w:rPr>
          <w:rFonts w:ascii="Arial" w:hAnsi="Arial" w:eastAsia="宋体" w:cs="Arial"/>
          <w:i w:val="0"/>
          <w:iCs w:val="0"/>
          <w:caps w:val="0"/>
          <w:color w:val="222222"/>
          <w:spacing w:val="0"/>
          <w:sz w:val="21"/>
          <w:szCs w:val="21"/>
          <w:shd w:val="clear" w:fill="FFFFFF"/>
        </w:rPr>
        <w:t>，投资者应观望或逢高卖出。</w:t>
      </w:r>
      <w:r>
        <w:rPr>
          <w:rFonts w:hint="eastAsia" w:ascii="Arial" w:hAnsi="Arial" w:eastAsia="宋体" w:cs="Arial"/>
          <w:i w:val="0"/>
          <w:iCs w:val="0"/>
          <w:caps w:val="0"/>
          <w:color w:val="222222"/>
          <w:spacing w:val="0"/>
          <w:sz w:val="21"/>
          <w:szCs w:val="21"/>
          <w:shd w:val="clear" w:fill="FFFFFF"/>
          <w:lang w:val="en-US" w:eastAsia="zh-CN"/>
        </w:rPr>
        <w:t>③压力线分析：该股票的跌的价格将会在黄色压力线处达到上升最大值附近震荡，可能不到达压力线，投资者可买入或涨至差不多后卖出。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0"/>
        <w:jc w:val="left"/>
        <w:rPr>
          <w:rFonts w:hint="default" w:ascii="Arial" w:hAnsi="Arial" w:cs="Arial"/>
          <w:i w:val="0"/>
          <w:iCs w:val="0"/>
          <w:caps w:val="0"/>
          <w:color w:val="333333"/>
          <w:spacing w:val="0"/>
          <w:sz w:val="19"/>
          <w:szCs w:val="19"/>
        </w:rPr>
      </w:pPr>
    </w:p>
    <w:p>
      <w:pPr>
        <w:keepNext w:val="0"/>
        <w:keepLines w:val="0"/>
        <w:widowControl/>
        <w:suppressLineNumbers w:val="0"/>
        <w:jc w:val="left"/>
        <w:rPr>
          <w:rFonts w:hint="default"/>
          <w:b w:val="0"/>
          <w:bCs w:val="0"/>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中路股份：</w:t>
      </w:r>
    </w:p>
    <w:p>
      <w:pPr>
        <w:keepNext w:val="0"/>
        <w:keepLines w:val="0"/>
        <w:widowControl/>
        <w:suppressLineNumbers w:val="0"/>
        <w:jc w:val="left"/>
        <w:rPr>
          <w:rFonts w:hint="default" w:ascii="Arial" w:hAnsi="Arial" w:cs="Arial" w:eastAsiaTheme="minorEastAsia"/>
          <w:i w:val="0"/>
          <w:iCs w:val="0"/>
          <w:caps w:val="0"/>
          <w:color w:val="333333"/>
          <w:spacing w:val="0"/>
          <w:kern w:val="0"/>
          <w:sz w:val="19"/>
          <w:szCs w:val="19"/>
          <w:lang w:val="en-US" w:eastAsia="zh-CN" w:bidi="ar"/>
        </w:rPr>
      </w:pPr>
      <w:r>
        <w:rPr>
          <w:rFonts w:hint="default"/>
          <w:b/>
          <w:bCs/>
          <w:lang w:val="en-US" w:eastAsia="zh-CN"/>
        </w:rPr>
        <w:t>宏观面</w:t>
      </w:r>
      <w:r>
        <w:rPr>
          <w:rFonts w:hint="eastAsia"/>
          <w:b/>
          <w:bCs/>
          <w:lang w:val="en-US" w:eastAsia="zh-CN"/>
        </w:rPr>
        <w:t>：</w:t>
      </w:r>
      <w:r>
        <w:rPr>
          <w:rFonts w:hint="eastAsia" w:ascii="Arial" w:hAnsi="Arial" w:cs="Arial" w:eastAsiaTheme="minorEastAsia"/>
          <w:i w:val="0"/>
          <w:iCs w:val="0"/>
          <w:caps w:val="0"/>
          <w:color w:val="333333"/>
          <w:spacing w:val="0"/>
          <w:kern w:val="0"/>
          <w:sz w:val="19"/>
          <w:szCs w:val="19"/>
          <w:lang w:val="en-US" w:eastAsia="zh-CN" w:bidi="ar"/>
        </w:rPr>
        <w:t>①近几年发展方向：国内首创高空风能发电项目"安徽绩溪高空风能发电示范项目"已恢复建设完成，地面土建工程，设备安装已竣工</w:t>
      </w:r>
      <w:r>
        <w:rPr>
          <w:rFonts w:hint="eastAsia" w:ascii="Arial" w:hAnsi="Arial" w:cs="Arial"/>
          <w:i w:val="0"/>
          <w:iCs w:val="0"/>
          <w:caps w:val="0"/>
          <w:color w:val="333333"/>
          <w:spacing w:val="0"/>
          <w:kern w:val="0"/>
          <w:sz w:val="19"/>
          <w:szCs w:val="19"/>
          <w:lang w:val="en-US" w:eastAsia="zh-CN" w:bidi="ar"/>
        </w:rPr>
        <w:t>。②融资</w:t>
      </w:r>
      <w:r>
        <w:rPr>
          <w:rFonts w:hint="eastAsia" w:ascii="Arial" w:hAnsi="Arial" w:cs="Arial" w:eastAsiaTheme="minorEastAsia"/>
          <w:i w:val="0"/>
          <w:iCs w:val="0"/>
          <w:caps w:val="0"/>
          <w:color w:val="333333"/>
          <w:spacing w:val="0"/>
          <w:kern w:val="0"/>
          <w:sz w:val="19"/>
          <w:szCs w:val="19"/>
          <w:lang w:val="en-US" w:eastAsia="zh-CN" w:bidi="ar"/>
        </w:rPr>
        <w:t>情况：中路股份获融资买入0.21亿元，近三日累计买入0.55亿元</w:t>
      </w:r>
      <w:r>
        <w:rPr>
          <w:rFonts w:hint="eastAsia" w:ascii="Arial" w:hAnsi="Arial" w:cs="Arial"/>
          <w:i w:val="0"/>
          <w:iCs w:val="0"/>
          <w:caps w:val="0"/>
          <w:color w:val="333333"/>
          <w:spacing w:val="0"/>
          <w:kern w:val="0"/>
          <w:sz w:val="19"/>
          <w:szCs w:val="19"/>
          <w:lang w:val="en-US" w:eastAsia="zh-CN" w:bidi="ar"/>
        </w:rPr>
        <w:t>。③股票情况：2024年</w:t>
      </w:r>
      <w:r>
        <w:rPr>
          <w:rFonts w:hint="default" w:ascii="Arial" w:hAnsi="Arial" w:cs="Arial" w:eastAsiaTheme="minorEastAsia"/>
          <w:i w:val="0"/>
          <w:iCs w:val="0"/>
          <w:caps w:val="0"/>
          <w:color w:val="333333"/>
          <w:spacing w:val="0"/>
          <w:kern w:val="0"/>
          <w:sz w:val="19"/>
          <w:szCs w:val="19"/>
          <w:lang w:val="en-US" w:eastAsia="zh-CN" w:bidi="ar"/>
        </w:rPr>
        <w:t>5月10日，</w:t>
      </w:r>
      <w:r>
        <w:rPr>
          <w:rFonts w:hint="eastAsia" w:ascii="Arial" w:hAnsi="Arial" w:cs="Arial" w:eastAsiaTheme="minorEastAsia"/>
          <w:i w:val="0"/>
          <w:iCs w:val="0"/>
          <w:caps w:val="0"/>
          <w:color w:val="333333"/>
          <w:spacing w:val="0"/>
          <w:kern w:val="0"/>
          <w:sz w:val="19"/>
          <w:szCs w:val="19"/>
          <w:lang w:val="en-US" w:eastAsia="zh-CN" w:bidi="ar"/>
        </w:rPr>
        <w:fldChar w:fldCharType="begin"/>
      </w:r>
      <w:r>
        <w:rPr>
          <w:rFonts w:hint="eastAsia" w:ascii="Arial" w:hAnsi="Arial" w:cs="Arial" w:eastAsiaTheme="minorEastAsia"/>
          <w:i w:val="0"/>
          <w:iCs w:val="0"/>
          <w:caps w:val="0"/>
          <w:color w:val="333333"/>
          <w:spacing w:val="0"/>
          <w:kern w:val="0"/>
          <w:sz w:val="19"/>
          <w:szCs w:val="19"/>
          <w:lang w:val="en-US" w:eastAsia="zh-CN" w:bidi="ar"/>
        </w:rPr>
        <w:instrText xml:space="preserve"> HYPERLINK "http://quote.eastmoney.com/unify/r/1.600818" \t "https://finance.eastmoney.com/a/_blank" </w:instrText>
      </w:r>
      <w:r>
        <w:rPr>
          <w:rFonts w:hint="eastAsia" w:ascii="Arial" w:hAnsi="Arial" w:cs="Arial" w:eastAsiaTheme="minorEastAsia"/>
          <w:i w:val="0"/>
          <w:iCs w:val="0"/>
          <w:caps w:val="0"/>
          <w:color w:val="333333"/>
          <w:spacing w:val="0"/>
          <w:kern w:val="0"/>
          <w:sz w:val="19"/>
          <w:szCs w:val="19"/>
          <w:lang w:val="en-US" w:eastAsia="zh-CN" w:bidi="ar"/>
        </w:rPr>
        <w:fldChar w:fldCharType="separate"/>
      </w:r>
      <w:r>
        <w:rPr>
          <w:rFonts w:hint="eastAsia" w:ascii="Arial" w:hAnsi="Arial" w:cs="Arial" w:eastAsiaTheme="minorEastAsia"/>
          <w:i w:val="0"/>
          <w:iCs w:val="0"/>
          <w:caps w:val="0"/>
          <w:color w:val="333333"/>
          <w:spacing w:val="0"/>
          <w:kern w:val="0"/>
          <w:sz w:val="19"/>
          <w:szCs w:val="19"/>
          <w:lang w:val="en-US" w:eastAsia="zh-CN" w:bidi="ar"/>
        </w:rPr>
        <w:t>中路股份</w:t>
      </w:r>
      <w:r>
        <w:rPr>
          <w:rFonts w:hint="eastAsia" w:ascii="Arial" w:hAnsi="Arial" w:cs="Arial" w:eastAsiaTheme="minorEastAsia"/>
          <w:i w:val="0"/>
          <w:iCs w:val="0"/>
          <w:caps w:val="0"/>
          <w:color w:val="333333"/>
          <w:spacing w:val="0"/>
          <w:kern w:val="0"/>
          <w:sz w:val="19"/>
          <w:szCs w:val="19"/>
          <w:lang w:val="en-US" w:eastAsia="zh-CN" w:bidi="ar"/>
        </w:rPr>
        <w:fldChar w:fldCharType="end"/>
      </w:r>
      <w:r>
        <w:rPr>
          <w:rFonts w:hint="eastAsia" w:ascii="Arial" w:hAnsi="Arial" w:cs="Arial" w:eastAsiaTheme="minorEastAsia"/>
          <w:i w:val="0"/>
          <w:iCs w:val="0"/>
          <w:caps w:val="0"/>
          <w:color w:val="333333"/>
          <w:spacing w:val="0"/>
          <w:kern w:val="0"/>
          <w:sz w:val="19"/>
          <w:szCs w:val="19"/>
          <w:lang w:val="en-US" w:eastAsia="zh-CN" w:bidi="ar"/>
        </w:rPr>
        <w:t>盘中加速下跌，5分钟内跌幅超过2%，截至10点27分，报20.33元，成交3.48亿元，换手率6.90%。</w:t>
      </w:r>
    </w:p>
    <w:p>
      <w:pPr>
        <w:keepNext w:val="0"/>
        <w:keepLines w:val="0"/>
        <w:widowControl/>
        <w:suppressLineNumbers w:val="0"/>
        <w:jc w:val="left"/>
        <w:rPr>
          <w:rFonts w:hint="default"/>
          <w:b w:val="0"/>
          <w:bCs w:val="0"/>
          <w:lang w:val="en-US" w:eastAsia="zh-CN"/>
        </w:rPr>
      </w:pPr>
      <w:r>
        <w:rPr>
          <w:rFonts w:hint="default"/>
          <w:b/>
          <w:bCs/>
          <w:lang w:val="en-US" w:eastAsia="zh-CN"/>
        </w:rPr>
        <w:t>行业分析</w:t>
      </w:r>
      <w:r>
        <w:rPr>
          <w:rFonts w:hint="eastAsia"/>
          <w:b/>
          <w:bCs/>
          <w:lang w:val="en-US" w:eastAsia="zh-CN"/>
        </w:rPr>
        <w:t>：</w:t>
      </w:r>
      <w:r>
        <w:rPr>
          <w:rFonts w:hint="eastAsia"/>
          <w:b w:val="0"/>
          <w:bCs w:val="0"/>
          <w:lang w:val="en-US" w:eastAsia="zh-CN"/>
        </w:rPr>
        <w:t>①经营范围：自行车等制作业务和对外股权投资业务。②</w:t>
      </w:r>
      <w:r>
        <w:rPr>
          <w:rFonts w:hint="eastAsia"/>
          <w:lang w:val="en-US" w:eastAsia="zh-CN"/>
        </w:rPr>
        <w:t>公司在汽车及摩托车等二级行业与三级行业分类，分别属于第14名和第7名，该领域市场竞争激烈，其在该领域竞争能力有些疲软。</w:t>
      </w:r>
    </w:p>
    <w:p>
      <w:pPr>
        <w:keepNext w:val="0"/>
        <w:keepLines w:val="0"/>
        <w:widowControl/>
        <w:suppressLineNumbers w:val="0"/>
        <w:jc w:val="left"/>
        <w:rPr>
          <w:rFonts w:hint="default"/>
          <w:b/>
          <w:bCs/>
          <w:lang w:val="en-US" w:eastAsia="zh-CN"/>
        </w:rPr>
      </w:pPr>
      <w:r>
        <w:rPr>
          <w:rFonts w:hint="default"/>
          <w:b/>
          <w:bCs/>
          <w:lang w:val="en-US" w:eastAsia="zh-CN"/>
        </w:rPr>
        <w:t>公司技术水平</w:t>
      </w:r>
      <w:r>
        <w:rPr>
          <w:rFonts w:hint="eastAsia"/>
          <w:b/>
          <w:bCs/>
          <w:lang w:val="en-US" w:eastAsia="zh-CN"/>
        </w:rPr>
        <w:t>：</w:t>
      </w:r>
      <w:r>
        <w:rPr>
          <w:rFonts w:hint="eastAsia" w:asciiTheme="minorHAnsi" w:hAnsiTheme="minorHAnsi" w:eastAsiaTheme="minorEastAsia" w:cstheme="minorBidi"/>
          <w:b w:val="0"/>
          <w:bCs w:val="0"/>
          <w:kern w:val="2"/>
          <w:sz w:val="21"/>
          <w:szCs w:val="24"/>
          <w:lang w:val="en-US" w:eastAsia="zh-CN" w:bidi="ar-SA"/>
        </w:rPr>
        <w:t>①传统自行车生产，拥有传统老牌自行车品牌永久，</w:t>
      </w:r>
      <w:r>
        <w:rPr>
          <w:rFonts w:hint="default" w:asciiTheme="minorHAnsi" w:hAnsiTheme="minorHAnsi" w:eastAsiaTheme="minorEastAsia" w:cstheme="minorBidi"/>
          <w:b w:val="0"/>
          <w:bCs w:val="0"/>
          <w:kern w:val="2"/>
          <w:sz w:val="21"/>
          <w:szCs w:val="24"/>
          <w:lang w:val="en-US" w:eastAsia="zh-CN" w:bidi="ar-SA"/>
        </w:rPr>
        <w:t>德国静电烤漆工艺，长久不褪色，使用寿命长</w:t>
      </w:r>
      <w:r>
        <w:rPr>
          <w:rFonts w:hint="eastAsia" w:asciiTheme="minorHAnsi" w:hAnsiTheme="minorHAnsi" w:eastAsiaTheme="minorEastAsia" w:cstheme="minorBidi"/>
          <w:b w:val="0"/>
          <w:bCs w:val="0"/>
          <w:kern w:val="2"/>
          <w:sz w:val="21"/>
          <w:szCs w:val="24"/>
          <w:lang w:val="en-US" w:eastAsia="zh-CN" w:bidi="ar-SA"/>
        </w:rPr>
        <w:t>，</w:t>
      </w:r>
      <w:r>
        <w:rPr>
          <w:rFonts w:hint="default" w:asciiTheme="minorHAnsi" w:hAnsiTheme="minorHAnsi" w:eastAsiaTheme="minorEastAsia" w:cstheme="minorBidi"/>
          <w:b w:val="0"/>
          <w:bCs w:val="0"/>
          <w:kern w:val="2"/>
          <w:sz w:val="21"/>
          <w:szCs w:val="24"/>
          <w:lang w:val="en-US" w:eastAsia="zh-CN" w:bidi="ar-SA"/>
        </w:rPr>
        <w:t>耐磨耐扎外胎，抓地力强，很轻的重量，地滚阻安全性高</w:t>
      </w:r>
      <w:r>
        <w:rPr>
          <w:rFonts w:hint="eastAsia" w:asciiTheme="minorHAnsi" w:hAnsiTheme="minorHAnsi" w:eastAsiaTheme="minorEastAsia" w:cstheme="minorBidi"/>
          <w:b w:val="0"/>
          <w:bCs w:val="0"/>
          <w:kern w:val="2"/>
          <w:sz w:val="21"/>
          <w:szCs w:val="24"/>
          <w:lang w:val="en-US" w:eastAsia="zh-CN" w:bidi="ar-SA"/>
        </w:rPr>
        <w:t>；</w:t>
      </w:r>
      <w:r>
        <w:rPr>
          <w:rFonts w:hint="default" w:asciiTheme="minorHAnsi" w:hAnsiTheme="minorHAnsi" w:eastAsiaTheme="minorEastAsia" w:cstheme="minorBidi"/>
          <w:b w:val="0"/>
          <w:bCs w:val="0"/>
          <w:kern w:val="2"/>
          <w:sz w:val="21"/>
          <w:szCs w:val="24"/>
          <w:lang w:val="en-US" w:eastAsia="zh-CN" w:bidi="ar-SA"/>
        </w:rPr>
        <w:t>电摩业务方面，中路股份产品技术水平先进，产品类型丰富</w:t>
      </w:r>
      <w:r>
        <w:rPr>
          <w:rFonts w:hint="eastAsia" w:asciiTheme="minorHAnsi" w:hAnsiTheme="minorHAnsi" w:eastAsiaTheme="minorEastAsia" w:cstheme="minorBidi"/>
          <w:b w:val="0"/>
          <w:bCs w:val="0"/>
          <w:kern w:val="2"/>
          <w:sz w:val="21"/>
          <w:szCs w:val="24"/>
          <w:lang w:val="en-US" w:eastAsia="zh-CN" w:bidi="ar-SA"/>
        </w:rPr>
        <w:t>，</w:t>
      </w:r>
      <w:r>
        <w:rPr>
          <w:rFonts w:hint="default" w:asciiTheme="minorHAnsi" w:hAnsiTheme="minorHAnsi" w:eastAsiaTheme="minorEastAsia" w:cstheme="minorBidi"/>
          <w:b w:val="0"/>
          <w:bCs w:val="0"/>
          <w:kern w:val="2"/>
          <w:sz w:val="21"/>
          <w:szCs w:val="24"/>
          <w:lang w:val="en-US" w:eastAsia="zh-CN" w:bidi="ar-SA"/>
        </w:rPr>
        <w:t>提供专门定制服务，深受消费者的喜爱，多款产品里都安装了锂电池，安全高效，保证提供充足的电力。</w:t>
      </w:r>
      <w:r>
        <w:rPr>
          <w:rFonts w:hint="eastAsia" w:asciiTheme="minorHAnsi" w:hAnsiTheme="minorHAnsi" w:eastAsiaTheme="minorEastAsia" w:cstheme="minorBidi"/>
          <w:b w:val="0"/>
          <w:bCs w:val="0"/>
          <w:kern w:val="2"/>
          <w:sz w:val="21"/>
          <w:szCs w:val="24"/>
          <w:lang w:val="en-US" w:eastAsia="zh-CN" w:bidi="ar-SA"/>
        </w:rPr>
        <w:t>②</w:t>
      </w:r>
    </w:p>
    <w:p>
      <w:pPr>
        <w:keepNext w:val="0"/>
        <w:keepLines w:val="0"/>
        <w:widowControl/>
        <w:suppressLineNumbers w:val="0"/>
        <w:jc w:val="left"/>
        <w:rPr>
          <w:rFonts w:hint="eastAsia"/>
          <w:b/>
          <w:bCs/>
          <w:lang w:val="en-US" w:eastAsia="zh-CN"/>
        </w:rPr>
      </w:pPr>
      <w:r>
        <w:rPr>
          <w:rFonts w:hint="default"/>
          <w:b/>
          <w:bCs/>
          <w:lang w:val="en-US" w:eastAsia="zh-CN"/>
        </w:rPr>
        <w:t>规模分析</w:t>
      </w:r>
      <w:r>
        <w:rPr>
          <w:rFonts w:hint="eastAsia"/>
          <w:b/>
          <w:bCs/>
          <w:lang w:val="en-US" w:eastAsia="zh-CN"/>
        </w:rPr>
        <w:t>：</w:t>
      </w:r>
      <w:r>
        <w:rPr>
          <w:rFonts w:ascii="Segoe UI" w:hAnsi="Segoe UI" w:eastAsia="Segoe UI" w:cs="Segoe UI"/>
          <w:i w:val="0"/>
          <w:iCs w:val="0"/>
          <w:caps w:val="0"/>
          <w:color w:val="000000"/>
          <w:spacing w:val="0"/>
          <w:sz w:val="19"/>
          <w:szCs w:val="19"/>
          <w:shd w:val="clear" w:fill="FFFFFF"/>
        </w:rPr>
        <w:t>上海中路（集团）有限公司，成立于1998年，是一间以投资为核心，业务范围涵盖并购产业、投资产业、影视文化和休闲文化等四个领域的集团公司。中路集团并购产业包括中路股份、大路股份、咸阳偏转等三间上市公司。</w:t>
      </w:r>
    </w:p>
    <w:p>
      <w:pPr>
        <w:keepNext w:val="0"/>
        <w:keepLines w:val="0"/>
        <w:widowControl/>
        <w:suppressLineNumbers w:val="0"/>
        <w:jc w:val="left"/>
        <w:rPr>
          <w:rFonts w:hint="eastAsia" w:ascii="Arial" w:hAnsi="Arial" w:eastAsia="宋体" w:cs="Arial"/>
          <w:i w:val="0"/>
          <w:iCs w:val="0"/>
          <w:caps w:val="0"/>
          <w:color w:val="222222"/>
          <w:spacing w:val="0"/>
          <w:sz w:val="21"/>
          <w:szCs w:val="21"/>
          <w:shd w:val="clear" w:fill="FFFFFF"/>
          <w:lang w:val="en-US" w:eastAsia="zh-CN"/>
        </w:rPr>
      </w:pPr>
      <w:r>
        <w:rPr>
          <w:rFonts w:hint="default"/>
          <w:b/>
          <w:bCs/>
          <w:lang w:val="en-US" w:eastAsia="zh-CN"/>
        </w:rPr>
        <w:t>财务分析</w:t>
      </w:r>
      <w:r>
        <w:rPr>
          <w:rFonts w:hint="eastAsia"/>
          <w:b/>
          <w:bCs/>
          <w:lang w:val="en-US" w:eastAsia="zh-CN"/>
        </w:rPr>
        <w:t>：</w:t>
      </w:r>
      <w:r>
        <w:rPr>
          <w:rFonts w:hint="eastAsia" w:ascii="Arial" w:hAnsi="Arial" w:cs="Arial" w:eastAsiaTheme="minorEastAsia"/>
          <w:i w:val="0"/>
          <w:iCs w:val="0"/>
          <w:caps w:val="0"/>
          <w:color w:val="333333"/>
          <w:spacing w:val="0"/>
          <w:kern w:val="0"/>
          <w:sz w:val="19"/>
          <w:szCs w:val="19"/>
          <w:lang w:val="en-US" w:eastAsia="zh-CN" w:bidi="ar"/>
        </w:rPr>
        <w:t>①最近经营状况：公司实现营业收入2亿元，同比增长6.22%，实现归母净利润-567万元，同比由盈转亏</w:t>
      </w:r>
      <w:r>
        <w:rPr>
          <w:rFonts w:ascii="Arial" w:hAnsi="Arial" w:eastAsia="宋体" w:cs="Arial"/>
          <w:i w:val="0"/>
          <w:iCs w:val="0"/>
          <w:caps w:val="0"/>
          <w:color w:val="222222"/>
          <w:spacing w:val="0"/>
          <w:sz w:val="21"/>
          <w:szCs w:val="21"/>
          <w:shd w:val="clear" w:fill="FFFFFF"/>
        </w:rPr>
        <w:t>，实现经营活动产生的现金流量净额-0.31亿元，同比持续恶化，资产负债率为37.02%，同比上升0.17个百分点。</w:t>
      </w:r>
      <w:r>
        <w:rPr>
          <w:rFonts w:hint="eastAsia" w:ascii="Arial" w:hAnsi="Arial" w:eastAsia="宋体" w:cs="Arial"/>
          <w:i w:val="0"/>
          <w:iCs w:val="0"/>
          <w:caps w:val="0"/>
          <w:color w:val="222222"/>
          <w:spacing w:val="0"/>
          <w:sz w:val="21"/>
          <w:szCs w:val="21"/>
          <w:shd w:val="clear" w:fill="FFFFFF"/>
          <w:lang w:val="en-US" w:eastAsia="zh-CN"/>
        </w:rPr>
        <w:t>②经营分析：其盈利方式主要通过自行车、童车等销售，其占比为百分之65，电动自行车销售额占比为百分之20；并且主要面对国内市场，国外市场销售额度极低</w:t>
      </w:r>
    </w:p>
    <w:p>
      <w:pPr>
        <w:rPr>
          <w:rFonts w:hint="default" w:ascii="Arial" w:hAnsi="Arial" w:eastAsia="宋体" w:cs="Arial"/>
          <w:b/>
          <w:bCs/>
          <w:i w:val="0"/>
          <w:iCs w:val="0"/>
          <w:caps w:val="0"/>
          <w:color w:val="222222"/>
          <w:spacing w:val="0"/>
          <w:sz w:val="21"/>
          <w:szCs w:val="21"/>
          <w:shd w:val="clear" w:fill="FFFFFF"/>
          <w:lang w:val="en-US" w:eastAsia="zh-CN"/>
        </w:rPr>
      </w:pPr>
      <w:r>
        <w:rPr>
          <w:rFonts w:hint="eastAsia" w:ascii="Arial" w:hAnsi="Arial" w:eastAsia="宋体" w:cs="Arial"/>
          <w:b/>
          <w:bCs/>
          <w:i w:val="0"/>
          <w:iCs w:val="0"/>
          <w:caps w:val="0"/>
          <w:color w:val="222222"/>
          <w:spacing w:val="0"/>
          <w:sz w:val="21"/>
          <w:szCs w:val="21"/>
          <w:shd w:val="clear" w:fill="FFFFFF"/>
          <w:lang w:val="en-US" w:eastAsia="zh-CN"/>
        </w:rPr>
        <w:t>证券投资技术分析：</w:t>
      </w:r>
    </w:p>
    <w:p>
      <w:pPr>
        <w:rPr>
          <w:rFonts w:hint="eastAsia"/>
          <w:b/>
          <w:bCs/>
          <w:lang w:val="en-US" w:eastAsia="zh-CN"/>
        </w:rPr>
      </w:pPr>
      <w:r>
        <w:rPr>
          <w:rFonts w:hint="default"/>
          <w:b/>
          <w:bCs/>
          <w:lang w:val="en-US" w:eastAsia="zh-CN"/>
        </w:rPr>
        <w:t>K线图分析</w:t>
      </w:r>
      <w:r>
        <w:rPr>
          <w:rFonts w:hint="eastAsia"/>
          <w:b/>
          <w:bCs/>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950970" cy="2266315"/>
            <wp:effectExtent l="0" t="0" r="11430" b="4445"/>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3"/>
                    <a:stretch>
                      <a:fillRect/>
                    </a:stretch>
                  </pic:blipFill>
                  <pic:spPr>
                    <a:xfrm>
                      <a:off x="0" y="0"/>
                      <a:ext cx="3950970" cy="2266315"/>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b/>
          <w:bCs/>
          <w:lang w:val="en-US" w:eastAsia="zh-CN"/>
        </w:rPr>
      </w:pPr>
      <w:r>
        <w:rPr>
          <w:rFonts w:hint="eastAsia" w:ascii="Arial" w:hAnsi="Arial" w:eastAsia="宋体" w:cs="Arial"/>
          <w:i w:val="0"/>
          <w:iCs w:val="0"/>
          <w:caps w:val="0"/>
          <w:color w:val="222222"/>
          <w:spacing w:val="0"/>
          <w:kern w:val="2"/>
          <w:sz w:val="21"/>
          <w:szCs w:val="21"/>
          <w:shd w:val="clear" w:fill="FFFFFF"/>
          <w:lang w:val="en-US" w:eastAsia="zh-CN" w:bidi="ar-SA"/>
        </w:rPr>
        <w:t>①绿色框K线特点：平均线的多头排列，典型性的均线多头排列。一般来说，不论是股票還是大盘，是一个较为普遍的高涨数据信号。投资人应当以持仓主导，尽量不要售出。在4月30日最高点涨到了25.38。②黄色框K线特点，多条平均线挤占一起，</w:t>
      </w:r>
      <w:r>
        <w:rPr>
          <w:rFonts w:hint="eastAsia" w:asciiTheme="minorHAnsi" w:hAnsiTheme="minorHAnsi" w:eastAsiaTheme="minorEastAsia" w:cstheme="minorBidi"/>
          <w:kern w:val="2"/>
          <w:sz w:val="21"/>
          <w:szCs w:val="24"/>
          <w:lang w:val="en-US" w:eastAsia="zh-CN" w:bidi="ar-SA"/>
        </w:rPr>
        <w:t>弧形降低</w:t>
      </w:r>
      <w:r>
        <w:rPr>
          <w:rFonts w:hint="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中后期挪动平均数在正中间，短期内挪动均值再下。</w:t>
      </w:r>
      <w:r>
        <w:rPr>
          <w:rFonts w:hint="eastAsia" w:cstheme="minorBidi"/>
          <w:kern w:val="2"/>
          <w:sz w:val="21"/>
          <w:szCs w:val="24"/>
          <w:lang w:val="en-US" w:eastAsia="zh-CN" w:bidi="ar-SA"/>
        </w:rPr>
        <w:t>中路股份</w:t>
      </w:r>
      <w:r>
        <w:rPr>
          <w:rFonts w:hint="eastAsia" w:asciiTheme="minorHAnsi" w:hAnsiTheme="minorHAnsi" w:eastAsiaTheme="minorEastAsia" w:cstheme="minorBidi"/>
          <w:kern w:val="2"/>
          <w:sz w:val="21"/>
          <w:szCs w:val="24"/>
          <w:lang w:val="en-US" w:eastAsia="zh-CN" w:bidi="ar-SA"/>
        </w:rPr>
        <w:t>这只股</w:t>
      </w:r>
      <w:r>
        <w:rPr>
          <w:rFonts w:hint="eastAsia" w:cstheme="minorBidi"/>
          <w:kern w:val="2"/>
          <w:sz w:val="21"/>
          <w:szCs w:val="24"/>
          <w:lang w:val="en-US" w:eastAsia="zh-CN" w:bidi="ar-SA"/>
        </w:rPr>
        <w:t>可能进入</w:t>
      </w:r>
      <w:r>
        <w:rPr>
          <w:rFonts w:hint="eastAsia" w:asciiTheme="minorHAnsi" w:hAnsiTheme="minorHAnsi" w:eastAsiaTheme="minorEastAsia" w:cstheme="minorBidi"/>
          <w:kern w:val="2"/>
          <w:sz w:val="21"/>
          <w:szCs w:val="24"/>
          <w:lang w:val="en-US" w:eastAsia="zh-CN" w:bidi="ar-SA"/>
        </w:rPr>
        <w:t>下挫周期时间，行情趋弱</w:t>
      </w:r>
      <w:r>
        <w:rPr>
          <w:rFonts w:hint="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未来可能要有大幅的下挫。这一时候可售出手上的个股或股票止损退场，持币观望。</w:t>
      </w:r>
      <w:r>
        <w:rPr>
          <w:rFonts w:hint="default"/>
          <w:b/>
          <w:bCs/>
          <w:lang w:val="en-US" w:eastAsia="zh-CN"/>
        </w:rPr>
        <w:t>形态分析</w:t>
      </w:r>
      <w:r>
        <w:rPr>
          <w:rFonts w:hint="eastAsia"/>
          <w:b/>
          <w:bCs/>
          <w:lang w:val="en-US" w:eastAsia="zh-CN"/>
        </w:rPr>
        <w:t>：</w:t>
      </w:r>
    </w:p>
    <w:p>
      <w:pPr>
        <w:pStyle w:val="3"/>
        <w:keepNext w:val="0"/>
        <w:keepLines w:val="0"/>
        <w:widowControl/>
        <w:suppressLineNumbers w:val="0"/>
        <w:shd w:val="clear" w:fill="FFFFFF"/>
        <w:spacing w:before="294" w:beforeAutospacing="0" w:after="294" w:afterAutospacing="0"/>
        <w:ind w:left="0" w:right="0" w:firstLine="0"/>
        <w:rPr>
          <w:rFonts w:hint="default"/>
          <w:b/>
          <w:bCs/>
          <w:lang w:val="en-US" w:eastAsia="zh-CN"/>
        </w:rPr>
      </w:pPr>
      <w:r>
        <w:rPr>
          <w:rFonts w:hint="default"/>
          <w:b/>
          <w:bCs/>
          <w:lang w:val="en-US" w:eastAsia="zh-CN"/>
        </w:rPr>
        <w:drawing>
          <wp:inline distT="0" distB="0" distL="114300" distR="114300">
            <wp:extent cx="4914900" cy="1676400"/>
            <wp:effectExtent l="0" t="0" r="7620" b="0"/>
            <wp:docPr id="22" name="图片 22" descr="1715433139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15433139555(1)"/>
                    <pic:cNvPicPr>
                      <a:picLocks noChangeAspect="1"/>
                    </pic:cNvPicPr>
                  </pic:nvPicPr>
                  <pic:blipFill>
                    <a:blip r:embed="rId24"/>
                    <a:stretch>
                      <a:fillRect/>
                    </a:stretch>
                  </pic:blipFill>
                  <pic:spPr>
                    <a:xfrm>
                      <a:off x="0" y="0"/>
                      <a:ext cx="4914900" cy="1676400"/>
                    </a:xfrm>
                    <a:prstGeom prst="rect">
                      <a:avLst/>
                    </a:prstGeom>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default"/>
          <w:b/>
          <w:bCs/>
          <w:lang w:val="en-US" w:eastAsia="zh-CN"/>
        </w:rPr>
      </w:pPr>
      <w:r>
        <w:rPr>
          <w:rFonts w:hint="default"/>
          <w:b/>
          <w:bCs/>
          <w:lang w:val="en-US" w:eastAsia="zh-CN"/>
        </w:rPr>
        <w:drawing>
          <wp:inline distT="0" distB="0" distL="114300" distR="114300">
            <wp:extent cx="3550920" cy="960120"/>
            <wp:effectExtent l="0" t="0" r="0" b="0"/>
            <wp:docPr id="28" name="图片 28" descr="1715434028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715434028349(1)"/>
                    <pic:cNvPicPr>
                      <a:picLocks noChangeAspect="1"/>
                    </pic:cNvPicPr>
                  </pic:nvPicPr>
                  <pic:blipFill>
                    <a:blip r:embed="rId25"/>
                    <a:stretch>
                      <a:fillRect/>
                    </a:stretch>
                  </pic:blipFill>
                  <pic:spPr>
                    <a:xfrm>
                      <a:off x="0" y="0"/>
                      <a:ext cx="3550920" cy="960120"/>
                    </a:xfrm>
                    <a:prstGeom prst="rect">
                      <a:avLst/>
                    </a:prstGeom>
                  </pic:spPr>
                </pic:pic>
              </a:graphicData>
            </a:graphic>
          </wp:inline>
        </w:drawing>
      </w:r>
      <w:r>
        <w:rPr>
          <w:rFonts w:hint="default"/>
          <w:b/>
          <w:bCs/>
          <w:lang w:val="en-US" w:eastAsia="zh-CN"/>
        </w:rPr>
        <w:drawing>
          <wp:inline distT="0" distB="0" distL="114300" distR="114300">
            <wp:extent cx="4800600" cy="3048000"/>
            <wp:effectExtent l="0" t="0" r="0" b="0"/>
            <wp:docPr id="29" name="图片 29" descr="1715434409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715434409695(1)"/>
                    <pic:cNvPicPr>
                      <a:picLocks noChangeAspect="1"/>
                    </pic:cNvPicPr>
                  </pic:nvPicPr>
                  <pic:blipFill>
                    <a:blip r:embed="rId26"/>
                    <a:stretch>
                      <a:fillRect/>
                    </a:stretch>
                  </pic:blipFill>
                  <pic:spPr>
                    <a:xfrm>
                      <a:off x="0" y="0"/>
                      <a:ext cx="4800600" cy="3048000"/>
                    </a:xfrm>
                    <a:prstGeom prst="rect">
                      <a:avLst/>
                    </a:prstGeom>
                  </pic:spPr>
                </pic:pic>
              </a:graphicData>
            </a:graphic>
          </wp:inline>
        </w:drawing>
      </w:r>
    </w:p>
    <w:p>
      <w:pPr>
        <w:keepNext w:val="0"/>
        <w:keepLines w:val="0"/>
        <w:widowControl/>
        <w:suppressLineNumbers w:val="0"/>
        <w:jc w:val="left"/>
        <w:rPr>
          <w:rFonts w:hint="default" w:eastAsia="宋体"/>
          <w:lang w:val="en-US" w:eastAsia="zh-CN"/>
        </w:rPr>
      </w:pPr>
      <w:r>
        <w:rPr>
          <w:rFonts w:hint="eastAsia"/>
          <w:lang w:val="en-US" w:eastAsia="zh-CN"/>
        </w:rPr>
        <w:t>①MACD分析：</w:t>
      </w:r>
      <w:r>
        <w:rPr>
          <w:rFonts w:hint="default" w:ascii="Arial" w:hAnsi="Arial" w:eastAsia="宋体" w:cs="Arial"/>
          <w:i w:val="0"/>
          <w:iCs w:val="0"/>
          <w:caps w:val="0"/>
          <w:color w:val="222222"/>
          <w:spacing w:val="0"/>
          <w:sz w:val="21"/>
          <w:szCs w:val="21"/>
          <w:shd w:val="clear" w:fill="FFFFFF"/>
        </w:rPr>
        <w:t>绿柱状持续放大，表明股市处于熊市行情之中，股价</w:t>
      </w:r>
      <w:r>
        <w:rPr>
          <w:rFonts w:hint="eastAsia" w:ascii="Arial" w:hAnsi="Arial" w:eastAsia="宋体" w:cs="Arial"/>
          <w:i w:val="0"/>
          <w:iCs w:val="0"/>
          <w:caps w:val="0"/>
          <w:color w:val="222222"/>
          <w:spacing w:val="0"/>
          <w:sz w:val="21"/>
          <w:szCs w:val="21"/>
          <w:shd w:val="clear" w:fill="FFFFFF"/>
          <w:lang w:val="en-US" w:eastAsia="zh-CN"/>
        </w:rPr>
        <w:t>可能</w:t>
      </w:r>
      <w:r>
        <w:rPr>
          <w:rFonts w:hint="default" w:ascii="Arial" w:hAnsi="Arial" w:eastAsia="宋体" w:cs="Arial"/>
          <w:i w:val="0"/>
          <w:iCs w:val="0"/>
          <w:caps w:val="0"/>
          <w:color w:val="222222"/>
          <w:spacing w:val="0"/>
          <w:sz w:val="21"/>
          <w:szCs w:val="21"/>
          <w:shd w:val="clear" w:fill="FFFFFF"/>
        </w:rPr>
        <w:t>将继续下跌，这时应持币观望或卖出股票，直到绿柱开始缩小时才可以考虑少量买入股票</w:t>
      </w:r>
      <w:r>
        <w:rPr>
          <w:rFonts w:hint="eastAsia" w:ascii="Arial" w:hAnsi="Arial" w:eastAsia="宋体" w:cs="Arial"/>
          <w:i w:val="0"/>
          <w:iCs w:val="0"/>
          <w:caps w:val="0"/>
          <w:color w:val="222222"/>
          <w:spacing w:val="0"/>
          <w:sz w:val="21"/>
          <w:szCs w:val="21"/>
          <w:shd w:val="clear" w:fill="FFFFFF"/>
          <w:lang w:eastAsia="zh-CN"/>
        </w:rPr>
        <w:t>；</w:t>
      </w:r>
      <w:r>
        <w:rPr>
          <w:rFonts w:ascii="Arial" w:hAnsi="Arial" w:eastAsia="宋体" w:cs="Arial"/>
          <w:i w:val="0"/>
          <w:iCs w:val="0"/>
          <w:caps w:val="0"/>
          <w:color w:val="222222"/>
          <w:spacing w:val="0"/>
          <w:sz w:val="21"/>
          <w:szCs w:val="21"/>
          <w:shd w:val="clear" w:fill="FFFFFF"/>
        </w:rPr>
        <w:t>DIF和DEA均大于0但向下移动，股票行情处于退潮阶段，股票下跌，可以卖出股票和观望。</w:t>
      </w:r>
      <w:r>
        <w:rPr>
          <w:rFonts w:hint="eastAsia" w:ascii="Arial" w:hAnsi="Arial" w:eastAsia="宋体" w:cs="Arial"/>
          <w:i w:val="0"/>
          <w:iCs w:val="0"/>
          <w:caps w:val="0"/>
          <w:color w:val="222222"/>
          <w:spacing w:val="0"/>
          <w:sz w:val="21"/>
          <w:szCs w:val="21"/>
          <w:shd w:val="clear" w:fill="FFFFFF"/>
          <w:lang w:val="en-US" w:eastAsia="zh-CN"/>
        </w:rPr>
        <w:t>②BOLL线红框中：</w:t>
      </w:r>
      <w:r>
        <w:rPr>
          <w:rFonts w:ascii="Arial" w:hAnsi="Arial" w:eastAsia="宋体" w:cs="Arial"/>
          <w:i w:val="0"/>
          <w:iCs w:val="0"/>
          <w:caps w:val="0"/>
          <w:color w:val="222222"/>
          <w:spacing w:val="0"/>
          <w:sz w:val="21"/>
          <w:szCs w:val="21"/>
          <w:shd w:val="clear" w:fill="FFFFFF"/>
        </w:rPr>
        <w:t>上、中、下轨线同时向上运行，价格强势特征非常明显，价格上涨，投资者</w:t>
      </w:r>
      <w:r>
        <w:rPr>
          <w:rFonts w:hint="eastAsia" w:ascii="Arial" w:hAnsi="Arial" w:eastAsia="宋体" w:cs="Arial"/>
          <w:i w:val="0"/>
          <w:iCs w:val="0"/>
          <w:caps w:val="0"/>
          <w:color w:val="222222"/>
          <w:spacing w:val="0"/>
          <w:sz w:val="21"/>
          <w:szCs w:val="21"/>
          <w:shd w:val="clear" w:fill="FFFFFF"/>
          <w:lang w:val="en-US" w:eastAsia="zh-CN"/>
        </w:rPr>
        <w:t>可继续持有待涨卖出或卖出留利；BOLL线黄框中：</w:t>
      </w:r>
      <w:r>
        <w:rPr>
          <w:rFonts w:ascii="Arial" w:hAnsi="Arial" w:eastAsia="宋体" w:cs="Arial"/>
          <w:i w:val="0"/>
          <w:iCs w:val="0"/>
          <w:caps w:val="0"/>
          <w:color w:val="222222"/>
          <w:spacing w:val="0"/>
          <w:sz w:val="21"/>
          <w:szCs w:val="21"/>
          <w:shd w:val="clear" w:fill="FFFFFF"/>
        </w:rPr>
        <w:t>上、中、下轨线同时</w:t>
      </w:r>
      <w:r>
        <w:rPr>
          <w:rFonts w:hint="eastAsia" w:ascii="Arial" w:hAnsi="Arial" w:eastAsia="宋体" w:cs="Arial"/>
          <w:i w:val="0"/>
          <w:iCs w:val="0"/>
          <w:caps w:val="0"/>
          <w:color w:val="222222"/>
          <w:spacing w:val="0"/>
          <w:sz w:val="21"/>
          <w:szCs w:val="21"/>
          <w:shd w:val="clear" w:fill="FFFFFF"/>
          <w:lang w:val="en-US" w:eastAsia="zh-CN"/>
        </w:rPr>
        <w:t>平齐</w:t>
      </w:r>
      <w:r>
        <w:rPr>
          <w:rFonts w:ascii="Arial" w:hAnsi="Arial" w:eastAsia="宋体" w:cs="Arial"/>
          <w:i w:val="0"/>
          <w:iCs w:val="0"/>
          <w:caps w:val="0"/>
          <w:color w:val="222222"/>
          <w:spacing w:val="0"/>
          <w:sz w:val="21"/>
          <w:szCs w:val="21"/>
          <w:shd w:val="clear" w:fill="FFFFFF"/>
        </w:rPr>
        <w:t>，</w:t>
      </w:r>
      <w:r>
        <w:rPr>
          <w:rFonts w:hint="eastAsia" w:ascii="Arial" w:hAnsi="Arial" w:eastAsia="宋体" w:cs="Arial"/>
          <w:i w:val="0"/>
          <w:iCs w:val="0"/>
          <w:caps w:val="0"/>
          <w:color w:val="222222"/>
          <w:spacing w:val="0"/>
          <w:sz w:val="21"/>
          <w:szCs w:val="21"/>
          <w:shd w:val="clear" w:fill="FFFFFF"/>
          <w:lang w:val="en-US" w:eastAsia="zh-CN"/>
        </w:rPr>
        <w:t>该股票</w:t>
      </w:r>
      <w:r>
        <w:rPr>
          <w:rFonts w:ascii="Arial" w:hAnsi="Arial" w:eastAsia="宋体" w:cs="Arial"/>
          <w:i w:val="0"/>
          <w:iCs w:val="0"/>
          <w:caps w:val="0"/>
          <w:color w:val="222222"/>
          <w:spacing w:val="0"/>
          <w:sz w:val="21"/>
          <w:szCs w:val="21"/>
          <w:shd w:val="clear" w:fill="FFFFFF"/>
        </w:rPr>
        <w:t>价格的</w:t>
      </w:r>
      <w:r>
        <w:rPr>
          <w:rFonts w:hint="eastAsia" w:ascii="Arial" w:hAnsi="Arial" w:eastAsia="宋体" w:cs="Arial"/>
          <w:i w:val="0"/>
          <w:iCs w:val="0"/>
          <w:caps w:val="0"/>
          <w:color w:val="222222"/>
          <w:spacing w:val="0"/>
          <w:sz w:val="21"/>
          <w:szCs w:val="21"/>
          <w:shd w:val="clear" w:fill="FFFFFF"/>
          <w:lang w:val="en-US" w:eastAsia="zh-CN"/>
        </w:rPr>
        <w:t>处于调整阶段</w:t>
      </w:r>
      <w:r>
        <w:rPr>
          <w:rFonts w:ascii="Arial" w:hAnsi="Arial" w:eastAsia="宋体" w:cs="Arial"/>
          <w:i w:val="0"/>
          <w:iCs w:val="0"/>
          <w:caps w:val="0"/>
          <w:color w:val="222222"/>
          <w:spacing w:val="0"/>
          <w:sz w:val="21"/>
          <w:szCs w:val="21"/>
          <w:shd w:val="clear" w:fill="FFFFFF"/>
        </w:rPr>
        <w:t>，</w:t>
      </w:r>
      <w:r>
        <w:rPr>
          <w:rFonts w:hint="eastAsia" w:ascii="Arial" w:hAnsi="Arial" w:eastAsia="宋体" w:cs="Arial"/>
          <w:i w:val="0"/>
          <w:iCs w:val="0"/>
          <w:caps w:val="0"/>
          <w:color w:val="222222"/>
          <w:spacing w:val="0"/>
          <w:sz w:val="21"/>
          <w:szCs w:val="21"/>
          <w:shd w:val="clear" w:fill="FFFFFF"/>
          <w:lang w:val="en-US" w:eastAsia="zh-CN"/>
        </w:rPr>
        <w:t>可能后期BOLL线向下运动</w:t>
      </w:r>
      <w:r>
        <w:rPr>
          <w:rFonts w:ascii="Arial" w:hAnsi="Arial" w:eastAsia="宋体" w:cs="Arial"/>
          <w:i w:val="0"/>
          <w:iCs w:val="0"/>
          <w:caps w:val="0"/>
          <w:color w:val="222222"/>
          <w:spacing w:val="0"/>
          <w:sz w:val="21"/>
          <w:szCs w:val="21"/>
          <w:shd w:val="clear" w:fill="FFFFFF"/>
        </w:rPr>
        <w:t>，投资者应观望或卖出</w:t>
      </w:r>
      <w:r>
        <w:rPr>
          <w:rFonts w:hint="eastAsia" w:ascii="Arial" w:hAnsi="Arial" w:eastAsia="宋体" w:cs="Arial"/>
          <w:i w:val="0"/>
          <w:iCs w:val="0"/>
          <w:caps w:val="0"/>
          <w:color w:val="222222"/>
          <w:spacing w:val="0"/>
          <w:sz w:val="21"/>
          <w:szCs w:val="21"/>
          <w:shd w:val="clear" w:fill="FFFFFF"/>
          <w:lang w:val="en-US" w:eastAsia="zh-CN"/>
        </w:rPr>
        <w:t>留本</w:t>
      </w:r>
      <w:r>
        <w:rPr>
          <w:rFonts w:ascii="Arial" w:hAnsi="Arial" w:eastAsia="宋体" w:cs="Arial"/>
          <w:i w:val="0"/>
          <w:iCs w:val="0"/>
          <w:caps w:val="0"/>
          <w:color w:val="222222"/>
          <w:spacing w:val="0"/>
          <w:sz w:val="21"/>
          <w:szCs w:val="21"/>
          <w:shd w:val="clear" w:fill="FFFFFF"/>
        </w:rPr>
        <w:t>。</w:t>
      </w:r>
      <w:r>
        <w:rPr>
          <w:rFonts w:hint="eastAsia" w:ascii="Arial" w:hAnsi="Arial" w:eastAsia="宋体" w:cs="Arial"/>
          <w:i w:val="0"/>
          <w:iCs w:val="0"/>
          <w:caps w:val="0"/>
          <w:color w:val="222222"/>
          <w:spacing w:val="0"/>
          <w:sz w:val="21"/>
          <w:szCs w:val="21"/>
          <w:shd w:val="clear" w:fill="FFFFFF"/>
          <w:lang w:val="en-US" w:eastAsia="zh-CN"/>
        </w:rPr>
        <w:t>③压力线分析：该股票的跌的价格将会在黄色压力线上升后下调，处于震荡期，近几日为下降趋势，股票处于震荡期，投资者应该谨慎购入，卖出留本或留币观望。</w:t>
      </w:r>
    </w:p>
    <w:p>
      <w:pPr>
        <w:keepNext w:val="0"/>
        <w:keepLines w:val="0"/>
        <w:widowControl/>
        <w:suppressLineNumbers w:val="0"/>
        <w:jc w:val="left"/>
        <w:rPr>
          <w:rFonts w:hint="default" w:ascii="Arial" w:hAnsi="Arial" w:eastAsia="宋体" w:cs="Arial"/>
          <w:i w:val="0"/>
          <w:iCs w:val="0"/>
          <w:caps w:val="0"/>
          <w:color w:val="222222"/>
          <w:spacing w:val="0"/>
          <w:sz w:val="21"/>
          <w:szCs w:val="21"/>
          <w:shd w:val="clear" w:fill="FFFFFF"/>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紫光股份：</w:t>
      </w:r>
    </w:p>
    <w:p>
      <w:pPr>
        <w:keepNext w:val="0"/>
        <w:keepLines w:val="0"/>
        <w:widowControl/>
        <w:suppressLineNumbers w:val="0"/>
        <w:jc w:val="left"/>
        <w:rPr>
          <w:rFonts w:hint="default" w:ascii="Arial" w:hAnsi="Arial" w:eastAsia="宋体" w:cs="Arial"/>
          <w:i w:val="0"/>
          <w:iCs w:val="0"/>
          <w:caps w:val="0"/>
          <w:color w:val="222222"/>
          <w:spacing w:val="0"/>
          <w:sz w:val="21"/>
          <w:szCs w:val="21"/>
          <w:shd w:val="clear" w:fill="FFFFFF"/>
          <w:lang w:val="en-US" w:eastAsia="zh-CN"/>
        </w:rPr>
      </w:pPr>
      <w:r>
        <w:rPr>
          <w:rFonts w:hint="default"/>
          <w:b/>
          <w:bCs/>
          <w:lang w:val="en-US" w:eastAsia="zh-CN"/>
        </w:rPr>
        <w:t>宏观面</w:t>
      </w:r>
      <w:r>
        <w:rPr>
          <w:rFonts w:hint="eastAsia"/>
          <w:b/>
          <w:bCs/>
          <w:lang w:val="en-US" w:eastAsia="zh-CN"/>
        </w:rPr>
        <w:t>：</w:t>
      </w:r>
      <w:r>
        <w:rPr>
          <w:rFonts w:hint="eastAsia"/>
          <w:lang w:val="en-US" w:eastAsia="zh-CN"/>
        </w:rPr>
        <w:t>①</w:t>
      </w:r>
      <w:r>
        <w:rPr>
          <w:rFonts w:hint="eastAsia" w:ascii="Arial" w:hAnsi="Arial" w:eastAsia="宋体" w:cs="Arial"/>
          <w:i w:val="0"/>
          <w:iCs w:val="0"/>
          <w:caps w:val="0"/>
          <w:color w:val="222222"/>
          <w:spacing w:val="0"/>
          <w:sz w:val="21"/>
          <w:szCs w:val="21"/>
          <w:shd w:val="clear" w:fill="FFFFFF"/>
          <w:lang w:val="en-US" w:eastAsia="zh-CN"/>
        </w:rPr>
        <w:t>紫光股份有限公司（UNIS）是信息电子产业的中国高科技A股上市公司；②05月10日，</w:t>
      </w:r>
      <w:r>
        <w:rPr>
          <w:rFonts w:hint="eastAsia" w:ascii="Arial" w:hAnsi="Arial" w:eastAsia="宋体" w:cs="Arial"/>
          <w:i w:val="0"/>
          <w:iCs w:val="0"/>
          <w:caps w:val="0"/>
          <w:color w:val="222222"/>
          <w:spacing w:val="0"/>
          <w:sz w:val="21"/>
          <w:szCs w:val="21"/>
          <w:shd w:val="clear" w:fill="FFFFFF"/>
          <w:lang w:val="en-US" w:eastAsia="zh-CN"/>
        </w:rPr>
        <w:fldChar w:fldCharType="begin"/>
      </w:r>
      <w:r>
        <w:rPr>
          <w:rFonts w:hint="eastAsia" w:ascii="Arial" w:hAnsi="Arial" w:eastAsia="宋体" w:cs="Arial"/>
          <w:i w:val="0"/>
          <w:iCs w:val="0"/>
          <w:caps w:val="0"/>
          <w:color w:val="222222"/>
          <w:spacing w:val="0"/>
          <w:sz w:val="21"/>
          <w:szCs w:val="21"/>
          <w:shd w:val="clear" w:fill="FFFFFF"/>
          <w:lang w:val="en-US" w:eastAsia="zh-CN"/>
        </w:rPr>
        <w:instrText xml:space="preserve"> HYPERLINK "http://quote.eastmoney.com/unify/r/0.000938" \t "https://finance.eastmoney.com/a/_blank" </w:instrText>
      </w:r>
      <w:r>
        <w:rPr>
          <w:rFonts w:hint="eastAsia" w:ascii="Arial" w:hAnsi="Arial" w:eastAsia="宋体" w:cs="Arial"/>
          <w:i w:val="0"/>
          <w:iCs w:val="0"/>
          <w:caps w:val="0"/>
          <w:color w:val="222222"/>
          <w:spacing w:val="0"/>
          <w:sz w:val="21"/>
          <w:szCs w:val="21"/>
          <w:shd w:val="clear" w:fill="FFFFFF"/>
          <w:lang w:val="en-US" w:eastAsia="zh-CN"/>
        </w:rPr>
        <w:fldChar w:fldCharType="separate"/>
      </w:r>
      <w:r>
        <w:rPr>
          <w:rFonts w:hint="eastAsia" w:ascii="Arial" w:hAnsi="Arial" w:eastAsia="宋体" w:cs="Arial"/>
          <w:i w:val="0"/>
          <w:iCs w:val="0"/>
          <w:caps w:val="0"/>
          <w:color w:val="222222"/>
          <w:spacing w:val="0"/>
          <w:sz w:val="21"/>
          <w:szCs w:val="21"/>
          <w:shd w:val="clear" w:fill="FFFFFF"/>
          <w:lang w:val="en-US" w:eastAsia="zh-CN"/>
        </w:rPr>
        <w:t>紫光股份</w:t>
      </w:r>
      <w:r>
        <w:rPr>
          <w:rFonts w:hint="eastAsia" w:ascii="Arial" w:hAnsi="Arial" w:eastAsia="宋体" w:cs="Arial"/>
          <w:i w:val="0"/>
          <w:iCs w:val="0"/>
          <w:caps w:val="0"/>
          <w:color w:val="222222"/>
          <w:spacing w:val="0"/>
          <w:sz w:val="21"/>
          <w:szCs w:val="21"/>
          <w:shd w:val="clear" w:fill="FFFFFF"/>
          <w:lang w:val="en-US" w:eastAsia="zh-CN"/>
        </w:rPr>
        <w:fldChar w:fldCharType="end"/>
      </w:r>
      <w:r>
        <w:rPr>
          <w:rFonts w:hint="eastAsia" w:ascii="Arial" w:hAnsi="Arial" w:eastAsia="宋体" w:cs="Arial"/>
          <w:i w:val="0"/>
          <w:iCs w:val="0"/>
          <w:caps w:val="0"/>
          <w:color w:val="222222"/>
          <w:spacing w:val="0"/>
          <w:sz w:val="21"/>
          <w:szCs w:val="21"/>
          <w:shd w:val="clear" w:fill="FFFFFF"/>
          <w:lang w:val="en-US" w:eastAsia="zh-CN"/>
        </w:rPr>
        <w:t>被</w:t>
      </w:r>
      <w:r>
        <w:rPr>
          <w:rFonts w:hint="eastAsia" w:ascii="Arial" w:hAnsi="Arial" w:eastAsia="宋体" w:cs="Arial"/>
          <w:i w:val="0"/>
          <w:iCs w:val="0"/>
          <w:caps w:val="0"/>
          <w:color w:val="222222"/>
          <w:spacing w:val="0"/>
          <w:sz w:val="21"/>
          <w:szCs w:val="21"/>
          <w:shd w:val="clear" w:fill="FFFFFF"/>
          <w:lang w:val="en-US" w:eastAsia="zh-CN"/>
        </w:rPr>
        <w:fldChar w:fldCharType="begin"/>
      </w:r>
      <w:r>
        <w:rPr>
          <w:rFonts w:hint="eastAsia" w:ascii="Arial" w:hAnsi="Arial" w:eastAsia="宋体" w:cs="Arial"/>
          <w:i w:val="0"/>
          <w:iCs w:val="0"/>
          <w:caps w:val="0"/>
          <w:color w:val="222222"/>
          <w:spacing w:val="0"/>
          <w:sz w:val="21"/>
          <w:szCs w:val="21"/>
          <w:shd w:val="clear" w:fill="FFFFFF"/>
          <w:lang w:val="en-US" w:eastAsia="zh-CN"/>
        </w:rPr>
        <w:instrText xml:space="preserve"> HYPERLINK "http://quote.eastmoney.com/unify/r/90.BK0804" \t "https://finance.eastmoney.com/a/_blank" </w:instrText>
      </w:r>
      <w:r>
        <w:rPr>
          <w:rFonts w:hint="eastAsia" w:ascii="Arial" w:hAnsi="Arial" w:eastAsia="宋体" w:cs="Arial"/>
          <w:i w:val="0"/>
          <w:iCs w:val="0"/>
          <w:caps w:val="0"/>
          <w:color w:val="222222"/>
          <w:spacing w:val="0"/>
          <w:sz w:val="21"/>
          <w:szCs w:val="21"/>
          <w:shd w:val="clear" w:fill="FFFFFF"/>
          <w:lang w:val="en-US" w:eastAsia="zh-CN"/>
        </w:rPr>
        <w:fldChar w:fldCharType="separate"/>
      </w:r>
      <w:r>
        <w:rPr>
          <w:rFonts w:hint="eastAsia" w:ascii="Arial" w:hAnsi="Arial" w:eastAsia="宋体" w:cs="Arial"/>
          <w:i w:val="0"/>
          <w:iCs w:val="0"/>
          <w:caps w:val="0"/>
          <w:color w:val="222222"/>
          <w:spacing w:val="0"/>
          <w:sz w:val="21"/>
          <w:szCs w:val="21"/>
          <w:shd w:val="clear" w:fill="FFFFFF"/>
          <w:lang w:val="en-US" w:eastAsia="zh-CN"/>
        </w:rPr>
        <w:t>深股通</w:t>
      </w:r>
      <w:r>
        <w:rPr>
          <w:rFonts w:hint="eastAsia" w:ascii="Arial" w:hAnsi="Arial" w:eastAsia="宋体" w:cs="Arial"/>
          <w:i w:val="0"/>
          <w:iCs w:val="0"/>
          <w:caps w:val="0"/>
          <w:color w:val="222222"/>
          <w:spacing w:val="0"/>
          <w:sz w:val="21"/>
          <w:szCs w:val="21"/>
          <w:shd w:val="clear" w:fill="FFFFFF"/>
          <w:lang w:val="en-US" w:eastAsia="zh-CN"/>
        </w:rPr>
        <w:fldChar w:fldCharType="end"/>
      </w:r>
      <w:r>
        <w:rPr>
          <w:rFonts w:hint="eastAsia" w:ascii="Arial" w:hAnsi="Arial" w:eastAsia="宋体" w:cs="Arial"/>
          <w:i w:val="0"/>
          <w:iCs w:val="0"/>
          <w:caps w:val="0"/>
          <w:color w:val="222222"/>
          <w:spacing w:val="0"/>
          <w:sz w:val="21"/>
          <w:szCs w:val="21"/>
          <w:shd w:val="clear" w:fill="FFFFFF"/>
          <w:lang w:val="en-US" w:eastAsia="zh-CN"/>
        </w:rPr>
        <w:t>减持155.48万股，最新持股量为4947.63万股，占公司A股总股本的1.73%。③</w:t>
      </w:r>
      <w:r>
        <w:rPr>
          <w:rFonts w:ascii="Arial" w:hAnsi="Arial" w:eastAsia="宋体" w:cs="Arial"/>
          <w:i w:val="0"/>
          <w:iCs w:val="0"/>
          <w:caps w:val="0"/>
          <w:color w:val="222222"/>
          <w:spacing w:val="0"/>
          <w:sz w:val="21"/>
          <w:szCs w:val="21"/>
          <w:shd w:val="clear" w:fill="FFFFFF"/>
        </w:rPr>
        <w:t>5月6日，紫光股份获国信证券买入评级，近一个月紫光股份获得4份研报关注</w:t>
      </w:r>
      <w:r>
        <w:rPr>
          <w:rFonts w:hint="eastAsia" w:ascii="Arial" w:hAnsi="Arial" w:eastAsia="宋体" w:cs="Arial"/>
          <w:i w:val="0"/>
          <w:iCs w:val="0"/>
          <w:caps w:val="0"/>
          <w:color w:val="222222"/>
          <w:spacing w:val="0"/>
          <w:sz w:val="21"/>
          <w:szCs w:val="21"/>
          <w:shd w:val="clear" w:fill="FFFFFF"/>
          <w:lang w:eastAsia="zh-CN"/>
        </w:rPr>
        <w:t>；</w:t>
      </w:r>
      <w:r>
        <w:rPr>
          <w:rFonts w:hint="eastAsia" w:ascii="Arial" w:hAnsi="Arial" w:eastAsia="宋体" w:cs="Arial"/>
          <w:i w:val="0"/>
          <w:iCs w:val="0"/>
          <w:caps w:val="0"/>
          <w:color w:val="222222"/>
          <w:spacing w:val="0"/>
          <w:sz w:val="21"/>
          <w:szCs w:val="21"/>
          <w:shd w:val="clear" w:fill="FFFFFF"/>
          <w:lang w:val="en-US" w:eastAsia="zh-CN"/>
        </w:rPr>
        <w:t>④</w:t>
      </w:r>
      <w:r>
        <w:rPr>
          <w:rFonts w:ascii="Arial" w:hAnsi="Arial" w:eastAsia="宋体" w:cs="Arial"/>
          <w:i w:val="0"/>
          <w:iCs w:val="0"/>
          <w:caps w:val="0"/>
          <w:color w:val="222222"/>
          <w:spacing w:val="0"/>
          <w:sz w:val="21"/>
          <w:szCs w:val="21"/>
          <w:shd w:val="clear" w:fill="FFFFFF"/>
        </w:rPr>
        <w:t>5月9日的资金流向数据方面，主力资金净流入1.01亿元，占总成交额7.87%</w:t>
      </w:r>
    </w:p>
    <w:p>
      <w:pPr>
        <w:keepNext w:val="0"/>
        <w:keepLines w:val="0"/>
        <w:widowControl/>
        <w:suppressLineNumbers w:val="0"/>
        <w:jc w:val="left"/>
        <w:rPr>
          <w:rFonts w:hint="eastAsia"/>
          <w:lang w:val="en-US" w:eastAsia="zh-CN"/>
        </w:rPr>
      </w:pPr>
      <w:r>
        <w:rPr>
          <w:rFonts w:hint="default"/>
          <w:lang w:val="en-US" w:eastAsia="zh-CN"/>
        </w:rPr>
        <w:t>行业分析</w:t>
      </w:r>
      <w:r>
        <w:rPr>
          <w:rFonts w:hint="eastAsia"/>
          <w:lang w:val="en-US" w:eastAsia="zh-CN"/>
        </w:rPr>
        <w:t>：</w:t>
      </w:r>
    </w:p>
    <w:p>
      <w:pPr>
        <w:keepNext w:val="0"/>
        <w:keepLines w:val="0"/>
        <w:widowControl/>
        <w:suppressLineNumbers w:val="0"/>
        <w:jc w:val="left"/>
        <w:rPr>
          <w:rFonts w:ascii="Arial" w:hAnsi="Arial" w:eastAsia="宋体" w:cs="Arial"/>
          <w:i w:val="0"/>
          <w:iCs w:val="0"/>
          <w:caps w:val="0"/>
          <w:color w:val="222222"/>
          <w:spacing w:val="0"/>
          <w:sz w:val="21"/>
          <w:szCs w:val="21"/>
          <w:shd w:val="clear" w:fill="FFFFFF"/>
        </w:rPr>
      </w:pPr>
      <w:r>
        <w:rPr>
          <w:rFonts w:hint="eastAsia"/>
          <w:lang w:val="en-US" w:eastAsia="zh-CN"/>
        </w:rPr>
        <w:t>①业务上：</w:t>
      </w:r>
      <w:r>
        <w:rPr>
          <w:rFonts w:ascii="Arial" w:hAnsi="Arial" w:eastAsia="宋体" w:cs="Arial"/>
          <w:i w:val="0"/>
          <w:iCs w:val="0"/>
          <w:caps w:val="0"/>
          <w:color w:val="222222"/>
          <w:spacing w:val="0"/>
          <w:sz w:val="21"/>
          <w:szCs w:val="21"/>
          <w:shd w:val="clear" w:fill="FFFFFF"/>
        </w:rPr>
        <w:t>紫光股份聚焦IT服务领域</w:t>
      </w:r>
      <w:r>
        <w:rPr>
          <w:rFonts w:hint="eastAsia" w:ascii="Arial" w:hAnsi="Arial" w:eastAsia="宋体" w:cs="Arial"/>
          <w:i w:val="0"/>
          <w:iCs w:val="0"/>
          <w:caps w:val="0"/>
          <w:color w:val="222222"/>
          <w:spacing w:val="0"/>
          <w:sz w:val="21"/>
          <w:szCs w:val="21"/>
          <w:shd w:val="clear" w:fill="FFFFFF"/>
          <w:lang w:eastAsia="zh-CN"/>
        </w:rPr>
        <w:t>，</w:t>
      </w:r>
      <w:r>
        <w:rPr>
          <w:rFonts w:ascii="Arial" w:hAnsi="Arial" w:eastAsia="宋体" w:cs="Arial"/>
          <w:i w:val="0"/>
          <w:iCs w:val="0"/>
          <w:caps w:val="0"/>
          <w:color w:val="222222"/>
          <w:spacing w:val="0"/>
          <w:sz w:val="21"/>
          <w:szCs w:val="21"/>
          <w:shd w:val="clear" w:fill="FFFFFF"/>
        </w:rPr>
        <w:t>向云计算、移动互联网和大数据处理等行业应用全面深入，核心业务覆盖硬件、软件、技术服务，是集现代信息系统研发、建设、运营、维护于一体的全产业链服务提供商，能够为大型客户的信息化需求提供完整的IT服务。</w:t>
      </w:r>
    </w:p>
    <w:p>
      <w:pPr>
        <w:keepNext w:val="0"/>
        <w:keepLines w:val="0"/>
        <w:widowControl/>
        <w:suppressLineNumbers w:val="0"/>
        <w:jc w:val="left"/>
        <w:rPr>
          <w:rFonts w:hint="eastAsia"/>
          <w:lang w:val="en-US" w:eastAsia="zh-CN"/>
        </w:rPr>
      </w:pPr>
      <w:r>
        <w:rPr>
          <w:rFonts w:hint="default"/>
          <w:lang w:val="en-US" w:eastAsia="zh-CN"/>
        </w:rPr>
        <w:t>公司技术水平</w:t>
      </w:r>
      <w:r>
        <w:rPr>
          <w:rFonts w:hint="eastAsia"/>
          <w:lang w:val="en-US" w:eastAsia="zh-CN"/>
        </w:rPr>
        <w:t>：</w:t>
      </w:r>
    </w:p>
    <w:p>
      <w:pPr>
        <w:keepNext w:val="0"/>
        <w:keepLines w:val="0"/>
        <w:widowControl/>
        <w:suppressLineNumbers w:val="0"/>
        <w:jc w:val="left"/>
        <w:rPr>
          <w:rFonts w:ascii="Arial" w:hAnsi="Arial" w:eastAsia="宋体" w:cs="Arial"/>
          <w:i w:val="0"/>
          <w:iCs w:val="0"/>
          <w:caps w:val="0"/>
          <w:color w:val="222222"/>
          <w:spacing w:val="0"/>
          <w:sz w:val="21"/>
          <w:szCs w:val="21"/>
          <w:shd w:val="clear" w:fill="FFFFFF"/>
        </w:rPr>
      </w:pPr>
      <w:r>
        <w:rPr>
          <w:rFonts w:hint="eastAsia"/>
          <w:lang w:val="en-US" w:eastAsia="zh-CN"/>
        </w:rPr>
        <w:t>①</w:t>
      </w:r>
      <w:r>
        <w:rPr>
          <w:rFonts w:ascii="Arial" w:hAnsi="Arial" w:eastAsia="宋体" w:cs="Arial"/>
          <w:i w:val="0"/>
          <w:iCs w:val="0"/>
          <w:caps w:val="0"/>
          <w:color w:val="222222"/>
          <w:spacing w:val="0"/>
          <w:sz w:val="21"/>
          <w:szCs w:val="21"/>
          <w:shd w:val="clear" w:fill="FFFFFF"/>
        </w:rPr>
        <w:t>CT基础设施与服务业务快速增长，海外业务规模持续扩大，成本费用管控良好。公司聚焦核心ICT基础设施与服务业务，其占收比重持续提升。随着AI相关高价值产品占比提升，2024年一季度毛利率有所改善，同比提升3.88pct至35.63%。</w:t>
      </w:r>
    </w:p>
    <w:p>
      <w:pPr>
        <w:keepNext w:val="0"/>
        <w:keepLines w:val="0"/>
        <w:widowControl/>
        <w:suppressLineNumbers w:val="0"/>
        <w:jc w:val="left"/>
        <w:rPr>
          <w:rFonts w:hint="eastAsia"/>
          <w:lang w:val="en-US" w:eastAsia="zh-CN"/>
        </w:rPr>
      </w:pPr>
      <w:r>
        <w:rPr>
          <w:rFonts w:hint="default"/>
          <w:lang w:val="en-US" w:eastAsia="zh-CN"/>
        </w:rPr>
        <w:t>规模分析</w:t>
      </w:r>
      <w:r>
        <w:rPr>
          <w:rFonts w:hint="eastAsia"/>
          <w:lang w:val="en-US" w:eastAsia="zh-CN"/>
        </w:rPr>
        <w:t>：</w:t>
      </w:r>
    </w:p>
    <w:p>
      <w:pPr>
        <w:keepNext w:val="0"/>
        <w:keepLines w:val="0"/>
        <w:widowControl/>
        <w:suppressLineNumbers w:val="0"/>
        <w:jc w:val="left"/>
        <w:rPr>
          <w:rFonts w:hint="eastAsia" w:ascii="Arial" w:hAnsi="Arial" w:eastAsia="宋体" w:cs="Arial"/>
          <w:i w:val="0"/>
          <w:iCs w:val="0"/>
          <w:caps w:val="0"/>
          <w:color w:val="222222"/>
          <w:spacing w:val="0"/>
          <w:sz w:val="21"/>
          <w:szCs w:val="21"/>
          <w:shd w:val="clear" w:fill="FFFFFF"/>
          <w:lang w:val="en-US" w:eastAsia="zh-CN"/>
        </w:rPr>
      </w:pPr>
      <w:r>
        <w:rPr>
          <w:rFonts w:hint="eastAsia"/>
          <w:lang w:val="en-US" w:eastAsia="zh-CN"/>
        </w:rPr>
        <w:t>①</w:t>
      </w:r>
      <w:r>
        <w:rPr>
          <w:rFonts w:ascii="Arial" w:hAnsi="Arial" w:eastAsia="宋体" w:cs="Arial"/>
          <w:i w:val="0"/>
          <w:iCs w:val="0"/>
          <w:caps w:val="0"/>
          <w:color w:val="222222"/>
          <w:spacing w:val="0"/>
          <w:sz w:val="21"/>
          <w:szCs w:val="21"/>
          <w:shd w:val="clear" w:fill="FFFFFF"/>
        </w:rPr>
        <w:t>中国领先的集成电路设计和芯片制造企业之一，也是全球最大的集成电路封装测试服务提供商之一</w:t>
      </w:r>
      <w:r>
        <w:rPr>
          <w:rFonts w:hint="eastAsia" w:ascii="Arial" w:hAnsi="Arial" w:eastAsia="宋体" w:cs="Arial"/>
          <w:i w:val="0"/>
          <w:iCs w:val="0"/>
          <w:caps w:val="0"/>
          <w:color w:val="222222"/>
          <w:spacing w:val="0"/>
          <w:sz w:val="21"/>
          <w:szCs w:val="21"/>
          <w:shd w:val="clear" w:fill="FFFFFF"/>
          <w:lang w:eastAsia="zh-CN"/>
        </w:rPr>
        <w:t>。</w:t>
      </w:r>
      <w:r>
        <w:rPr>
          <w:rFonts w:hint="eastAsia" w:ascii="Arial" w:hAnsi="Arial" w:eastAsia="宋体" w:cs="Arial"/>
          <w:i w:val="0"/>
          <w:iCs w:val="0"/>
          <w:caps w:val="0"/>
          <w:color w:val="222222"/>
          <w:spacing w:val="0"/>
          <w:sz w:val="21"/>
          <w:szCs w:val="21"/>
          <w:shd w:val="clear" w:fill="FFFFFF"/>
          <w:lang w:val="en-US" w:eastAsia="zh-CN"/>
        </w:rPr>
        <w:t>②紫光股份有限公司的营业总收入与净利润在行业中排第二名，总资产排第一名，可知它在市场中具有一定规模，总市值597.76亿。</w:t>
      </w:r>
    </w:p>
    <w:p>
      <w:pPr>
        <w:keepNext w:val="0"/>
        <w:keepLines w:val="0"/>
        <w:widowControl/>
        <w:suppressLineNumbers w:val="0"/>
        <w:jc w:val="left"/>
        <w:rPr>
          <w:rFonts w:hint="eastAsia"/>
          <w:lang w:val="en-US" w:eastAsia="zh-CN"/>
        </w:rPr>
      </w:pPr>
      <w:r>
        <w:rPr>
          <w:rFonts w:hint="default"/>
          <w:lang w:val="en-US" w:eastAsia="zh-CN"/>
        </w:rPr>
        <w:t>财务分析</w:t>
      </w:r>
      <w:r>
        <w:rPr>
          <w:rFonts w:hint="eastAsia"/>
          <w:lang w:val="en-US" w:eastAsia="zh-CN"/>
        </w:rPr>
        <w:t>：</w:t>
      </w:r>
    </w:p>
    <w:p>
      <w:pPr>
        <w:keepNext w:val="0"/>
        <w:keepLines w:val="0"/>
        <w:widowControl/>
        <w:suppressLineNumbers w:val="0"/>
        <w:jc w:val="left"/>
        <w:rPr>
          <w:rFonts w:hint="default"/>
          <w:lang w:val="en-US" w:eastAsia="zh-CN"/>
        </w:rPr>
      </w:pPr>
      <w:r>
        <w:rPr>
          <w:rFonts w:hint="default"/>
          <w:lang w:val="en-US" w:eastAsia="zh-CN"/>
        </w:rPr>
        <w:drawing>
          <wp:inline distT="0" distB="0" distL="114300" distR="114300">
            <wp:extent cx="3023870" cy="922020"/>
            <wp:effectExtent l="0" t="0" r="8890" b="7620"/>
            <wp:docPr id="8" name="图片 8" descr="~HV9RWXUA@FVIG4WJMPU$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V9RWXUA@FVIG4WJMPU$M2"/>
                    <pic:cNvPicPr>
                      <a:picLocks noChangeAspect="1"/>
                    </pic:cNvPicPr>
                  </pic:nvPicPr>
                  <pic:blipFill>
                    <a:blip r:embed="rId27"/>
                    <a:stretch>
                      <a:fillRect/>
                    </a:stretch>
                  </pic:blipFill>
                  <pic:spPr>
                    <a:xfrm>
                      <a:off x="0" y="0"/>
                      <a:ext cx="3023870" cy="922020"/>
                    </a:xfrm>
                    <a:prstGeom prst="rect">
                      <a:avLst/>
                    </a:prstGeom>
                  </pic:spPr>
                </pic:pic>
              </a:graphicData>
            </a:graphic>
          </wp:inline>
        </w:drawing>
      </w:r>
      <w:r>
        <w:rPr>
          <w:rFonts w:hint="default"/>
          <w:lang w:val="en-US" w:eastAsia="zh-CN"/>
        </w:rPr>
        <w:drawing>
          <wp:inline distT="0" distB="0" distL="114300" distR="114300">
            <wp:extent cx="1527810" cy="927100"/>
            <wp:effectExtent l="0" t="0" r="11430" b="2540"/>
            <wp:docPr id="9" name="图片 9" descr="9~JWXVK{[2[5DK}NE~@T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JWXVK{[2[5DK}NE~@TV}T"/>
                    <pic:cNvPicPr>
                      <a:picLocks noChangeAspect="1"/>
                    </pic:cNvPicPr>
                  </pic:nvPicPr>
                  <pic:blipFill>
                    <a:blip r:embed="rId28"/>
                    <a:stretch>
                      <a:fillRect/>
                    </a:stretch>
                  </pic:blipFill>
                  <pic:spPr>
                    <a:xfrm>
                      <a:off x="0" y="0"/>
                      <a:ext cx="1527810" cy="927100"/>
                    </a:xfrm>
                    <a:prstGeom prst="rect">
                      <a:avLst/>
                    </a:prstGeom>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①归母净利润分析：由图可知24年其第一季度利润与同期基本相同。②根据同期第一季度分析可知，盈利能力维持稳定，主营获利能力保持稳定；成长能力维持稳定，营业收入增速大幅减缓；偿债能力维持稳定，短期偿债能力具有一定的保障；运营能力维持稳定，应收账款周转速度需加快；现金流能力有所削弱，可持续经营能力转向恶化。③财务状况有所下降：相对同行业资产综合利用效率出现下降，短期债务风险存在但可以控制。</w:t>
      </w:r>
    </w:p>
    <w:p>
      <w:pPr>
        <w:keepNext w:val="0"/>
        <w:keepLines w:val="0"/>
        <w:widowControl/>
        <w:suppressLineNumbers w:val="0"/>
        <w:jc w:val="left"/>
        <w:rPr>
          <w:rFonts w:hint="eastAsia"/>
          <w:lang w:val="en-US" w:eastAsia="zh-CN"/>
        </w:rPr>
      </w:pPr>
    </w:p>
    <w:p>
      <w:pPr>
        <w:rPr>
          <w:rFonts w:hint="default" w:ascii="Arial" w:hAnsi="Arial" w:eastAsia="宋体" w:cs="Arial"/>
          <w:b/>
          <w:bCs/>
          <w:i w:val="0"/>
          <w:iCs w:val="0"/>
          <w:caps w:val="0"/>
          <w:color w:val="222222"/>
          <w:spacing w:val="0"/>
          <w:sz w:val="21"/>
          <w:szCs w:val="21"/>
          <w:shd w:val="clear" w:fill="FFFFFF"/>
          <w:lang w:val="en-US" w:eastAsia="zh-CN"/>
        </w:rPr>
      </w:pPr>
      <w:r>
        <w:rPr>
          <w:rFonts w:hint="eastAsia" w:ascii="Arial" w:hAnsi="Arial" w:eastAsia="宋体" w:cs="Arial"/>
          <w:b/>
          <w:bCs/>
          <w:i w:val="0"/>
          <w:iCs w:val="0"/>
          <w:caps w:val="0"/>
          <w:color w:val="222222"/>
          <w:spacing w:val="0"/>
          <w:sz w:val="21"/>
          <w:szCs w:val="21"/>
          <w:shd w:val="clear" w:fill="FFFFFF"/>
          <w:lang w:val="en-US" w:eastAsia="zh-CN"/>
        </w:rPr>
        <w:t>证券投资技术分析：</w:t>
      </w:r>
    </w:p>
    <w:p>
      <w:pPr>
        <w:rPr>
          <w:rFonts w:hint="eastAsia"/>
          <w:b/>
          <w:bCs/>
          <w:lang w:val="en-US" w:eastAsia="zh-CN"/>
        </w:rPr>
      </w:pPr>
      <w:r>
        <w:rPr>
          <w:rFonts w:hint="default"/>
          <w:b/>
          <w:bCs/>
          <w:lang w:val="en-US" w:eastAsia="zh-CN"/>
        </w:rPr>
        <w:t>K线图分析</w:t>
      </w:r>
      <w:r>
        <w:rPr>
          <w:rFonts w:hint="eastAsia"/>
          <w:b/>
          <w:bCs/>
          <w:lang w:val="en-US" w:eastAsia="zh-CN"/>
        </w:rPr>
        <w:t>：</w:t>
      </w:r>
    </w:p>
    <w:p>
      <w:pPr>
        <w:jc w:val="center"/>
        <w:rPr>
          <w:rFonts w:hint="eastAsia"/>
          <w:b/>
          <w:bCs/>
          <w:lang w:val="en-US" w:eastAsia="zh-CN"/>
        </w:rPr>
      </w:pPr>
      <w:r>
        <w:rPr>
          <w:rFonts w:ascii="宋体" w:hAnsi="宋体" w:eastAsia="宋体" w:cs="宋体"/>
          <w:kern w:val="0"/>
          <w:sz w:val="24"/>
          <w:szCs w:val="24"/>
          <w:lang w:val="en-US" w:eastAsia="zh-CN" w:bidi="ar"/>
        </w:rPr>
        <w:drawing>
          <wp:inline distT="0" distB="0" distL="114300" distR="114300">
            <wp:extent cx="2317115" cy="1437005"/>
            <wp:effectExtent l="0" t="0" r="14605" b="1079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29"/>
                    <a:stretch>
                      <a:fillRect/>
                    </a:stretch>
                  </pic:blipFill>
                  <pic:spPr>
                    <a:xfrm>
                      <a:off x="0" y="0"/>
                      <a:ext cx="2317115" cy="1437005"/>
                    </a:xfrm>
                    <a:prstGeom prst="rect">
                      <a:avLst/>
                    </a:prstGeom>
                    <a:noFill/>
                    <a:ln w="9525">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0"/>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①红色框中：</w:t>
      </w:r>
      <w:r>
        <w:rPr>
          <w:rFonts w:hint="eastAsia" w:asciiTheme="minorHAnsi" w:hAnsiTheme="minorHAnsi" w:eastAsiaTheme="minorEastAsia" w:cstheme="minorBidi"/>
          <w:kern w:val="2"/>
          <w:sz w:val="21"/>
          <w:szCs w:val="24"/>
          <w:lang w:val="en-US" w:eastAsia="zh-CN" w:bidi="ar-SA"/>
        </w:rPr>
        <w:t>均线空头排列，移动平均线另外呈弧形降低，长期性移动平均线在上边。中后期挪动平均数在正中间，短期内挪动均值再下。紫光股份这只股已进到了下挫周期时间，行情趋弱。未来可能要有大幅的下挫。这一时候可售出手上的个股或股票止损退场，持币观望。</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041140" cy="1317625"/>
            <wp:effectExtent l="0" t="0" r="12700" b="825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30"/>
                    <a:stretch>
                      <a:fillRect/>
                    </a:stretch>
                  </pic:blipFill>
                  <pic:spPr>
                    <a:xfrm>
                      <a:off x="0" y="0"/>
                      <a:ext cx="4041140" cy="131762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204335" cy="1297940"/>
            <wp:effectExtent l="0" t="0" r="1905" b="12700"/>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31"/>
                    <a:stretch>
                      <a:fillRect/>
                    </a:stretch>
                  </pic:blipFill>
                  <pic:spPr>
                    <a:xfrm>
                      <a:off x="0" y="0"/>
                      <a:ext cx="4204335" cy="129794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903855" cy="2343785"/>
            <wp:effectExtent l="0" t="0" r="6985" b="3175"/>
            <wp:docPr id="1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6"/>
                    <pic:cNvPicPr>
                      <a:picLocks noChangeAspect="1"/>
                    </pic:cNvPicPr>
                  </pic:nvPicPr>
                  <pic:blipFill>
                    <a:blip r:embed="rId32"/>
                    <a:stretch>
                      <a:fillRect/>
                    </a:stretch>
                  </pic:blipFill>
                  <pic:spPr>
                    <a:xfrm>
                      <a:off x="0" y="0"/>
                      <a:ext cx="2903855" cy="234378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hint="default" w:ascii="宋体" w:hAnsi="宋体" w:eastAsia="宋体" w:cs="宋体"/>
          <w:kern w:val="0"/>
          <w:sz w:val="24"/>
          <w:szCs w:val="24"/>
          <w:lang w:val="en-US" w:eastAsia="zh-CN" w:bidi="ar"/>
        </w:rPr>
      </w:pPr>
    </w:p>
    <w:p>
      <w:pPr>
        <w:rPr>
          <w:rFonts w:hint="default"/>
          <w:lang w:val="en-US" w:eastAsia="zh-CN"/>
        </w:rPr>
      </w:pPr>
      <w:r>
        <w:rPr>
          <w:rFonts w:hint="default"/>
          <w:b/>
          <w:bCs/>
          <w:lang w:val="en-US" w:eastAsia="zh-CN"/>
        </w:rPr>
        <w:t>形态分析</w:t>
      </w:r>
      <w:r>
        <w:rPr>
          <w:rFonts w:hint="eastAsia"/>
          <w:b/>
          <w:bCs/>
          <w:lang w:val="en-US" w:eastAsia="zh-CN"/>
        </w:rPr>
        <w:t>：</w:t>
      </w:r>
    </w:p>
    <w:p>
      <w:pPr>
        <w:keepNext w:val="0"/>
        <w:keepLines w:val="0"/>
        <w:widowControl/>
        <w:suppressLineNumbers w:val="0"/>
        <w:jc w:val="left"/>
        <w:rPr>
          <w:rFonts w:hint="default" w:eastAsia="宋体"/>
          <w:lang w:val="en-US" w:eastAsia="zh-CN"/>
        </w:rPr>
      </w:pPr>
      <w:r>
        <w:rPr>
          <w:rFonts w:hint="eastAsia"/>
          <w:lang w:val="en-US" w:eastAsia="zh-CN"/>
        </w:rPr>
        <w:t>①MACD分析：</w:t>
      </w:r>
      <w:r>
        <w:rPr>
          <w:rFonts w:ascii="Arial" w:hAnsi="Arial" w:eastAsia="宋体" w:cs="Arial"/>
          <w:i w:val="0"/>
          <w:iCs w:val="0"/>
          <w:caps w:val="0"/>
          <w:color w:val="222222"/>
          <w:spacing w:val="0"/>
          <w:sz w:val="21"/>
          <w:szCs w:val="21"/>
          <w:shd w:val="clear" w:fill="FFFFFF"/>
        </w:rPr>
        <w:t>红柱状开始缩小，股</w:t>
      </w:r>
      <w:r>
        <w:rPr>
          <w:rFonts w:hint="eastAsia" w:ascii="Arial" w:hAnsi="Arial" w:eastAsia="宋体" w:cs="Arial"/>
          <w:i w:val="0"/>
          <w:iCs w:val="0"/>
          <w:caps w:val="0"/>
          <w:color w:val="222222"/>
          <w:spacing w:val="0"/>
          <w:sz w:val="21"/>
          <w:szCs w:val="21"/>
          <w:shd w:val="clear" w:fill="FFFFFF"/>
          <w:lang w:val="en-US" w:eastAsia="zh-CN"/>
        </w:rPr>
        <w:t>票</w:t>
      </w:r>
      <w:r>
        <w:rPr>
          <w:rFonts w:ascii="Arial" w:hAnsi="Arial" w:eastAsia="宋体" w:cs="Arial"/>
          <w:i w:val="0"/>
          <w:iCs w:val="0"/>
          <w:caps w:val="0"/>
          <w:color w:val="222222"/>
          <w:spacing w:val="0"/>
          <w:sz w:val="21"/>
          <w:szCs w:val="21"/>
          <w:shd w:val="clear" w:fill="FFFFFF"/>
        </w:rPr>
        <w:t>上涨结束或</w:t>
      </w:r>
      <w:r>
        <w:rPr>
          <w:rFonts w:hint="eastAsia" w:ascii="Arial" w:hAnsi="Arial" w:eastAsia="宋体" w:cs="Arial"/>
          <w:i w:val="0"/>
          <w:iCs w:val="0"/>
          <w:caps w:val="0"/>
          <w:color w:val="222222"/>
          <w:spacing w:val="0"/>
          <w:sz w:val="21"/>
          <w:szCs w:val="21"/>
          <w:shd w:val="clear" w:fill="FFFFFF"/>
          <w:lang w:val="en-US" w:eastAsia="zh-CN"/>
        </w:rPr>
        <w:t>可能</w:t>
      </w:r>
      <w:r>
        <w:rPr>
          <w:rFonts w:ascii="Arial" w:hAnsi="Arial" w:eastAsia="宋体" w:cs="Arial"/>
          <w:i w:val="0"/>
          <w:iCs w:val="0"/>
          <w:caps w:val="0"/>
          <w:color w:val="222222"/>
          <w:spacing w:val="0"/>
          <w:sz w:val="21"/>
          <w:szCs w:val="21"/>
          <w:shd w:val="clear" w:fill="FFFFFF"/>
        </w:rPr>
        <w:t>进入调整</w:t>
      </w:r>
      <w:r>
        <w:rPr>
          <w:rFonts w:hint="eastAsia" w:ascii="Arial" w:hAnsi="Arial" w:eastAsia="宋体" w:cs="Arial"/>
          <w:i w:val="0"/>
          <w:iCs w:val="0"/>
          <w:caps w:val="0"/>
          <w:color w:val="222222"/>
          <w:spacing w:val="0"/>
          <w:sz w:val="21"/>
          <w:szCs w:val="21"/>
          <w:shd w:val="clear" w:fill="FFFFFF"/>
          <w:lang w:val="en-US" w:eastAsia="zh-CN"/>
        </w:rPr>
        <w:t>期</w:t>
      </w:r>
      <w:r>
        <w:rPr>
          <w:rFonts w:ascii="Arial" w:hAnsi="Arial" w:eastAsia="宋体" w:cs="Arial"/>
          <w:i w:val="0"/>
          <w:iCs w:val="0"/>
          <w:caps w:val="0"/>
          <w:color w:val="222222"/>
          <w:spacing w:val="0"/>
          <w:sz w:val="21"/>
          <w:szCs w:val="21"/>
          <w:shd w:val="clear" w:fill="FFFFFF"/>
        </w:rPr>
        <w:t>，股价将出现下跌，这时应卖出大部分</w:t>
      </w:r>
      <w:r>
        <w:rPr>
          <w:rFonts w:hint="eastAsia" w:ascii="Arial" w:hAnsi="Arial" w:eastAsia="宋体" w:cs="Arial"/>
          <w:i w:val="0"/>
          <w:iCs w:val="0"/>
          <w:caps w:val="0"/>
          <w:color w:val="222222"/>
          <w:spacing w:val="0"/>
          <w:sz w:val="21"/>
          <w:szCs w:val="21"/>
          <w:shd w:val="clear" w:fill="FFFFFF"/>
          <w:lang w:val="en-US" w:eastAsia="zh-CN"/>
        </w:rPr>
        <w:t>该</w:t>
      </w:r>
      <w:r>
        <w:rPr>
          <w:rFonts w:ascii="Arial" w:hAnsi="Arial" w:eastAsia="宋体" w:cs="Arial"/>
          <w:i w:val="0"/>
          <w:iCs w:val="0"/>
          <w:caps w:val="0"/>
          <w:color w:val="222222"/>
          <w:spacing w:val="0"/>
          <w:sz w:val="21"/>
          <w:szCs w:val="21"/>
          <w:shd w:val="clear" w:fill="FFFFFF"/>
        </w:rPr>
        <w:t>股票而不能买入股票</w:t>
      </w:r>
      <w:r>
        <w:rPr>
          <w:rFonts w:hint="eastAsia" w:ascii="Arial" w:hAnsi="Arial" w:eastAsia="宋体" w:cs="Arial"/>
          <w:i w:val="0"/>
          <w:iCs w:val="0"/>
          <w:caps w:val="0"/>
          <w:color w:val="222222"/>
          <w:spacing w:val="0"/>
          <w:sz w:val="21"/>
          <w:szCs w:val="21"/>
          <w:shd w:val="clear" w:fill="FFFFFF"/>
          <w:lang w:eastAsia="zh-CN"/>
        </w:rPr>
        <w:t>；</w:t>
      </w:r>
      <w:r>
        <w:rPr>
          <w:rFonts w:ascii="Arial" w:hAnsi="Arial" w:eastAsia="宋体" w:cs="Arial"/>
          <w:i w:val="0"/>
          <w:iCs w:val="0"/>
          <w:caps w:val="0"/>
          <w:color w:val="222222"/>
          <w:spacing w:val="0"/>
          <w:sz w:val="21"/>
          <w:szCs w:val="21"/>
          <w:shd w:val="clear" w:fill="FFFFFF"/>
        </w:rPr>
        <w:t>DIF和DEA均大于0但向下移动时，股票行情处于退潮阶段，股票将下跌，可以卖出股票和观望。</w:t>
      </w:r>
      <w:r>
        <w:rPr>
          <w:rFonts w:hint="eastAsia" w:ascii="Arial" w:hAnsi="Arial" w:eastAsia="宋体" w:cs="Arial"/>
          <w:i w:val="0"/>
          <w:iCs w:val="0"/>
          <w:caps w:val="0"/>
          <w:color w:val="222222"/>
          <w:spacing w:val="0"/>
          <w:sz w:val="21"/>
          <w:szCs w:val="21"/>
          <w:shd w:val="clear" w:fill="FFFFFF"/>
          <w:lang w:val="en-US" w:eastAsia="zh-CN"/>
        </w:rPr>
        <w:t>②BOLL线分析：</w:t>
      </w:r>
      <w:r>
        <w:rPr>
          <w:rFonts w:ascii="Arial" w:hAnsi="Arial" w:eastAsia="宋体" w:cs="Arial"/>
          <w:i w:val="0"/>
          <w:iCs w:val="0"/>
          <w:caps w:val="0"/>
          <w:color w:val="222222"/>
          <w:spacing w:val="0"/>
          <w:sz w:val="21"/>
          <w:szCs w:val="21"/>
          <w:shd w:val="clear" w:fill="FFFFFF"/>
        </w:rPr>
        <w:t>上、中、下轨线同时向下运行时，</w:t>
      </w:r>
      <w:r>
        <w:rPr>
          <w:rFonts w:hint="eastAsia" w:ascii="Arial" w:hAnsi="Arial" w:eastAsia="宋体" w:cs="Arial"/>
          <w:i w:val="0"/>
          <w:iCs w:val="0"/>
          <w:caps w:val="0"/>
          <w:color w:val="222222"/>
          <w:spacing w:val="0"/>
          <w:sz w:val="21"/>
          <w:szCs w:val="21"/>
          <w:shd w:val="clear" w:fill="FFFFFF"/>
          <w:lang w:val="en-US" w:eastAsia="zh-CN"/>
        </w:rPr>
        <w:t>该股票</w:t>
      </w:r>
      <w:r>
        <w:rPr>
          <w:rFonts w:ascii="Arial" w:hAnsi="Arial" w:eastAsia="宋体" w:cs="Arial"/>
          <w:i w:val="0"/>
          <w:iCs w:val="0"/>
          <w:caps w:val="0"/>
          <w:color w:val="222222"/>
          <w:spacing w:val="0"/>
          <w:sz w:val="21"/>
          <w:szCs w:val="21"/>
          <w:shd w:val="clear" w:fill="FFFFFF"/>
        </w:rPr>
        <w:t>价格的弱势特征非常明显，价格短期内将继续下跌，投资者应观望或逢高卖出。</w:t>
      </w:r>
      <w:r>
        <w:rPr>
          <w:rFonts w:hint="eastAsia" w:ascii="Arial" w:hAnsi="Arial" w:eastAsia="宋体" w:cs="Arial"/>
          <w:i w:val="0"/>
          <w:iCs w:val="0"/>
          <w:caps w:val="0"/>
          <w:color w:val="222222"/>
          <w:spacing w:val="0"/>
          <w:sz w:val="21"/>
          <w:szCs w:val="21"/>
          <w:shd w:val="clear" w:fill="FFFFFF"/>
          <w:lang w:val="en-US" w:eastAsia="zh-CN"/>
        </w:rPr>
        <w:t>③压力线分析：该股票的跌的价格将会在黄色压力线附近震荡，可能突破压力线，股票处于调整阶段，可以观望。</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Arial Black">
    <w:panose1 w:val="020B0A04020102020204"/>
    <w:charset w:val="00"/>
    <w:family w:val="swiss"/>
    <w:pitch w:val="default"/>
    <w:sig w:usb0="A00002AF" w:usb1="400078FB" w:usb2="00000000" w:usb3="00000000" w:csb0="6000009F" w:csb1="DFD70000"/>
  </w:font>
  <w:font w:name="Impact">
    <w:panose1 w:val="020B0806030902050204"/>
    <w:charset w:val="00"/>
    <w:family w:val="swiss"/>
    <w:pitch w:val="default"/>
    <w:sig w:usb0="00000287" w:usb1="00000000" w:usb2="00000000" w:usb3="00000000" w:csb0="2000009F" w:csb1="DFD7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9A2553"/>
    <w:multiLevelType w:val="singleLevel"/>
    <w:tmpl w:val="869A2553"/>
    <w:lvl w:ilvl="0" w:tentative="0">
      <w:start w:val="1"/>
      <w:numFmt w:val="chineseCounting"/>
      <w:suff w:val="nothing"/>
      <w:lvlText w:val="%1、"/>
      <w:lvlJc w:val="left"/>
      <w:rPr>
        <w:rFonts w:hint="eastAsia"/>
      </w:rPr>
    </w:lvl>
  </w:abstractNum>
  <w:abstractNum w:abstractNumId="1">
    <w:nsid w:val="5CD77564"/>
    <w:multiLevelType w:val="singleLevel"/>
    <w:tmpl w:val="5CD77564"/>
    <w:lvl w:ilvl="0" w:tentative="0">
      <w:start w:val="1"/>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cxNGZmOWYxMmNkNjA5YTcwNGYzNmY1MTRlNWJkNzEifQ=="/>
  </w:docVars>
  <w:rsids>
    <w:rsidRoot w:val="282448D5"/>
    <w:rsid w:val="00023068"/>
    <w:rsid w:val="0014394A"/>
    <w:rsid w:val="00B268C7"/>
    <w:rsid w:val="07746288"/>
    <w:rsid w:val="0FAC4C5F"/>
    <w:rsid w:val="106C1E28"/>
    <w:rsid w:val="10D211B2"/>
    <w:rsid w:val="1225617B"/>
    <w:rsid w:val="140E071B"/>
    <w:rsid w:val="17B4385F"/>
    <w:rsid w:val="17E53EA4"/>
    <w:rsid w:val="1AFC4CEC"/>
    <w:rsid w:val="1C9173B2"/>
    <w:rsid w:val="1D3F1EBC"/>
    <w:rsid w:val="1FDC42AD"/>
    <w:rsid w:val="218A23F4"/>
    <w:rsid w:val="230B45E8"/>
    <w:rsid w:val="282448D5"/>
    <w:rsid w:val="2A3873C3"/>
    <w:rsid w:val="2C72019D"/>
    <w:rsid w:val="2CA652EE"/>
    <w:rsid w:val="2DC56E38"/>
    <w:rsid w:val="347335A4"/>
    <w:rsid w:val="37B52105"/>
    <w:rsid w:val="3EB36E19"/>
    <w:rsid w:val="49704737"/>
    <w:rsid w:val="49B55162"/>
    <w:rsid w:val="4B695767"/>
    <w:rsid w:val="4F795BA1"/>
    <w:rsid w:val="5D2A66BF"/>
    <w:rsid w:val="5E555646"/>
    <w:rsid w:val="60F41C88"/>
    <w:rsid w:val="61B3379D"/>
    <w:rsid w:val="64DA5233"/>
    <w:rsid w:val="64F559C2"/>
    <w:rsid w:val="68D356B1"/>
    <w:rsid w:val="69C14788"/>
    <w:rsid w:val="6B0D758C"/>
    <w:rsid w:val="6C1A6E22"/>
    <w:rsid w:val="716C147D"/>
    <w:rsid w:val="7D8555F0"/>
    <w:rsid w:val="7DB867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autoRedefine/>
    <w:semiHidden/>
    <w:qFormat/>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autoRedefine/>
    <w:qFormat/>
    <w:uiPriority w:val="0"/>
    <w:rPr>
      <w:b/>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8</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2024-05-09T10:57:00Z</dcterms:created>
  <dc:creator>凯涛</dc:creator>
  <cp:lastModifiedBy>凯涛</cp:lastModifiedBy>
  <dcterms:modified xsi:type="dcterms:W3CDTF">2024-05-13T15:43:58Z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D4F10B1E542E4305988DDBD3C832CCBC_11</vt:lpwstr>
  </property>
</Properties>
</file>