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260" w:lineRule="exact"/>
        <w:ind w:firstLine="1556" w:firstLineChars="102"/>
        <w:rPr>
          <w:rFonts w:ascii="Arial Black" w:hAnsi="Arial Black" w:eastAsia="黑体"/>
          <w:b/>
          <w:color w:val="999999"/>
          <w:spacing w:val="21"/>
          <w:w w:val="85"/>
          <w:position w:val="-10"/>
          <w:sz w:val="150"/>
          <w:szCs w:val="150"/>
        </w:rPr>
      </w:pPr>
      <w:r>
        <w:rPr>
          <w:b/>
          <w:color w:val="C0C0C0"/>
          <w:spacing w:val="60"/>
          <w:sz w:val="140"/>
          <w:szCs w:val="140"/>
        </w:rPr>
        <w:drawing>
          <wp:anchor distT="0" distB="0" distL="114300" distR="114300" simplePos="0" relativeHeight="251659264" behindDoc="0" locked="0" layoutInCell="1" allowOverlap="1">
            <wp:simplePos x="0" y="0"/>
            <wp:positionH relativeFrom="column">
              <wp:posOffset>508000</wp:posOffset>
            </wp:positionH>
            <wp:positionV relativeFrom="paragraph">
              <wp:posOffset>-83820</wp:posOffset>
            </wp:positionV>
            <wp:extent cx="4229100" cy="885825"/>
            <wp:effectExtent l="0" t="0" r="0" b="0"/>
            <wp:wrapNone/>
            <wp:docPr id="17" name="图片 2" descr="浙江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浙江理工大学"/>
                    <pic:cNvPicPr>
                      <a:picLocks noChangeAspect="1"/>
                    </pic:cNvPicPr>
                  </pic:nvPicPr>
                  <pic:blipFill>
                    <a:blip r:embed="rId4">
                      <a:clrChange>
                        <a:clrFrom>
                          <a:srgbClr val="FFFFFF"/>
                        </a:clrFrom>
                        <a:clrTo>
                          <a:srgbClr val="FFFFFF">
                            <a:alpha val="0"/>
                          </a:srgbClr>
                        </a:clrTo>
                      </a:clrChange>
                      <a:biLevel thresh="50000"/>
                      <a:grayscl/>
                    </a:blip>
                    <a:stretch>
                      <a:fillRect/>
                    </a:stretch>
                  </pic:blipFill>
                  <pic:spPr>
                    <a:xfrm>
                      <a:off x="0" y="0"/>
                      <a:ext cx="4229100" cy="885825"/>
                    </a:xfrm>
                    <a:prstGeom prst="rect">
                      <a:avLst/>
                    </a:prstGeom>
                    <a:noFill/>
                    <a:ln>
                      <a:noFill/>
                    </a:ln>
                  </pic:spPr>
                </pic:pic>
              </a:graphicData>
            </a:graphic>
          </wp:anchor>
        </w:drawing>
      </w:r>
      <w:r>
        <w:rPr>
          <w:rFonts w:ascii="Arial Black" w:hAnsi="Arial Black" w:eastAsia="黑体"/>
          <w:b/>
          <w:color w:val="999999"/>
          <w:spacing w:val="21"/>
          <w:w w:val="85"/>
          <w:position w:val="-10"/>
          <w:sz w:val="150"/>
          <w:szCs w:val="150"/>
        </w:rPr>
        <w:t>Z S T U</w:t>
      </w:r>
    </w:p>
    <w:p>
      <w:pPr>
        <w:spacing w:line="400" w:lineRule="exact"/>
        <w:ind w:firstLine="883" w:firstLineChars="200"/>
        <w:rPr>
          <w:rFonts w:hint="eastAsia" w:ascii="黑体" w:hAnsi="Impact" w:eastAsia="黑体"/>
          <w:b/>
          <w:color w:val="000000"/>
          <w:sz w:val="44"/>
          <w:szCs w:val="44"/>
        </w:rPr>
      </w:pPr>
      <w:r>
        <w:rPr>
          <w:rFonts w:hint="eastAsia" w:ascii="黑体" w:hAnsi="Impact" w:eastAsia="黑体"/>
          <w:b/>
          <w:color w:val="000000"/>
          <w:sz w:val="44"/>
          <w:szCs w:val="44"/>
        </w:rPr>
        <w:t>Zhejiang Sci-Tech University</w:t>
      </w:r>
    </w:p>
    <w:p>
      <w:pPr>
        <w:spacing w:line="400" w:lineRule="exact"/>
        <w:rPr>
          <w:rFonts w:hint="eastAsia" w:ascii="黑体" w:hAnsi="宋体" w:eastAsia="黑体"/>
          <w:b/>
          <w:color w:val="000000"/>
          <w:sz w:val="44"/>
          <w:szCs w:val="44"/>
        </w:rPr>
      </w:pPr>
    </w:p>
    <w:p>
      <w:pPr>
        <w:spacing w:line="360" w:lineRule="auto"/>
        <w:jc w:val="center"/>
        <w:rPr>
          <w:rFonts w:hint="default" w:ascii="黑体" w:hAnsi="微软雅黑" w:eastAsia="黑体"/>
          <w:b/>
          <w:sz w:val="38"/>
          <w:szCs w:val="38"/>
          <w:lang w:val="en-US" w:eastAsia="zh-CN"/>
        </w:rPr>
      </w:pPr>
      <w:r>
        <w:rPr>
          <w:rFonts w:hint="eastAsia" w:ascii="黑体" w:hAnsi="微软雅黑" w:eastAsia="黑体"/>
          <w:b/>
          <w:sz w:val="38"/>
          <w:szCs w:val="38"/>
          <w:lang w:val="en-US" w:eastAsia="zh-CN"/>
        </w:rPr>
        <w:t>证券投资技术分析</w:t>
      </w:r>
    </w:p>
    <w:p>
      <w:pPr>
        <w:jc w:val="center"/>
        <w:rPr>
          <w:rFonts w:hint="eastAsia" w:ascii="黑体" w:eastAsia="黑体"/>
          <w:b/>
          <w:i/>
          <w:sz w:val="52"/>
          <w:szCs w:val="52"/>
        </w:rPr>
      </w:pPr>
      <w:r>
        <w:rPr>
          <w:rFonts w:hint="eastAsia" w:ascii="黑体" w:eastAsia="黑体"/>
          <w:b/>
          <w:i/>
          <w:sz w:val="52"/>
          <w:szCs w:val="52"/>
        </w:rPr>
        <w:t>实践教学成果</w:t>
      </w:r>
    </w:p>
    <w:p>
      <w:pPr>
        <w:ind w:firstLine="316" w:firstLineChars="150"/>
        <w:rPr>
          <w:rFonts w:hint="eastAsia" w:eastAsia="黑体"/>
          <w:b/>
          <w:i/>
          <w:color w:val="000000"/>
          <w:szCs w:val="21"/>
        </w:rPr>
      </w:pPr>
    </w:p>
    <w:p>
      <w:pPr>
        <w:jc w:val="center"/>
        <w:rPr>
          <w:rFonts w:hint="eastAsia"/>
        </w:rPr>
      </w:pPr>
      <w:r>
        <w:drawing>
          <wp:inline distT="0" distB="0" distL="114300" distR="114300">
            <wp:extent cx="1504950" cy="1258570"/>
            <wp:effectExtent l="0" t="0" r="3810" b="6350"/>
            <wp:docPr id="5" name="图片 1" descr="学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学校"/>
                    <pic:cNvPicPr>
                      <a:picLocks noChangeAspect="1"/>
                    </pic:cNvPicPr>
                  </pic:nvPicPr>
                  <pic:blipFill>
                    <a:blip r:embed="rId5"/>
                    <a:stretch>
                      <a:fillRect/>
                    </a:stretch>
                  </pic:blipFill>
                  <pic:spPr>
                    <a:xfrm>
                      <a:off x="0" y="0"/>
                      <a:ext cx="1504950" cy="1258570"/>
                    </a:xfrm>
                    <a:prstGeom prst="rect">
                      <a:avLst/>
                    </a:prstGeom>
                    <a:noFill/>
                    <a:ln>
                      <a:noFill/>
                    </a:ln>
                  </pic:spPr>
                </pic:pic>
              </a:graphicData>
            </a:graphic>
          </wp:inline>
        </w:drawing>
      </w:r>
    </w:p>
    <w:p>
      <w:pPr>
        <w:jc w:val="center"/>
        <w:rPr>
          <w:rFonts w:hint="eastAsia"/>
        </w:rPr>
      </w:pPr>
    </w:p>
    <w:p>
      <w:pPr>
        <w:rPr>
          <w:rFonts w:hint="eastAsia"/>
          <w:b/>
        </w:rPr>
      </w:pPr>
    </w:p>
    <w:p>
      <w:pPr>
        <w:jc w:val="both"/>
        <w:rPr>
          <w:rFonts w:hint="default" w:ascii="宋体" w:hAnsi="宋体"/>
          <w:b/>
          <w:sz w:val="28"/>
          <w:szCs w:val="28"/>
          <w:lang w:val="en-US"/>
        </w:rPr>
      </w:pPr>
      <w:r>
        <w:rPr>
          <w:rFonts w:hint="eastAsia" w:ascii="宋体" w:hAnsi="宋体"/>
          <w:b/>
          <w:sz w:val="28"/>
          <w:szCs w:val="28"/>
        </w:rPr>
        <w:t>题目:</w:t>
      </w:r>
      <w:r>
        <w:rPr>
          <w:rFonts w:hint="eastAsia" w:ascii="宋体" w:hAnsi="宋体"/>
          <w:b/>
          <w:sz w:val="28"/>
          <w:szCs w:val="28"/>
          <w:u w:val="thick"/>
        </w:rPr>
        <w:t xml:space="preserve">         </w:t>
      </w:r>
      <w:r>
        <w:rPr>
          <w:rFonts w:hint="eastAsia" w:ascii="宋体" w:hAnsi="宋体"/>
          <w:b/>
          <w:sz w:val="28"/>
          <w:szCs w:val="28"/>
          <w:u w:val="thick"/>
          <w:lang w:val="en-US" w:eastAsia="zh-CN"/>
        </w:rPr>
        <w:t xml:space="preserve">证券投资对个人选股的基本面分析和技术分析       </w:t>
      </w:r>
    </w:p>
    <w:p>
      <w:pPr>
        <w:ind w:left="275" w:hanging="275" w:hangingChars="98"/>
        <w:rPr>
          <w:rFonts w:hint="eastAsia"/>
          <w:b/>
          <w:sz w:val="36"/>
          <w:szCs w:val="36"/>
          <w:u w:val="single"/>
        </w:rPr>
      </w:pPr>
      <w:r>
        <w:rPr>
          <w:rFonts w:hint="eastAsia" w:ascii="宋体" w:hAnsi="宋体"/>
          <w:b/>
          <w:sz w:val="28"/>
          <w:szCs w:val="28"/>
        </w:rPr>
        <w:t xml:space="preserve">     </w:t>
      </w:r>
      <w:r>
        <w:rPr>
          <w:rFonts w:hint="eastAsia" w:ascii="宋体" w:hAnsi="宋体"/>
          <w:b/>
          <w:sz w:val="28"/>
          <w:szCs w:val="28"/>
          <w:u w:val="thick"/>
        </w:rPr>
        <w:t xml:space="preserve">                                                      </w:t>
      </w:r>
      <w:r>
        <w:rPr>
          <w:rFonts w:hint="eastAsia" w:ascii="宋体" w:hAnsi="宋体"/>
          <w:b/>
          <w:sz w:val="28"/>
          <w:szCs w:val="28"/>
        </w:rPr>
        <w:t xml:space="preserve"> </w:t>
      </w:r>
      <w:r>
        <w:rPr>
          <w:rFonts w:hint="eastAsia" w:ascii="宋体" w:hAnsi="宋体"/>
          <w:b/>
          <w:sz w:val="36"/>
          <w:szCs w:val="36"/>
        </w:rPr>
        <w:t xml:space="preserve">          </w:t>
      </w:r>
      <w:r>
        <w:rPr>
          <w:rFonts w:hint="eastAsia"/>
          <w:b/>
          <w:sz w:val="36"/>
          <w:szCs w:val="36"/>
        </w:rPr>
        <w:t xml:space="preserve">                      </w:t>
      </w:r>
      <w:r>
        <w:rPr>
          <w:rFonts w:hint="eastAsia"/>
          <w:b/>
          <w:sz w:val="36"/>
          <w:szCs w:val="36"/>
          <w:u w:val="single"/>
        </w:rPr>
        <w:t xml:space="preserve">                                            </w:t>
      </w:r>
    </w:p>
    <w:tbl>
      <w:tblPr>
        <w:tblStyle w:val="4"/>
        <w:tblpPr w:leftFromText="180" w:rightFromText="180" w:vertAnchor="text" w:horzAnchor="margin" w:tblpX="-459" w:tblpY="291"/>
        <w:tblW w:w="9464"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959"/>
        <w:gridCol w:w="992"/>
        <w:gridCol w:w="425"/>
        <w:gridCol w:w="1418"/>
        <w:gridCol w:w="1276"/>
        <w:gridCol w:w="1134"/>
        <w:gridCol w:w="850"/>
        <w:gridCol w:w="241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959" w:type="dxa"/>
            <w:tcBorders>
              <w:top w:val="single" w:color="auto" w:sz="12" w:space="0"/>
              <w:left w:val="single" w:color="auto" w:sz="12" w:space="0"/>
              <w:bottom w:val="single" w:color="auto" w:sz="6" w:space="0"/>
            </w:tcBorders>
            <w:noWrap w:val="0"/>
            <w:vAlign w:val="center"/>
          </w:tcPr>
          <w:p>
            <w:pPr>
              <w:widowControl/>
              <w:jc w:val="center"/>
              <w:rPr>
                <w:rFonts w:ascii="宋体" w:cs="宋体"/>
                <w:kern w:val="0"/>
                <w:sz w:val="24"/>
                <w:szCs w:val="24"/>
              </w:rPr>
            </w:pPr>
          </w:p>
        </w:tc>
        <w:tc>
          <w:tcPr>
            <w:tcW w:w="992" w:type="dxa"/>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序号</w:t>
            </w:r>
          </w:p>
          <w:p>
            <w:pPr>
              <w:widowControl/>
              <w:jc w:val="center"/>
              <w:rPr>
                <w:rFonts w:ascii="宋体" w:cs="宋体"/>
                <w:b/>
                <w:bCs/>
                <w:kern w:val="0"/>
                <w:sz w:val="24"/>
                <w:szCs w:val="24"/>
              </w:rPr>
            </w:pPr>
            <w:r>
              <w:rPr>
                <w:rFonts w:hint="eastAsia" w:ascii="宋体" w:hAnsi="宋体" w:cs="宋体"/>
                <w:b/>
                <w:bCs/>
                <w:kern w:val="0"/>
                <w:sz w:val="15"/>
                <w:szCs w:val="15"/>
              </w:rPr>
              <w:t>（点名册）</w:t>
            </w:r>
          </w:p>
        </w:tc>
        <w:tc>
          <w:tcPr>
            <w:tcW w:w="1843" w:type="dxa"/>
            <w:gridSpan w:val="2"/>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姓名</w:t>
            </w:r>
          </w:p>
        </w:tc>
        <w:tc>
          <w:tcPr>
            <w:tcW w:w="2410" w:type="dxa"/>
            <w:gridSpan w:val="2"/>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学号</w:t>
            </w:r>
          </w:p>
        </w:tc>
        <w:tc>
          <w:tcPr>
            <w:tcW w:w="3260" w:type="dxa"/>
            <w:gridSpan w:val="2"/>
            <w:tcBorders>
              <w:top w:val="single" w:color="auto" w:sz="12" w:space="0"/>
              <w:bottom w:val="single" w:color="auto" w:sz="6" w:space="0"/>
              <w:right w:val="single" w:color="auto" w:sz="12"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班级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959" w:type="dxa"/>
            <w:tcBorders>
              <w:top w:val="single" w:color="auto" w:sz="6" w:space="0"/>
              <w:left w:val="single" w:color="auto" w:sz="12" w:space="0"/>
              <w:bottom w:val="single" w:color="auto" w:sz="6" w:space="0"/>
            </w:tcBorders>
            <w:noWrap/>
            <w:vAlign w:val="center"/>
          </w:tcPr>
          <w:p>
            <w:pPr>
              <w:widowControl/>
              <w:jc w:val="center"/>
              <w:rPr>
                <w:rFonts w:hint="eastAsia" w:ascii="宋体" w:cs="宋体" w:eastAsiaTheme="minorEastAsia"/>
                <w:b/>
                <w:bCs/>
                <w:kern w:val="0"/>
                <w:sz w:val="24"/>
                <w:szCs w:val="24"/>
                <w:lang w:val="en-US" w:eastAsia="zh-CN"/>
              </w:rPr>
            </w:pPr>
            <w:r>
              <w:rPr>
                <w:rFonts w:hint="eastAsia" w:ascii="宋体" w:cs="宋体"/>
                <w:b/>
                <w:bCs/>
                <w:kern w:val="0"/>
                <w:sz w:val="24"/>
                <w:szCs w:val="24"/>
                <w:lang w:val="en-US" w:eastAsia="zh-CN"/>
              </w:rPr>
              <w:t>学生</w:t>
            </w:r>
          </w:p>
        </w:tc>
        <w:tc>
          <w:tcPr>
            <w:tcW w:w="992" w:type="dxa"/>
            <w:tcBorders>
              <w:top w:val="single" w:color="auto" w:sz="6" w:space="0"/>
              <w:bottom w:val="single" w:color="auto" w:sz="6" w:space="0"/>
            </w:tcBorders>
            <w:noWrap w:val="0"/>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39</w:t>
            </w:r>
          </w:p>
        </w:tc>
        <w:tc>
          <w:tcPr>
            <w:tcW w:w="1843" w:type="dxa"/>
            <w:gridSpan w:val="2"/>
            <w:tcBorders>
              <w:top w:val="single" w:color="auto" w:sz="6" w:space="0"/>
              <w:bottom w:val="single" w:color="auto" w:sz="6"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李凯涛</w:t>
            </w:r>
          </w:p>
        </w:tc>
        <w:tc>
          <w:tcPr>
            <w:tcW w:w="2410" w:type="dxa"/>
            <w:gridSpan w:val="2"/>
            <w:tcBorders>
              <w:top w:val="single" w:color="auto" w:sz="6" w:space="0"/>
              <w:bottom w:val="single" w:color="auto" w:sz="6"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2023327100056</w:t>
            </w:r>
          </w:p>
        </w:tc>
        <w:tc>
          <w:tcPr>
            <w:tcW w:w="3260" w:type="dxa"/>
            <w:gridSpan w:val="2"/>
            <w:tcBorders>
              <w:top w:val="single" w:color="auto" w:sz="6" w:space="0"/>
              <w:bottom w:val="single" w:color="auto" w:sz="6" w:space="0"/>
              <w:right w:val="single" w:color="auto" w:sz="12"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23纺织2班</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2376" w:type="dxa"/>
            <w:gridSpan w:val="3"/>
            <w:tcBorders>
              <w:top w:val="single" w:color="auto" w:sz="12" w:space="0"/>
            </w:tcBorders>
            <w:noWrap w:val="0"/>
            <w:vAlign w:val="center"/>
          </w:tcPr>
          <w:p>
            <w:pPr>
              <w:widowControl/>
              <w:jc w:val="center"/>
              <w:rPr>
                <w:rFonts w:ascii="宋体" w:hAnsi="宋体" w:cs="宋体"/>
                <w:kern w:val="0"/>
                <w:szCs w:val="21"/>
              </w:rPr>
            </w:pPr>
            <w:r>
              <w:rPr>
                <w:rFonts w:hint="eastAsia" w:ascii="宋体" w:hAnsi="宋体" w:cs="宋体"/>
                <w:b/>
                <w:kern w:val="0"/>
                <w:sz w:val="24"/>
                <w:szCs w:val="24"/>
              </w:rPr>
              <w:t>上课时间</w:t>
            </w:r>
          </w:p>
        </w:tc>
        <w:tc>
          <w:tcPr>
            <w:tcW w:w="2694" w:type="dxa"/>
            <w:gridSpan w:val="2"/>
            <w:tcBorders>
              <w:top w:val="single" w:color="auto" w:sz="12" w:space="0"/>
            </w:tcBorders>
            <w:noWrap/>
            <w:vAlign w:val="center"/>
          </w:tcPr>
          <w:p>
            <w:pPr>
              <w:widowControl/>
              <w:ind w:firstLine="840" w:firstLineChars="400"/>
              <w:jc w:val="both"/>
              <w:rPr>
                <w:rFonts w:ascii="宋体" w:hAnsi="宋体" w:cs="宋体"/>
                <w:kern w:val="0"/>
                <w:szCs w:val="21"/>
              </w:rPr>
            </w:pPr>
            <w:r>
              <w:rPr>
                <w:rFonts w:hint="eastAsia" w:ascii="宋体" w:hAnsi="宋体" w:cs="宋体"/>
                <w:kern w:val="0"/>
                <w:szCs w:val="21"/>
              </w:rPr>
              <w:t>周</w:t>
            </w:r>
            <w:r>
              <w:rPr>
                <w:rFonts w:hint="eastAsia" w:ascii="宋体" w:hAnsi="宋体" w:cs="宋体"/>
                <w:kern w:val="0"/>
                <w:szCs w:val="21"/>
                <w:lang w:val="en-US" w:eastAsia="zh-CN"/>
              </w:rPr>
              <w:t>二10</w:t>
            </w:r>
            <w:r>
              <w:rPr>
                <w:rFonts w:hint="eastAsia" w:ascii="宋体" w:hAnsi="宋体" w:cs="宋体"/>
                <w:kern w:val="0"/>
                <w:szCs w:val="21"/>
              </w:rPr>
              <w:t>-</w:t>
            </w:r>
            <w:r>
              <w:rPr>
                <w:rFonts w:hint="eastAsia" w:ascii="宋体" w:hAnsi="宋体" w:cs="宋体"/>
                <w:kern w:val="0"/>
                <w:szCs w:val="21"/>
                <w:lang w:val="en-US" w:eastAsia="zh-CN"/>
              </w:rPr>
              <w:t>12</w:t>
            </w:r>
            <w:r>
              <w:rPr>
                <w:rFonts w:hint="eastAsia" w:ascii="宋体" w:hAnsi="宋体" w:cs="宋体"/>
                <w:kern w:val="0"/>
                <w:szCs w:val="21"/>
              </w:rPr>
              <w:t>节</w:t>
            </w:r>
          </w:p>
        </w:tc>
        <w:tc>
          <w:tcPr>
            <w:tcW w:w="1984" w:type="dxa"/>
            <w:gridSpan w:val="2"/>
            <w:tcBorders>
              <w:top w:val="single" w:color="auto" w:sz="12" w:space="0"/>
            </w:tcBorders>
            <w:noWrap/>
            <w:vAlign w:val="center"/>
          </w:tcPr>
          <w:p>
            <w:pPr>
              <w:widowControl/>
              <w:jc w:val="center"/>
              <w:rPr>
                <w:rFonts w:ascii="宋体" w:hAnsi="宋体" w:cs="宋体"/>
                <w:b/>
                <w:kern w:val="0"/>
                <w:sz w:val="24"/>
                <w:szCs w:val="24"/>
              </w:rPr>
            </w:pPr>
            <w:r>
              <w:rPr>
                <w:rFonts w:hint="eastAsia" w:ascii="宋体" w:hAnsi="宋体" w:cs="宋体"/>
                <w:b/>
                <w:kern w:val="0"/>
                <w:sz w:val="24"/>
                <w:szCs w:val="24"/>
              </w:rPr>
              <w:t>电话</w:t>
            </w:r>
          </w:p>
        </w:tc>
        <w:tc>
          <w:tcPr>
            <w:tcW w:w="2410" w:type="dxa"/>
            <w:tcBorders>
              <w:top w:val="single" w:color="auto" w:sz="12" w:space="0"/>
            </w:tcBorders>
            <w:noWrap w:val="0"/>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15700181194</w:t>
            </w:r>
          </w:p>
        </w:tc>
      </w:tr>
    </w:tbl>
    <w:p>
      <w:pPr>
        <w:rPr>
          <w:rFonts w:hint="eastAsia"/>
          <w:lang w:val="en-US" w:eastAsia="zh-CN"/>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spacing w:line="360" w:lineRule="auto"/>
        <w:jc w:val="center"/>
        <w:rPr>
          <w:rFonts w:hint="eastAsia" w:ascii="黑体" w:hAnsi="宋体" w:eastAsia="黑体" w:cs="Times New Roman"/>
          <w:bCs/>
          <w:sz w:val="28"/>
          <w:szCs w:val="28"/>
          <w:lang w:val="en-US" w:eastAsia="zh-CN"/>
        </w:rPr>
      </w:pPr>
    </w:p>
    <w:p>
      <w:pPr>
        <w:spacing w:line="360" w:lineRule="auto"/>
        <w:jc w:val="center"/>
        <w:rPr>
          <w:rFonts w:hint="default" w:ascii="黑体" w:hAnsi="宋体" w:eastAsia="黑体" w:cs="Times New Roman"/>
          <w:bCs/>
          <w:sz w:val="28"/>
          <w:szCs w:val="28"/>
          <w:lang w:val="en-US" w:eastAsia="zh-CN"/>
        </w:rPr>
      </w:pPr>
      <w:r>
        <w:rPr>
          <w:rFonts w:hint="eastAsia" w:ascii="黑体" w:hAnsi="宋体" w:eastAsia="黑体" w:cs="Times New Roman"/>
          <w:bCs/>
          <w:sz w:val="28"/>
          <w:szCs w:val="28"/>
          <w:lang w:val="en-US" w:eastAsia="zh-CN"/>
        </w:rPr>
        <w:t>证券投资对个人选股的基本面分析与技术分析</w:t>
      </w:r>
    </w:p>
    <w:p>
      <w:pPr>
        <w:ind w:firstLine="420" w:firstLineChars="200"/>
        <w:rPr>
          <w:rFonts w:hint="default"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践是认识的目的和归宿的原理指引，聚焦首要政治任务、锚定文化建设新方向、牢牢遵循基本原则、系统把握重点内容、始终坚持人民立场。 浙江，地处中国东南沿海，拥有深厚的文化底蕴和悠久的历史积淀，是中国文化版图上一颗璀璨的明珠。习近平文化思想在浙江得到了深入贯彻和实施，总结浙江如何在习近平新时代中国特色社会主义思想指引下，推进文化强省建设，弘扬中华优秀传统文化，发展社会主义先进文化，提升公共文化服务水平，促进文化和旅游融合发展等方面的实践探索与丰硕成果。通过这些实践，浙江的文化软实力显著增强，人民群众的文化获得感不断提升，为全国的文化建设提供了鲜活的浙江经验。</w:t>
      </w:r>
    </w:p>
    <w:p>
      <w:pPr>
        <w:ind w:firstLine="420" w:firstLineChars="200"/>
        <w:rPr>
          <w:rFonts w:hint="default" w:ascii="楷体" w:hAnsi="楷体" w:eastAsia="楷体" w:cs="Times New Roman"/>
          <w:kern w:val="2"/>
          <w:sz w:val="21"/>
          <w:szCs w:val="21"/>
          <w:lang w:val="en-US" w:eastAsia="zh-CN" w:bidi="ar-SA"/>
        </w:rPr>
      </w:pPr>
      <w:r>
        <w:rPr>
          <w:rFonts w:hint="eastAsia" w:ascii="黑体" w:hAnsi="黑体" w:eastAsia="黑体"/>
          <w:sz w:val="21"/>
          <w:szCs w:val="21"/>
          <w:lang w:val="en-US" w:eastAsia="zh-CN"/>
        </w:rPr>
        <w:t>关键词：</w:t>
      </w:r>
      <w:r>
        <w:rPr>
          <w:rFonts w:hint="eastAsia" w:ascii="楷体" w:hAnsi="楷体" w:eastAsia="楷体" w:cs="Times New Roman"/>
          <w:kern w:val="2"/>
          <w:sz w:val="21"/>
          <w:szCs w:val="21"/>
          <w:lang w:val="en-US" w:eastAsia="zh-CN" w:bidi="ar-SA"/>
        </w:rPr>
        <w:t>习近平文化思想； 中华优秀传统文化；文化强省；浙江文化的软实力；文化建设</w:t>
      </w:r>
    </w:p>
    <w:p>
      <w:pPr>
        <w:keepNext w:val="0"/>
        <w:keepLines w:val="0"/>
        <w:pageBreakBefore w:val="0"/>
        <w:numPr>
          <w:ilvl w:val="0"/>
          <w:numId w:val="1"/>
        </w:numPr>
        <w:kinsoku/>
        <w:wordWrap/>
        <w:overflowPunct/>
        <w:topLinePunct w:val="0"/>
        <w:autoSpaceDE/>
        <w:autoSpaceDN/>
        <w:bidi w:val="0"/>
        <w:adjustRightInd/>
        <w:snapToGrid/>
        <w:spacing w:line="360" w:lineRule="auto"/>
        <w:ind w:firstLine="480" w:firstLineChars="200"/>
        <w:textAlignment w:val="auto"/>
        <w:rPr>
          <w:rFonts w:hint="eastAsia" w:ascii="黑体" w:hAnsi="宋体" w:eastAsia="黑体" w:cs="Times New Roman"/>
          <w:bCs/>
          <w:sz w:val="24"/>
          <w:lang w:val="en-US" w:eastAsia="zh-CN"/>
        </w:rPr>
      </w:pPr>
      <w:r>
        <w:rPr>
          <w:rFonts w:hint="eastAsia" w:ascii="黑体" w:hAnsi="宋体" w:eastAsia="黑体" w:cs="Times New Roman"/>
          <w:bCs/>
          <w:sz w:val="24"/>
          <w:lang w:val="en-US" w:eastAsia="zh-CN"/>
        </w:rPr>
        <w:t>大盘走势分析</w:t>
      </w: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上证综合指数分析</w:t>
      </w:r>
    </w:p>
    <w:p>
      <w:pPr>
        <w:ind w:firstLine="420" w:firstLineChars="200"/>
        <w:rPr>
          <w:rFonts w:hint="default" w:ascii="宋体" w:hAnsi="宋体" w:eastAsia="宋体" w:cs="Times New Roman"/>
          <w:szCs w:val="21"/>
          <w:lang w:val="en-US" w:eastAsia="zh-CN"/>
        </w:rPr>
      </w:pPr>
      <w:r>
        <w:rPr>
          <w:rFonts w:hint="eastAsia" w:ascii="宋体" w:hAnsi="宋体" w:eastAsia="宋体" w:cs="Times New Roman"/>
          <w:kern w:val="2"/>
          <w:sz w:val="21"/>
          <w:szCs w:val="21"/>
          <w:lang w:val="en-US" w:eastAsia="zh-CN" w:bidi="ar-SA"/>
        </w:rPr>
        <w:t>如图1，截至到2024年5月9日左右，</w:t>
      </w:r>
      <w:r>
        <w:rPr>
          <w:rFonts w:hint="eastAsia"/>
          <w:lang w:val="en-US" w:eastAsia="zh-CN"/>
        </w:rPr>
        <w:t>根据最近的行情分析，结合最近近日的分析可知，上证指数走向未来会朝着利好的趋势进行，5月开始是开门红，未来有希望朝着3200点方向发展。</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599815" cy="1800225"/>
            <wp:effectExtent l="0" t="0" r="12065" b="1333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stretch>
                      <a:fillRect/>
                    </a:stretch>
                  </pic:blipFill>
                  <pic:spPr>
                    <a:xfrm>
                      <a:off x="0" y="0"/>
                      <a:ext cx="3599815" cy="18002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图1</w:t>
      </w:r>
    </w:p>
    <w:p>
      <w:pPr>
        <w:rPr>
          <w:rFonts w:hint="eastAsia" w:ascii="楷体" w:hAnsi="楷体" w:eastAsia="楷体" w:cs="Times New Roman"/>
          <w:kern w:val="2"/>
          <w:sz w:val="21"/>
          <w:szCs w:val="21"/>
          <w:lang w:val="en-US" w:eastAsia="zh-CN" w:bidi="ar-SA"/>
        </w:rPr>
      </w:pP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ascii="宋体" w:hAnsi="宋体" w:eastAsia="宋体" w:cs="Times New Roman"/>
          <w:szCs w:val="21"/>
          <w:lang w:val="en-US" w:eastAsia="zh-CN"/>
        </w:rPr>
        <w:t>科创板指数分析</w:t>
      </w:r>
    </w:p>
    <w:p>
      <w:pPr>
        <w:ind w:firstLine="420" w:firstLineChars="200"/>
        <w:rPr>
          <w:rFonts w:hint="eastAsia"/>
          <w:lang w:val="en-US" w:eastAsia="zh-CN"/>
        </w:rPr>
      </w:pPr>
      <w:r>
        <w:rPr>
          <w:rFonts w:hint="eastAsia"/>
          <w:lang w:val="en-US" w:eastAsia="zh-CN"/>
        </w:rPr>
        <w:t>截至至2024年5月9日，上证科创板50成份指数上涨2.3%，科创100指数上涨2.2%，上证科创板成长指数上涨2.4%。上证科创板50和科创100指数在未来有望继续保持增长趋势，在半导体和医疗领域上涨趋势较高</w:t>
      </w: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深圳成分指数</w:t>
      </w:r>
      <w:r>
        <w:rPr>
          <w:rFonts w:hint="eastAsia" w:ascii="宋体" w:hAnsi="宋体" w:eastAsia="宋体" w:cs="Times New Roman"/>
          <w:szCs w:val="21"/>
          <w:lang w:val="en-US" w:eastAsia="zh-CN"/>
        </w:rPr>
        <w:t>分析</w:t>
      </w:r>
    </w:p>
    <w:p>
      <w:pPr>
        <w:rPr>
          <w:rFonts w:hint="eastAsia" w:ascii="Arial" w:hAnsi="Arial" w:eastAsia="宋体" w:cs="Arial"/>
          <w:i w:val="0"/>
          <w:iCs w:val="0"/>
          <w:caps w:val="0"/>
          <w:color w:val="222222"/>
          <w:spacing w:val="0"/>
          <w:sz w:val="21"/>
          <w:szCs w:val="21"/>
          <w:shd w:val="clear" w:fill="FFFFFF"/>
          <w:lang w:val="en-US" w:eastAsia="zh-CN"/>
        </w:rPr>
      </w:pPr>
      <w:r>
        <w:rPr>
          <w:rFonts w:hint="eastAsia" w:ascii="宋体" w:hAnsi="宋体" w:eastAsia="宋体" w:cs="Times New Roman"/>
          <w:szCs w:val="21"/>
          <w:lang w:val="en-US" w:eastAsia="zh-CN"/>
        </w:rPr>
        <w:t xml:space="preserve">    如图2，</w:t>
      </w:r>
      <w:r>
        <w:rPr>
          <w:rFonts w:hint="eastAsia" w:ascii="Arial" w:hAnsi="Arial" w:eastAsia="宋体" w:cs="Arial"/>
          <w:i w:val="0"/>
          <w:iCs w:val="0"/>
          <w:caps w:val="0"/>
          <w:color w:val="222222"/>
          <w:spacing w:val="0"/>
          <w:sz w:val="21"/>
          <w:szCs w:val="21"/>
          <w:shd w:val="clear" w:fill="FFFFFF"/>
          <w:lang w:val="en-US" w:eastAsia="zh-CN"/>
        </w:rPr>
        <w:t>截至到2024年5月10日，深圳成分指数在过去的几天时间保持震荡，且在5月9日，涨创年内新高，笔者认为其将继续保持震荡上升趋势。</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99815" cy="1641475"/>
            <wp:effectExtent l="0" t="0" r="12065" b="4445"/>
            <wp:docPr id="2" name="图片 1" descr="IMG_256"/>
            <wp:cNvGraphicFramePr/>
            <a:graphic xmlns:a="http://schemas.openxmlformats.org/drawingml/2006/main">
              <a:graphicData uri="http://schemas.openxmlformats.org/drawingml/2006/picture">
                <pic:pic xmlns:pic="http://schemas.openxmlformats.org/drawingml/2006/picture">
                  <pic:nvPicPr>
                    <pic:cNvPr id="2" name="图片 1" descr="IMG_256"/>
                    <pic:cNvPicPr/>
                  </pic:nvPicPr>
                  <pic:blipFill>
                    <a:blip r:embed="rId7"/>
                    <a:stretch>
                      <a:fillRect/>
                    </a:stretch>
                  </pic:blipFill>
                  <pic:spPr>
                    <a:xfrm>
                      <a:off x="0" y="0"/>
                      <a:ext cx="3599815" cy="164147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图2</w:t>
      </w: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指数</w:t>
      </w:r>
      <w:r>
        <w:rPr>
          <w:rFonts w:hint="eastAsia" w:ascii="宋体" w:hAnsi="宋体" w:eastAsia="宋体" w:cs="Times New Roman"/>
          <w:szCs w:val="21"/>
          <w:lang w:val="en-US" w:eastAsia="zh-CN"/>
        </w:rPr>
        <w:t>分析创业板</w:t>
      </w:r>
    </w:p>
    <w:p>
      <w:pPr>
        <w:ind w:firstLine="420" w:firstLineChars="200"/>
        <w:rPr>
          <w:rFonts w:hint="eastAsia"/>
          <w:lang w:val="en-US" w:eastAsia="zh-CN"/>
        </w:rPr>
      </w:pPr>
      <w:r>
        <w:rPr>
          <w:rFonts w:hint="eastAsia" w:ascii="Arial" w:hAnsi="Arial" w:eastAsia="宋体" w:cs="Arial"/>
          <w:i w:val="0"/>
          <w:iCs w:val="0"/>
          <w:caps w:val="0"/>
          <w:color w:val="222222"/>
          <w:spacing w:val="0"/>
          <w:sz w:val="21"/>
          <w:szCs w:val="21"/>
          <w:shd w:val="clear" w:fill="FFFFFF"/>
          <w:lang w:val="en-US" w:eastAsia="zh-CN"/>
        </w:rPr>
        <w:t>如图3，创业板指数最近领涨，创业板指涨1.87%。由资料可知，板块方面，</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"http://quote.eastmoney.com/unify/r/90.BK1033"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电池</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、航运、</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"http://quote.eastmoney.com/unify/r/90.BK0490"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军工</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等板块涨幅居前；染料、ST板块、</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"http://quote.eastmoney.com/unify/r/90.BK0740"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教育</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等板块跌幅居前。创业版指数最近涨跌维持在1905与1800之间，处于震荡模式。根据数据分析，</w:t>
      </w:r>
      <w:r>
        <w:rPr>
          <w:rFonts w:ascii="Arial" w:hAnsi="Arial" w:eastAsia="宋体" w:cs="Arial"/>
          <w:i w:val="0"/>
          <w:iCs w:val="0"/>
          <w:caps w:val="0"/>
          <w:color w:val="222222"/>
          <w:spacing w:val="0"/>
          <w:sz w:val="21"/>
          <w:szCs w:val="21"/>
          <w:shd w:val="clear" w:fill="FFFFFF"/>
        </w:rPr>
        <w:t>涨幅前五的行业分别是房地产服务3.26%、旅游酒店1.96%、电力行业1.77%、电网设备1.73%、保险1.3%</w:t>
      </w:r>
      <w:r>
        <w:rPr>
          <w:rFonts w:hint="eastAsia" w:ascii="Arial" w:hAnsi="Arial" w:eastAsia="宋体"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跌幅前五的行业分别是电池-2.94%、半导体-2.53%、医疗服务-2.4%、电子化学品-2.13%、消费电子-2.09%。</w:t>
      </w:r>
    </w:p>
    <w:p>
      <w:pPr>
        <w:jc w:val="center"/>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drawing>
          <wp:inline distT="0" distB="0" distL="114300" distR="114300">
            <wp:extent cx="3599815" cy="1800225"/>
            <wp:effectExtent l="0" t="0" r="12065" b="13335"/>
            <wp:docPr id="3" name="图片 3" descr="IMMV5SE6TK_B(UIRU~8~B28"/>
            <wp:cNvGraphicFramePr/>
            <a:graphic xmlns:a="http://schemas.openxmlformats.org/drawingml/2006/main">
              <a:graphicData uri="http://schemas.openxmlformats.org/drawingml/2006/picture">
                <pic:pic xmlns:pic="http://schemas.openxmlformats.org/drawingml/2006/picture">
                  <pic:nvPicPr>
                    <pic:cNvPr id="3" name="图片 3" descr="IMMV5SE6TK_B(UIRU~8~B28"/>
                    <pic:cNvPicPr/>
                  </pic:nvPicPr>
                  <pic:blipFill>
                    <a:blip r:embed="rId8"/>
                    <a:stretch>
                      <a:fillRect/>
                    </a:stretch>
                  </pic:blipFill>
                  <pic:spPr>
                    <a:xfrm>
                      <a:off x="0" y="0"/>
                      <a:ext cx="3599815" cy="1800225"/>
                    </a:xfrm>
                    <a:prstGeom prst="rect">
                      <a:avLst/>
                    </a:prstGeom>
                  </pic:spPr>
                </pic:pic>
              </a:graphicData>
            </a:graphic>
          </wp:inline>
        </w:drawing>
      </w:r>
    </w:p>
    <w:p>
      <w:pPr>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图3</w:t>
      </w:r>
    </w:p>
    <w:p>
      <w:pPr>
        <w:rPr>
          <w:rFonts w:hint="eastAsia" w:ascii="Arial" w:hAnsi="Arial" w:eastAsia="宋体" w:cs="Arial"/>
          <w:i w:val="0"/>
          <w:iCs w:val="0"/>
          <w:caps w:val="0"/>
          <w:color w:val="222222"/>
          <w:spacing w:val="0"/>
          <w:sz w:val="21"/>
          <w:szCs w:val="21"/>
          <w:shd w:val="clear" w:fill="FFFFFF"/>
          <w:lang w:val="en-US" w:eastAsia="zh-CN"/>
        </w:rPr>
      </w:pPr>
    </w:p>
    <w:p>
      <w:pPr>
        <w:ind w:firstLine="480" w:firstLineChars="200"/>
        <w:rPr>
          <w:rFonts w:hint="default"/>
          <w:lang w:val="en-US" w:eastAsia="zh-CN"/>
        </w:rPr>
      </w:pPr>
      <w:r>
        <w:rPr>
          <w:rFonts w:hint="eastAsia" w:ascii="黑体" w:hAnsi="宋体" w:eastAsia="黑体" w:cs="Times New Roman"/>
          <w:bCs/>
          <w:sz w:val="24"/>
          <w:lang w:val="en-US" w:eastAsia="zh-CN"/>
        </w:rPr>
        <w:t>二、个人选股分析</w:t>
      </w:r>
    </w:p>
    <w:p>
      <w:pPr>
        <w:ind w:firstLine="420" w:firstLineChars="200"/>
        <w:rPr>
          <w:rFonts w:hint="default"/>
          <w:lang w:val="en-US" w:eastAsia="zh-CN"/>
        </w:rPr>
      </w:pPr>
      <w:r>
        <w:rPr>
          <w:rFonts w:hint="eastAsia" w:ascii="宋体" w:hAnsi="宋体" w:eastAsia="宋体" w:cs="Times New Roman"/>
          <w:szCs w:val="21"/>
          <w:lang w:val="en-US" w:eastAsia="zh-CN"/>
        </w:rPr>
        <w:t>（一）3家看好股票</w:t>
      </w:r>
    </w:p>
    <w:p>
      <w:pPr>
        <w:ind w:firstLine="420" w:firstLineChars="200"/>
        <w:rPr>
          <w:rFonts w:hint="eastAsia"/>
          <w:lang w:val="en-US" w:eastAsia="zh-CN"/>
        </w:rPr>
      </w:pPr>
      <w:r>
        <w:rPr>
          <w:rFonts w:hint="eastAsia"/>
          <w:lang w:val="en-US" w:eastAsia="zh-CN"/>
        </w:rPr>
        <w:t>九号公司-WD</w:t>
      </w:r>
    </w:p>
    <w:p>
      <w:pPr>
        <w:ind w:firstLine="420" w:firstLineChars="200"/>
        <w:rPr>
          <w:rFonts w:hint="default"/>
          <w:b/>
          <w:bCs/>
          <w:lang w:val="en-US" w:eastAsia="zh-CN"/>
        </w:rPr>
      </w:pPr>
      <w:r>
        <w:rPr>
          <w:rFonts w:hint="eastAsia"/>
          <w:lang w:val="en-US" w:eastAsia="zh-CN"/>
        </w:rPr>
        <w:t>1、基本面分析：</w:t>
      </w:r>
    </w:p>
    <w:p>
      <w:pPr>
        <w:ind w:firstLine="422"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宏观面分析</w:t>
      </w:r>
      <w:r>
        <w:rPr>
          <w:rFonts w:hint="eastAsia" w:ascii="Arial" w:hAnsi="Arial" w:eastAsia="宋体" w:cs="Arial"/>
          <w:i w:val="0"/>
          <w:iCs w:val="0"/>
          <w:caps w:val="0"/>
          <w:color w:val="222222"/>
          <w:spacing w:val="0"/>
          <w:sz w:val="21"/>
          <w:szCs w:val="21"/>
          <w:shd w:val="clear" w:fill="FFFFFF"/>
          <w:lang w:val="en-US" w:eastAsia="zh-CN"/>
        </w:rPr>
        <w:t>：</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①公司近期发布的2024年第一季度业绩报告显示九号公司在短交通和机器人业务领域取得了令人瞩目的成绩，营收和净利润均实现了大幅增长。</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②九号公司的智能电动两轮车业务表现尤为突出，且海外市场需求的逐步回暖，以及电动两轮车市场的加速放量。</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③九号公司近几个月对股票进行回购，也释放出利好态势。</w:t>
      </w:r>
    </w:p>
    <w:p>
      <w:p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行业分析：</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①在电动滑板车、电动平衡车等优势业务领域在国际和国内处于稳健地位，其中自主品牌零售电动滑板车实现销量15.17万台，同比增长超20%，实现销售收入3.03亿元。</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②Navimow智能割草机器人公司Navimow智能割草机器人处于领先地位；且公司智能电动两轮车依旧在市场中非常受欢迎，实现销售收入11.9亿元，同比增长119%。</w:t>
      </w:r>
    </w:p>
    <w:p>
      <w:p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公司技术水平：</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①电池续航能力优势明显，九号电动远行者F2z和九号电动远航者Mz MIX，并同步推出被称为电动两轮车铅酸电池天花板的RideyPOWER智能铅酸系统，同体积铅酸电池续航提升15%，且储能寿命更长。</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机器人智能方面，公司全新升级的Navimow智能割草机器人i系列，在提升产品性能之际，进一步对无边界割草机器人的价格进行下探，有望持续拓宽目标客群，并进一步巩固了Navimow在家用无边界割草机器人领域的领先地位。</w:t>
      </w:r>
    </w:p>
    <w:p>
      <w:pPr>
        <w:ind w:firstLine="420" w:firstLineChars="200"/>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③产品注重挖掘用户体验，</w:t>
      </w:r>
      <w:r>
        <w:rPr>
          <w:rFonts w:hint="default" w:ascii="宋体" w:hAnsi="宋体" w:eastAsia="宋体" w:cs="Times New Roman"/>
          <w:kern w:val="2"/>
          <w:sz w:val="21"/>
          <w:szCs w:val="21"/>
          <w:lang w:val="en-US" w:eastAsia="zh-CN" w:bidi="ar-SA"/>
        </w:rPr>
        <w:t>公司新布局的E-bike（电动助力自行车），也有望凭借智能化优势带来的颠覆性骑行体验，于E-bike这个细分类目实现行业引领。</w:t>
      </w:r>
    </w:p>
    <w:p>
      <w:p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规模分析：</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①生产力方面：九号公司拥有三大工厂，每</w:t>
      </w:r>
      <w:r>
        <w:rPr>
          <w:rFonts w:hint="default" w:ascii="宋体" w:hAnsi="宋体" w:eastAsia="宋体" w:cs="Times New Roman"/>
          <w:kern w:val="2"/>
          <w:sz w:val="21"/>
          <w:szCs w:val="21"/>
          <w:lang w:val="en-US" w:eastAsia="zh-CN" w:bidi="ar-SA"/>
        </w:rPr>
        <w:t>36秒生产一辆车”，数智化工厂背后的科技硬实力</w:t>
      </w:r>
      <w:r>
        <w:rPr>
          <w:rFonts w:hint="eastAsia" w:ascii="宋体" w:hAnsi="宋体" w:eastAsia="宋体" w:cs="Times New Roman"/>
          <w:kern w:val="2"/>
          <w:sz w:val="21"/>
          <w:szCs w:val="21"/>
          <w:lang w:val="en-US" w:eastAsia="zh-CN" w:bidi="ar-SA"/>
        </w:rPr>
        <w:t>。</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②用户群体上，以都市白领、职场新人、年轻家庭等为代表的年轻人、中高收入群体为九号公司较大面积用户。</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③公司规模：九号公司在欧洲成立了自己的本地子公司并收购了身为全球平衡车鼻祖的Segway公司，向成为一个全球化的高科技消费品公司发展。</w:t>
      </w:r>
    </w:p>
    <w:p>
      <w:pPr>
        <w:ind w:firstLine="422" w:firstLineChars="200"/>
      </w:pPr>
      <w:r>
        <w:rPr>
          <w:rFonts w:hint="eastAsia" w:ascii="Arial" w:hAnsi="Arial" w:eastAsia="宋体" w:cs="Arial"/>
          <w:b/>
          <w:bCs/>
          <w:i w:val="0"/>
          <w:iCs w:val="0"/>
          <w:caps w:val="0"/>
          <w:color w:val="222222"/>
          <w:spacing w:val="0"/>
          <w:sz w:val="21"/>
          <w:szCs w:val="21"/>
          <w:shd w:val="clear" w:fill="FFFFFF"/>
          <w:lang w:val="en-US" w:eastAsia="zh-CN"/>
        </w:rPr>
        <w:t>财务分析：</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如图4，</w:t>
      </w:r>
      <w:r>
        <w:rPr>
          <w:rFonts w:hint="default" w:ascii="Arial" w:hAnsi="Arial" w:eastAsia="宋体" w:cs="Arial"/>
          <w:i w:val="0"/>
          <w:iCs w:val="0"/>
          <w:caps w:val="0"/>
          <w:color w:val="222222"/>
          <w:spacing w:val="0"/>
          <w:sz w:val="21"/>
          <w:szCs w:val="21"/>
          <w:shd w:val="clear" w:fill="FFFFFF"/>
          <w:lang w:val="en-US" w:eastAsia="zh-CN"/>
        </w:rPr>
        <w:t>盈利能力有所加强，本期回报股东能力有所提升</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成长能力明显改善，营利增速步入上升通道</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偿债能力维持稳定，财务杠杆风险加大</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运营能力明显改善，存货变现能力有所加强</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现金流能力明显改善，资金利用效率低下的现状被扭转</w:t>
      </w:r>
      <w:r>
        <w:rPr>
          <w:rFonts w:hint="eastAsia" w:ascii="Arial" w:hAnsi="Arial" w:eastAsia="宋体" w:cs="Arial"/>
          <w:i w:val="0"/>
          <w:iCs w:val="0"/>
          <w:caps w:val="0"/>
          <w:color w:val="222222"/>
          <w:spacing w:val="0"/>
          <w:sz w:val="21"/>
          <w:szCs w:val="21"/>
          <w:shd w:val="clear" w:fill="FFFFFF"/>
          <w:lang w:val="en-US" w:eastAsia="zh-CN"/>
        </w:rPr>
        <w:t>。相对同行业营利增速步入上升通道,但短期偿债能力偏弱。</w:t>
      </w:r>
    </w:p>
    <w:p>
      <w:pPr>
        <w:jc w:val="center"/>
        <w:rPr>
          <w:rFonts w:hint="eastAsia" w:ascii="Arial" w:hAnsi="Arial" w:eastAsia="宋体" w:cs="Arial"/>
          <w:i w:val="0"/>
          <w:iCs w:val="0"/>
          <w:caps w:val="0"/>
          <w:color w:val="222222"/>
          <w:spacing w:val="0"/>
          <w:sz w:val="21"/>
          <w:szCs w:val="21"/>
          <w:shd w:val="clear" w:fill="FFFFFF"/>
          <w:lang w:val="en-US" w:eastAsia="zh-CN"/>
        </w:rPr>
      </w:pPr>
      <w:r>
        <w:rPr>
          <w:rFonts w:ascii="宋体" w:hAnsi="宋体" w:eastAsia="宋体" w:cs="宋体"/>
          <w:kern w:val="0"/>
          <w:sz w:val="24"/>
          <w:szCs w:val="24"/>
          <w:lang w:val="en-US" w:eastAsia="zh-CN" w:bidi="ar"/>
        </w:rPr>
        <w:drawing>
          <wp:inline distT="0" distB="0" distL="114300" distR="114300">
            <wp:extent cx="3599815" cy="1800225"/>
            <wp:effectExtent l="0" t="0" r="12065" b="13335"/>
            <wp:docPr id="4" name="图片 2" descr="IMG_256"/>
            <wp:cNvGraphicFramePr/>
            <a:graphic xmlns:a="http://schemas.openxmlformats.org/drawingml/2006/main">
              <a:graphicData uri="http://schemas.openxmlformats.org/drawingml/2006/picture">
                <pic:pic xmlns:pic="http://schemas.openxmlformats.org/drawingml/2006/picture">
                  <pic:nvPicPr>
                    <pic:cNvPr id="4" name="图片 2" descr="IMG_256"/>
                    <pic:cNvPicPr/>
                  </pic:nvPicPr>
                  <pic:blipFill>
                    <a:blip r:embed="rId9"/>
                    <a:stretch>
                      <a:fillRect/>
                    </a:stretch>
                  </pic:blipFill>
                  <pic:spPr>
                    <a:xfrm>
                      <a:off x="0" y="0"/>
                      <a:ext cx="3599815" cy="1800225"/>
                    </a:xfrm>
                    <a:prstGeom prst="rect">
                      <a:avLst/>
                    </a:prstGeom>
                    <a:noFill/>
                    <a:ln w="9525">
                      <a:noFill/>
                    </a:ln>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图4</w:t>
      </w:r>
    </w:p>
    <w:p>
      <w:pPr>
        <w:ind w:firstLine="420" w:firstLineChars="200"/>
        <w:rPr>
          <w:rFonts w:hint="default"/>
          <w:lang w:val="en-US" w:eastAsia="zh-CN"/>
        </w:rPr>
      </w:pPr>
      <w:r>
        <w:rPr>
          <w:rFonts w:hint="eastAsia"/>
          <w:lang w:val="en-US" w:eastAsia="zh-CN"/>
        </w:rPr>
        <w:t>2、证券投资技术分析：</w:t>
      </w:r>
    </w:p>
    <w:p>
      <w:pPr>
        <w:ind w:firstLine="422" w:firstLineChars="200"/>
      </w:pPr>
      <w:r>
        <w:rPr>
          <w:rFonts w:hint="default"/>
          <w:b/>
          <w:bCs/>
          <w:lang w:val="en-US" w:eastAsia="zh-CN"/>
        </w:rPr>
        <w:t>K线图分析</w:t>
      </w:r>
      <w:r>
        <w:rPr>
          <w:rFonts w:hint="eastAsia"/>
          <w:b/>
          <w:bCs/>
          <w:lang w:val="en-US" w:eastAsia="zh-CN"/>
        </w:rPr>
        <w:t>：</w:t>
      </w:r>
    </w:p>
    <w:p>
      <w:pPr>
        <w:ind w:firstLine="420" w:firstLineChars="200"/>
        <w:rPr>
          <w:rFonts w:hint="eastAsia" w:ascii="Arial" w:hAnsi="Arial" w:cs="Arial"/>
          <w:i w:val="0"/>
          <w:iCs w:val="0"/>
          <w:caps w:val="0"/>
          <w:color w:val="333333"/>
          <w:spacing w:val="0"/>
          <w:kern w:val="0"/>
          <w:sz w:val="19"/>
          <w:szCs w:val="19"/>
          <w:lang w:val="en-US" w:eastAsia="zh-CN" w:bidi="ar"/>
        </w:rPr>
      </w:pPr>
      <w:r>
        <w:rPr>
          <w:rFonts w:hint="eastAsia" w:ascii="Arial" w:hAnsi="Arial" w:eastAsia="宋体" w:cs="Arial"/>
          <w:i w:val="0"/>
          <w:iCs w:val="0"/>
          <w:caps w:val="0"/>
          <w:color w:val="222222"/>
          <w:spacing w:val="0"/>
          <w:sz w:val="21"/>
          <w:szCs w:val="21"/>
          <w:shd w:val="clear" w:fill="FFFFFF"/>
          <w:lang w:val="en-US" w:eastAsia="zh-CN"/>
        </w:rPr>
        <w:t>①如图5，红色框K线特点：平均线的多头排列，典型性的均线多头排列，是一个较为普遍的高涨数据信号。投资人应当以持仓主导，尽量不要售出。</w:t>
      </w:r>
    </w:p>
    <w:p>
      <w:pPr>
        <w:jc w:val="center"/>
      </w:pPr>
      <w:r>
        <w:drawing>
          <wp:inline distT="0" distB="0" distL="114300" distR="114300">
            <wp:extent cx="1800225" cy="1080135"/>
            <wp:effectExtent l="0" t="0" r="13335" b="1905"/>
            <wp:docPr id="18" name="图片 7"/>
            <wp:cNvGraphicFramePr/>
            <a:graphic xmlns:a="http://schemas.openxmlformats.org/drawingml/2006/main">
              <a:graphicData uri="http://schemas.openxmlformats.org/drawingml/2006/picture">
                <pic:pic xmlns:pic="http://schemas.openxmlformats.org/drawingml/2006/picture">
                  <pic:nvPicPr>
                    <pic:cNvPr id="18" name="图片 7"/>
                    <pic:cNvPicPr/>
                  </pic:nvPicPr>
                  <pic:blipFill>
                    <a:blip r:embed="rId10"/>
                    <a:stretch>
                      <a:fillRect/>
                    </a:stretch>
                  </pic:blipFill>
                  <pic:spPr>
                    <a:xfrm>
                      <a:off x="0" y="0"/>
                      <a:ext cx="1800225" cy="1080135"/>
                    </a:xfrm>
                    <a:prstGeom prst="rect">
                      <a:avLst/>
                    </a:prstGeom>
                    <a:noFill/>
                    <a:ln>
                      <a:noFill/>
                    </a:ln>
                  </pic:spPr>
                </pic:pic>
              </a:graphicData>
            </a:graphic>
          </wp:inline>
        </w:drawing>
      </w:r>
    </w:p>
    <w:p>
      <w:pPr>
        <w:jc w:val="center"/>
        <w:rPr>
          <w:rFonts w:hint="eastAsia" w:ascii="Arial" w:hAnsi="Arial" w:cs="Arial"/>
          <w:i w:val="0"/>
          <w:iCs w:val="0"/>
          <w:caps w:val="0"/>
          <w:color w:val="333333"/>
          <w:spacing w:val="0"/>
          <w:kern w:val="0"/>
          <w:sz w:val="19"/>
          <w:szCs w:val="19"/>
          <w:lang w:val="en-US" w:eastAsia="zh-CN" w:bidi="ar"/>
        </w:rPr>
      </w:pPr>
      <w:r>
        <w:rPr>
          <w:rFonts w:hint="eastAsia"/>
          <w:lang w:val="en-US" w:eastAsia="zh-CN"/>
        </w:rPr>
        <w:t>图5</w:t>
      </w:r>
    </w:p>
    <w:p>
      <w:pPr>
        <w:ind w:firstLine="422" w:firstLineChars="200"/>
        <w:rPr>
          <w:rFonts w:hint="eastAsia"/>
          <w:b/>
          <w:bCs/>
          <w:lang w:val="en-US" w:eastAsia="zh-CN"/>
        </w:rPr>
      </w:pPr>
      <w:r>
        <w:rPr>
          <w:rFonts w:hint="default"/>
          <w:b/>
          <w:bCs/>
          <w:lang w:val="en-US" w:eastAsia="zh-CN"/>
        </w:rPr>
        <w:t>形态分析</w:t>
      </w:r>
      <w:r>
        <w:rPr>
          <w:rFonts w:hint="eastAsia"/>
          <w:b/>
          <w:bCs/>
          <w:lang w:val="en-US" w:eastAsia="zh-CN"/>
        </w:rPr>
        <w:t>：</w:t>
      </w:r>
    </w:p>
    <w:p>
      <w:pPr>
        <w:ind w:firstLine="420" w:firstLineChars="200"/>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①如图6，MACD分析：红柱状开始缩小，股票上涨便缓或可能进入调整期，股价将出现波动，这时可卖出大部分该股票而应减少买入股票； </w:t>
      </w:r>
      <w:r>
        <w:rPr>
          <w:rFonts w:hint="default" w:ascii="Arial" w:hAnsi="Arial" w:eastAsia="宋体" w:cs="Arial"/>
          <w:i w:val="0"/>
          <w:iCs w:val="0"/>
          <w:caps w:val="0"/>
          <w:color w:val="222222"/>
          <w:spacing w:val="0"/>
          <w:sz w:val="21"/>
          <w:szCs w:val="21"/>
          <w:shd w:val="clear" w:fill="FFFFFF"/>
          <w:lang w:val="en-US" w:eastAsia="zh-CN"/>
        </w:rPr>
        <w:t>DIF和DEA均大于0并向上移动时，股市处于多头行情中，可以</w:t>
      </w:r>
      <w:r>
        <w:rPr>
          <w:rFonts w:hint="eastAsia" w:ascii="Arial" w:hAnsi="Arial" w:eastAsia="宋体" w:cs="Arial"/>
          <w:i w:val="0"/>
          <w:iCs w:val="0"/>
          <w:caps w:val="0"/>
          <w:color w:val="222222"/>
          <w:spacing w:val="0"/>
          <w:sz w:val="21"/>
          <w:szCs w:val="21"/>
          <w:shd w:val="clear" w:fill="FFFFFF"/>
          <w:lang w:val="en-US" w:eastAsia="zh-CN"/>
        </w:rPr>
        <w:t>继续</w:t>
      </w:r>
      <w:r>
        <w:rPr>
          <w:rFonts w:hint="default" w:ascii="Arial" w:hAnsi="Arial" w:eastAsia="宋体" w:cs="Arial"/>
          <w:i w:val="0"/>
          <w:iCs w:val="0"/>
          <w:caps w:val="0"/>
          <w:color w:val="222222"/>
          <w:spacing w:val="0"/>
          <w:sz w:val="21"/>
          <w:szCs w:val="21"/>
          <w:shd w:val="clear" w:fill="FFFFFF"/>
          <w:lang w:val="en-US" w:eastAsia="zh-CN"/>
        </w:rPr>
        <w:t>持股。</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②如图7，BOLL线分析：布林线的上、中、下轨线同时向上运行，表明价格强势特征非常明显，价格短期内将继续上涨，投资者应坚决持有待涨或逢低买入。</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③如图8，压力线分析：该股票的跌的价格可能向在黄色压力线靠近，可能突破压力线而后回落，投资者可继续持有待涨而卖出。</w:t>
      </w:r>
    </w:p>
    <w:p>
      <w:pPr>
        <w:ind w:firstLine="380" w:firstLineChars="200"/>
        <w:jc w:val="center"/>
        <w:rPr>
          <w:rFonts w:hint="eastAsia" w:ascii="Arial" w:hAnsi="Arial" w:cs="Arial"/>
          <w:i w:val="0"/>
          <w:iCs w:val="0"/>
          <w:caps w:val="0"/>
          <w:color w:val="333333"/>
          <w:spacing w:val="0"/>
          <w:kern w:val="0"/>
          <w:sz w:val="19"/>
          <w:szCs w:val="19"/>
          <w:lang w:val="en-US" w:eastAsia="zh-CN" w:bidi="ar"/>
        </w:rPr>
      </w:pPr>
      <w:r>
        <w:rPr>
          <w:rFonts w:hint="eastAsia" w:ascii="Arial" w:hAnsi="Arial" w:cs="Arial"/>
          <w:i w:val="0"/>
          <w:iCs w:val="0"/>
          <w:caps w:val="0"/>
          <w:color w:val="333333"/>
          <w:spacing w:val="0"/>
          <w:kern w:val="0"/>
          <w:sz w:val="19"/>
          <w:szCs w:val="19"/>
          <w:lang w:val="en-US" w:eastAsia="zh-CN" w:bidi="ar"/>
        </w:rPr>
        <w:drawing>
          <wp:inline distT="0" distB="0" distL="114300" distR="114300">
            <wp:extent cx="3599815" cy="1800225"/>
            <wp:effectExtent l="0" t="0" r="12065" b="13335"/>
            <wp:docPr id="19" name="图片 19" descr="1715431942785(1)"/>
            <wp:cNvGraphicFramePr/>
            <a:graphic xmlns:a="http://schemas.openxmlformats.org/drawingml/2006/main">
              <a:graphicData uri="http://schemas.openxmlformats.org/drawingml/2006/picture">
                <pic:pic xmlns:pic="http://schemas.openxmlformats.org/drawingml/2006/picture">
                  <pic:nvPicPr>
                    <pic:cNvPr id="19" name="图片 19" descr="1715431942785(1)"/>
                    <pic:cNvPicPr/>
                  </pic:nvPicPr>
                  <pic:blipFill>
                    <a:blip r:embed="rId11"/>
                    <a:stretch>
                      <a:fillRect/>
                    </a:stretch>
                  </pic:blipFill>
                  <pic:spPr>
                    <a:xfrm>
                      <a:off x="0" y="0"/>
                      <a:ext cx="3599815" cy="180022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图6</w:t>
      </w:r>
    </w:p>
    <w:p>
      <w:pPr>
        <w:ind w:firstLine="380" w:firstLineChars="200"/>
        <w:jc w:val="center"/>
        <w:rPr>
          <w:rFonts w:hint="eastAsia" w:ascii="Arial" w:hAnsi="Arial" w:cs="Arial"/>
          <w:i w:val="0"/>
          <w:iCs w:val="0"/>
          <w:caps w:val="0"/>
          <w:color w:val="333333"/>
          <w:spacing w:val="0"/>
          <w:kern w:val="0"/>
          <w:sz w:val="19"/>
          <w:szCs w:val="19"/>
          <w:lang w:val="en-US" w:eastAsia="zh-CN" w:bidi="ar"/>
        </w:rPr>
      </w:pPr>
      <w:r>
        <w:rPr>
          <w:rFonts w:hint="eastAsia" w:ascii="Arial" w:hAnsi="Arial" w:cs="Arial"/>
          <w:i w:val="0"/>
          <w:iCs w:val="0"/>
          <w:caps w:val="0"/>
          <w:color w:val="333333"/>
          <w:spacing w:val="0"/>
          <w:kern w:val="0"/>
          <w:sz w:val="19"/>
          <w:szCs w:val="19"/>
          <w:lang w:val="en-US" w:eastAsia="zh-CN" w:bidi="ar"/>
        </w:rPr>
        <w:drawing>
          <wp:inline distT="0" distB="0" distL="114300" distR="114300">
            <wp:extent cx="3599815" cy="1800225"/>
            <wp:effectExtent l="0" t="0" r="12065" b="13335"/>
            <wp:docPr id="23" name="图片 23" descr="1715433376516"/>
            <wp:cNvGraphicFramePr/>
            <a:graphic xmlns:a="http://schemas.openxmlformats.org/drawingml/2006/main">
              <a:graphicData uri="http://schemas.openxmlformats.org/drawingml/2006/picture">
                <pic:pic xmlns:pic="http://schemas.openxmlformats.org/drawingml/2006/picture">
                  <pic:nvPicPr>
                    <pic:cNvPr id="23" name="图片 23" descr="1715433376516"/>
                    <pic:cNvPicPr/>
                  </pic:nvPicPr>
                  <pic:blipFill>
                    <a:blip r:embed="rId12"/>
                    <a:stretch>
                      <a:fillRect/>
                    </a:stretch>
                  </pic:blipFill>
                  <pic:spPr>
                    <a:xfrm>
                      <a:off x="0" y="0"/>
                      <a:ext cx="3599815" cy="180022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图7</w:t>
      </w:r>
    </w:p>
    <w:p>
      <w:pPr>
        <w:ind w:firstLine="380" w:firstLineChars="200"/>
        <w:jc w:val="center"/>
        <w:rPr>
          <w:rFonts w:hint="eastAsia" w:ascii="Arial" w:hAnsi="Arial" w:cs="Arial"/>
          <w:i w:val="0"/>
          <w:iCs w:val="0"/>
          <w:caps w:val="0"/>
          <w:color w:val="333333"/>
          <w:spacing w:val="0"/>
          <w:kern w:val="0"/>
          <w:sz w:val="19"/>
          <w:szCs w:val="19"/>
          <w:lang w:val="en-US" w:eastAsia="zh-CN" w:bidi="ar"/>
        </w:rPr>
      </w:pPr>
      <w:r>
        <w:rPr>
          <w:rFonts w:hint="eastAsia" w:ascii="Arial" w:hAnsi="Arial" w:cs="Arial"/>
          <w:i w:val="0"/>
          <w:iCs w:val="0"/>
          <w:caps w:val="0"/>
          <w:color w:val="333333"/>
          <w:spacing w:val="0"/>
          <w:kern w:val="0"/>
          <w:sz w:val="19"/>
          <w:szCs w:val="19"/>
          <w:lang w:val="en-US" w:eastAsia="zh-CN" w:bidi="ar"/>
        </w:rPr>
        <w:drawing>
          <wp:inline distT="0" distB="0" distL="114300" distR="114300">
            <wp:extent cx="1800225" cy="1080135"/>
            <wp:effectExtent l="0" t="0" r="13335" b="1905"/>
            <wp:docPr id="24" name="图片 24" descr="1715433529484(1)"/>
            <wp:cNvGraphicFramePr/>
            <a:graphic xmlns:a="http://schemas.openxmlformats.org/drawingml/2006/main">
              <a:graphicData uri="http://schemas.openxmlformats.org/drawingml/2006/picture">
                <pic:pic xmlns:pic="http://schemas.openxmlformats.org/drawingml/2006/picture">
                  <pic:nvPicPr>
                    <pic:cNvPr id="24" name="图片 24" descr="1715433529484(1)"/>
                    <pic:cNvPicPr/>
                  </pic:nvPicPr>
                  <pic:blipFill>
                    <a:blip r:embed="rId13"/>
                    <a:stretch>
                      <a:fillRect/>
                    </a:stretch>
                  </pic:blipFill>
                  <pic:spPr>
                    <a:xfrm>
                      <a:off x="0" y="0"/>
                      <a:ext cx="1800225" cy="108013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图8</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海康威视：</w:t>
      </w:r>
    </w:p>
    <w:p>
      <w:pPr>
        <w:numPr>
          <w:ilvl w:val="0"/>
          <w:numId w:val="0"/>
        </w:num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kern w:val="2"/>
          <w:sz w:val="21"/>
          <w:szCs w:val="21"/>
          <w:shd w:val="clear" w:fill="FFFFFF"/>
          <w:lang w:val="en-US" w:eastAsia="zh-CN" w:bidi="ar-SA"/>
        </w:rPr>
        <w:t>1、</w:t>
      </w:r>
      <w:r>
        <w:rPr>
          <w:rFonts w:hint="eastAsia" w:ascii="Arial" w:hAnsi="Arial" w:eastAsia="宋体" w:cs="Arial"/>
          <w:i w:val="0"/>
          <w:iCs w:val="0"/>
          <w:caps w:val="0"/>
          <w:color w:val="222222"/>
          <w:spacing w:val="0"/>
          <w:sz w:val="21"/>
          <w:szCs w:val="21"/>
          <w:shd w:val="clear" w:fill="FFFFFF"/>
          <w:lang w:val="en-US" w:eastAsia="zh-CN"/>
        </w:rPr>
        <w:t>基本面分析</w:t>
      </w:r>
    </w:p>
    <w:p>
      <w:pPr>
        <w:numPr>
          <w:numId w:val="0"/>
        </w:numPr>
        <w:ind w:firstLine="422" w:firstLineChars="200"/>
        <w:rPr>
          <w:rFonts w:hint="default"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宏观面分析:</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①大事记：2022年，受新冠疫情反复影响，国内G端与B端支出同时面临压力，C端消费能力亦受影响，海康威视国内三大BG营收均出现同比下滑，陷入两年至暗时刻。</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②开展方案解决个性化和碎片化的业务虽然能够增利，其规模效应的弱化，不利于其提高收入。</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③除了研发技术人员之外，海康威视销售以及生产人员总体是呈现下行趋势，公司应该已经认识到了“降本增效”的重要性。</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④受宏观经济影响，海康威视的中小企业群体正在减小。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2" w:firstLineChars="200"/>
        <w:rPr>
          <w:rFonts w:hint="eastAsia" w:ascii="Arial" w:hAnsi="Arial" w:eastAsia="宋体" w:cs="Arial"/>
          <w:b/>
          <w:bCs/>
          <w:i w:val="0"/>
          <w:iCs w:val="0"/>
          <w:caps w:val="0"/>
          <w:color w:val="000000"/>
          <w:spacing w:val="0"/>
          <w:sz w:val="21"/>
          <w:szCs w:val="21"/>
          <w:shd w:val="clear" w:fill="FFFFFF"/>
          <w:lang w:val="en-US" w:eastAsia="zh-CN"/>
        </w:rPr>
      </w:pPr>
      <w:r>
        <w:rPr>
          <w:rFonts w:hint="eastAsia" w:ascii="Arial" w:hAnsi="Arial" w:eastAsia="宋体" w:cs="Arial"/>
          <w:b/>
          <w:bCs/>
          <w:i w:val="0"/>
          <w:iCs w:val="0"/>
          <w:caps w:val="0"/>
          <w:color w:val="000000"/>
          <w:spacing w:val="0"/>
          <w:sz w:val="21"/>
          <w:szCs w:val="21"/>
          <w:shd w:val="clear" w:fill="FFFFFF"/>
          <w:lang w:val="en-US" w:eastAsia="zh-CN"/>
        </w:rPr>
        <w:t>行业分析：</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①海康威视依然是</w:t>
      </w:r>
      <w:r>
        <w:rPr>
          <w:rFonts w:hint="default" w:ascii="Arial" w:hAnsi="Arial" w:eastAsia="宋体" w:cs="Arial"/>
          <w:i w:val="0"/>
          <w:iCs w:val="0"/>
          <w:caps w:val="0"/>
          <w:color w:val="222222"/>
          <w:spacing w:val="0"/>
          <w:sz w:val="21"/>
          <w:szCs w:val="21"/>
          <w:shd w:val="clear" w:fill="FFFFFF"/>
          <w:lang w:val="en-US" w:eastAsia="zh-CN"/>
        </w:rPr>
        <w:t>中国“安防龙头”</w:t>
      </w:r>
      <w:r>
        <w:rPr>
          <w:rFonts w:hint="eastAsia" w:ascii="Arial" w:hAnsi="Arial" w:eastAsia="宋体" w:cs="Arial"/>
          <w:i w:val="0"/>
          <w:iCs w:val="0"/>
          <w:caps w:val="0"/>
          <w:color w:val="222222"/>
          <w:spacing w:val="0"/>
          <w:sz w:val="21"/>
          <w:szCs w:val="21"/>
          <w:shd w:val="clear" w:fill="FFFFFF"/>
          <w:lang w:val="en-US" w:eastAsia="zh-CN"/>
        </w:rPr>
        <w:t>，在海外市场也夺取较优势的竞争地位。</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②在安防领域中，海康威视与中小企业的竞争激烈，销售虽有增加，但其利润也在减少，科技赋能带动海康威视向</w:t>
      </w:r>
      <w:r>
        <w:rPr>
          <w:rFonts w:hint="default" w:ascii="Arial" w:hAnsi="Arial" w:eastAsia="宋体" w:cs="Arial"/>
          <w:i w:val="0"/>
          <w:iCs w:val="0"/>
          <w:caps w:val="0"/>
          <w:color w:val="222222"/>
          <w:spacing w:val="0"/>
          <w:sz w:val="21"/>
          <w:szCs w:val="21"/>
          <w:shd w:val="clear" w:fill="FFFFFF"/>
          <w:lang w:val="en-US" w:eastAsia="zh-CN"/>
        </w:rPr>
        <w:t>转型智能物联 AIoT</w:t>
      </w:r>
      <w:r>
        <w:rPr>
          <w:rFonts w:hint="eastAsia" w:ascii="Arial" w:hAnsi="Arial" w:eastAsia="宋体" w:cs="Arial"/>
          <w:i w:val="0"/>
          <w:iCs w:val="0"/>
          <w:caps w:val="0"/>
          <w:color w:val="222222"/>
          <w:spacing w:val="0"/>
          <w:sz w:val="21"/>
          <w:szCs w:val="21"/>
          <w:shd w:val="clear" w:fill="FFFFFF"/>
          <w:lang w:val="en-US" w:eastAsia="zh-CN"/>
        </w:rPr>
        <w:t>转型。</w:t>
      </w:r>
    </w:p>
    <w:p>
      <w:pPr>
        <w:ind w:firstLine="422" w:firstLineChars="200"/>
        <w:rPr>
          <w:rFonts w:hint="eastAsia" w:ascii="Arial" w:hAnsi="Arial" w:cs="Arial"/>
          <w:b/>
          <w:bCs/>
          <w:i w:val="0"/>
          <w:iCs w:val="0"/>
          <w:caps w:val="0"/>
          <w:color w:val="000000"/>
          <w:spacing w:val="0"/>
          <w:kern w:val="2"/>
          <w:sz w:val="21"/>
          <w:szCs w:val="21"/>
          <w:shd w:val="clear" w:fill="FFFFFF"/>
          <w:lang w:val="en-US" w:eastAsia="zh-CN" w:bidi="ar-SA"/>
        </w:rPr>
      </w:pPr>
      <w:r>
        <w:rPr>
          <w:rFonts w:hint="eastAsia" w:ascii="Arial" w:hAnsi="Arial" w:cs="Arial"/>
          <w:b/>
          <w:bCs/>
          <w:i w:val="0"/>
          <w:iCs w:val="0"/>
          <w:caps w:val="0"/>
          <w:color w:val="000000"/>
          <w:spacing w:val="0"/>
          <w:kern w:val="2"/>
          <w:sz w:val="21"/>
          <w:szCs w:val="21"/>
          <w:shd w:val="clear" w:fill="FFFFFF"/>
          <w:lang w:val="en-US" w:eastAsia="zh-CN" w:bidi="ar-SA"/>
        </w:rPr>
        <w:t>公司技术水平分析：</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①海康威视在安防技术方面具有领先水平。在视频监控技术、人工智能应用、大数据分析和物联网技术保持了在行业内的技术领先地位。</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②视频监控技术、人工智能运用、大数据分析、云计算与物联网和生物识别技术等方面都进行领域深耕。</w:t>
      </w:r>
    </w:p>
    <w:p>
      <w:pPr>
        <w:ind w:firstLine="422" w:firstLineChars="200"/>
        <w:rPr>
          <w:rFonts w:hint="eastAsia" w:ascii="Arial" w:hAnsi="Arial" w:eastAsia="宋体" w:cs="Arial"/>
          <w:b/>
          <w:bCs/>
          <w:i w:val="0"/>
          <w:iCs w:val="0"/>
          <w:caps w:val="0"/>
          <w:color w:val="000000"/>
          <w:spacing w:val="0"/>
          <w:kern w:val="2"/>
          <w:sz w:val="21"/>
          <w:szCs w:val="21"/>
          <w:shd w:val="clear" w:fill="FFFFFF"/>
          <w:lang w:val="en-US" w:eastAsia="zh-CN" w:bidi="ar-SA"/>
        </w:rPr>
      </w:pPr>
      <w:r>
        <w:rPr>
          <w:rFonts w:hint="eastAsia" w:ascii="Arial" w:hAnsi="Arial" w:eastAsia="宋体" w:cs="Arial"/>
          <w:b/>
          <w:bCs/>
          <w:i w:val="0"/>
          <w:iCs w:val="0"/>
          <w:caps w:val="0"/>
          <w:color w:val="000000"/>
          <w:spacing w:val="0"/>
          <w:kern w:val="2"/>
          <w:sz w:val="21"/>
          <w:szCs w:val="21"/>
          <w:shd w:val="clear" w:fill="FFFFFF"/>
          <w:lang w:val="en-US" w:eastAsia="zh-CN" w:bidi="ar-SA"/>
        </w:rPr>
        <w:t>规模分析：</w:t>
      </w:r>
    </w:p>
    <w:p>
      <w:pPr>
        <w:ind w:firstLine="420" w:firstLineChars="200"/>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①员工规模</w:t>
      </w:r>
      <w:r>
        <w:rPr>
          <w:rFonts w:hint="default" w:ascii="Arial" w:hAnsi="Arial" w:eastAsia="宋体" w:cs="Arial"/>
          <w:i w:val="0"/>
          <w:iCs w:val="0"/>
          <w:caps w:val="0"/>
          <w:color w:val="222222"/>
          <w:spacing w:val="0"/>
          <w:sz w:val="21"/>
          <w:szCs w:val="21"/>
          <w:shd w:val="clear" w:fill="FFFFFF"/>
          <w:lang w:val="en-US" w:eastAsia="zh-CN"/>
        </w:rPr>
        <w:t>: 海康威视拥有庞大的员工团队，涵盖了研发、生产、销售、客户服务等多个领域。</w:t>
      </w:r>
    </w:p>
    <w:p>
      <w:pPr>
        <w:ind w:firstLine="420" w:firstLineChars="200"/>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②研发投入</w:t>
      </w:r>
      <w:r>
        <w:rPr>
          <w:rFonts w:hint="default" w:ascii="Arial" w:hAnsi="Arial" w:eastAsia="宋体" w:cs="Arial"/>
          <w:i w:val="0"/>
          <w:iCs w:val="0"/>
          <w:caps w:val="0"/>
          <w:color w:val="222222"/>
          <w:spacing w:val="0"/>
          <w:sz w:val="21"/>
          <w:szCs w:val="21"/>
          <w:shd w:val="clear" w:fill="FFFFFF"/>
          <w:lang w:val="en-US" w:eastAsia="zh-CN"/>
        </w:rPr>
        <w:t>: 海康威视在研发方面的投入非常巨大，拥有一支强大的研发团队和先进的研发设施。</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③生产基地</w:t>
      </w:r>
      <w:r>
        <w:rPr>
          <w:rFonts w:hint="default" w:ascii="Arial" w:hAnsi="Arial" w:eastAsia="宋体" w:cs="Arial"/>
          <w:i w:val="0"/>
          <w:iCs w:val="0"/>
          <w:caps w:val="0"/>
          <w:color w:val="222222"/>
          <w:spacing w:val="0"/>
          <w:sz w:val="21"/>
          <w:szCs w:val="21"/>
          <w:shd w:val="clear" w:fill="FFFFFF"/>
          <w:lang w:val="en-US" w:eastAsia="zh-CN"/>
        </w:rPr>
        <w:t>:</w:t>
      </w:r>
      <w:r>
        <w:rPr>
          <w:rFonts w:hint="eastAsia" w:ascii="Arial" w:hAnsi="Arial" w:eastAsia="宋体" w:cs="Arial"/>
          <w:i w:val="0"/>
          <w:iCs w:val="0"/>
          <w:caps w:val="0"/>
          <w:color w:val="222222"/>
          <w:spacing w:val="0"/>
          <w:sz w:val="21"/>
          <w:szCs w:val="21"/>
          <w:shd w:val="clear" w:fill="FFFFFF"/>
          <w:lang w:val="en-US" w:eastAsia="zh-CN"/>
        </w:rPr>
        <w:t>海康威视在全球范围内建立了多个生产基地和研发中心，拥有先进的生产设备和技术工艺。</w:t>
      </w:r>
    </w:p>
    <w:p>
      <w:pPr>
        <w:ind w:firstLine="420" w:firstLineChars="200"/>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④全球业务布局</w:t>
      </w:r>
      <w:r>
        <w:rPr>
          <w:rFonts w:hint="default" w:ascii="Arial" w:hAnsi="Arial" w:eastAsia="宋体" w:cs="Arial"/>
          <w:i w:val="0"/>
          <w:iCs w:val="0"/>
          <w:caps w:val="0"/>
          <w:color w:val="222222"/>
          <w:spacing w:val="0"/>
          <w:sz w:val="21"/>
          <w:szCs w:val="21"/>
          <w:shd w:val="clear" w:fill="FFFFFF"/>
          <w:lang w:val="en-US" w:eastAsia="zh-CN"/>
        </w:rPr>
        <w:t>: 海康威视在全球范围内拥有广泛的业务布局，覆盖了多个国家和地区。</w:t>
      </w:r>
    </w:p>
    <w:p>
      <w:pPr>
        <w:ind w:firstLine="422" w:firstLineChars="200"/>
        <w:rPr>
          <w:rFonts w:ascii="宋体" w:hAnsi="宋体" w:eastAsia="宋体" w:cs="宋体"/>
          <w:kern w:val="0"/>
          <w:sz w:val="24"/>
          <w:szCs w:val="24"/>
          <w:lang w:val="en-US" w:eastAsia="zh-CN" w:bidi="ar"/>
        </w:rPr>
      </w:pPr>
      <w:r>
        <w:rPr>
          <w:rFonts w:hint="eastAsia" w:ascii="Arial" w:hAnsi="Arial" w:eastAsia="宋体" w:cs="Arial"/>
          <w:b/>
          <w:bCs/>
          <w:i w:val="0"/>
          <w:iCs w:val="0"/>
          <w:caps w:val="0"/>
          <w:color w:val="000000"/>
          <w:spacing w:val="0"/>
          <w:kern w:val="2"/>
          <w:sz w:val="21"/>
          <w:szCs w:val="21"/>
          <w:shd w:val="clear" w:fill="FFFFFF"/>
          <w:lang w:val="en-US" w:eastAsia="zh-CN" w:bidi="ar-SA"/>
        </w:rPr>
        <w:t>财务分析：</w:t>
      </w:r>
    </w:p>
    <w:p>
      <w:pPr>
        <w:keepNext w:val="0"/>
        <w:keepLines w:val="0"/>
        <w:widowControl/>
        <w:suppressLineNumbers w:val="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ab/>
      </w:r>
      <w:r>
        <w:rPr>
          <w:rFonts w:hint="eastAsia" w:ascii="Arial" w:hAnsi="Arial" w:eastAsia="宋体" w:cs="Arial"/>
          <w:i w:val="0"/>
          <w:iCs w:val="0"/>
          <w:caps w:val="0"/>
          <w:color w:val="222222"/>
          <w:spacing w:val="0"/>
          <w:sz w:val="21"/>
          <w:szCs w:val="21"/>
          <w:shd w:val="clear" w:fill="FFFFFF"/>
          <w:lang w:val="en-US" w:eastAsia="zh-CN"/>
        </w:rPr>
        <w:t>盈利能力维持稳定，主营获利能力保持稳定；成长能力有所加强，营收增长率重拾升势；偿债能力维持稳定，负债资产占比维持稳定；运营能力维持稳定，应收账款周转速度需加快；现金流能力有所加强，对外投资目标易于实现。</w:t>
      </w:r>
      <w:r>
        <w:rPr>
          <w:rFonts w:hint="default" w:ascii="Arial" w:hAnsi="Arial" w:eastAsia="宋体" w:cs="Arial"/>
          <w:i w:val="0"/>
          <w:iCs w:val="0"/>
          <w:caps w:val="0"/>
          <w:color w:val="222222"/>
          <w:spacing w:val="0"/>
          <w:sz w:val="21"/>
          <w:szCs w:val="21"/>
          <w:shd w:val="clear" w:fill="FFFFFF"/>
          <w:lang w:val="en-US" w:eastAsia="zh-CN"/>
        </w:rPr>
        <w:t>相对同行业主营业务利润贡献略有提升,但销售</w:t>
      </w:r>
      <w:r>
        <w:rPr>
          <w:rFonts w:hint="eastAsia" w:ascii="Arial" w:hAnsi="Arial" w:eastAsia="宋体" w:cs="Arial"/>
          <w:i w:val="0"/>
          <w:iCs w:val="0"/>
          <w:caps w:val="0"/>
          <w:color w:val="222222"/>
          <w:spacing w:val="0"/>
          <w:sz w:val="21"/>
          <w:szCs w:val="21"/>
          <w:shd w:val="clear" w:fill="FFFFFF"/>
          <w:lang w:val="en-US" w:eastAsia="zh-CN"/>
        </w:rPr>
        <w:t>回款</w:t>
      </w:r>
      <w:r>
        <w:rPr>
          <w:rFonts w:hint="default" w:ascii="Arial" w:hAnsi="Arial" w:eastAsia="宋体" w:cs="Arial"/>
          <w:i w:val="0"/>
          <w:iCs w:val="0"/>
          <w:caps w:val="0"/>
          <w:color w:val="222222"/>
          <w:spacing w:val="0"/>
          <w:sz w:val="21"/>
          <w:szCs w:val="21"/>
          <w:shd w:val="clear" w:fill="FFFFFF"/>
          <w:lang w:val="en-US" w:eastAsia="zh-CN"/>
        </w:rPr>
        <w:t>力进一步减弱。</w:t>
      </w:r>
    </w:p>
    <w:p>
      <w:pPr>
        <w:keepNext w:val="0"/>
        <w:keepLines w:val="0"/>
        <w:widowControl/>
        <w:suppressLineNumbers w:val="0"/>
        <w:ind w:firstLine="420" w:firstLineChars="200"/>
        <w:jc w:val="left"/>
        <w:rPr>
          <w:rFonts w:hint="default" w:ascii="Arial" w:hAnsi="Arial" w:eastAsia="宋体" w:cs="Arial"/>
          <w:b w:val="0"/>
          <w:bCs w:val="0"/>
          <w:i w:val="0"/>
          <w:iCs w:val="0"/>
          <w:caps w:val="0"/>
          <w:color w:val="000000"/>
          <w:spacing w:val="0"/>
          <w:kern w:val="2"/>
          <w:sz w:val="21"/>
          <w:szCs w:val="21"/>
          <w:shd w:val="clear" w:fill="FFFFFF"/>
          <w:lang w:val="en-US" w:eastAsia="zh-CN" w:bidi="ar-SA"/>
        </w:rPr>
      </w:pPr>
      <w:r>
        <w:rPr>
          <w:rFonts w:hint="eastAsia" w:ascii="Arial" w:hAnsi="Arial" w:eastAsia="宋体" w:cs="Arial"/>
          <w:b w:val="0"/>
          <w:bCs w:val="0"/>
          <w:i w:val="0"/>
          <w:iCs w:val="0"/>
          <w:caps w:val="0"/>
          <w:color w:val="000000"/>
          <w:spacing w:val="0"/>
          <w:kern w:val="2"/>
          <w:sz w:val="21"/>
          <w:szCs w:val="21"/>
          <w:shd w:val="clear" w:fill="FFFFFF"/>
          <w:lang w:val="en-US" w:eastAsia="zh-CN" w:bidi="ar-SA"/>
        </w:rPr>
        <w:t>2、证券投资技术分析：</w:t>
      </w:r>
    </w:p>
    <w:p>
      <w:pPr>
        <w:ind w:firstLine="422" w:firstLineChars="200"/>
        <w:rPr>
          <w:rFonts w:hint="eastAsia"/>
          <w:b/>
          <w:bCs/>
          <w:lang w:val="en-US" w:eastAsia="zh-CN"/>
        </w:rPr>
      </w:pPr>
      <w:r>
        <w:rPr>
          <w:rFonts w:hint="default"/>
          <w:b/>
          <w:bCs/>
          <w:lang w:val="en-US" w:eastAsia="zh-CN"/>
        </w:rPr>
        <w:t>K线图分析</w:t>
      </w:r>
      <w:r>
        <w:rPr>
          <w:rFonts w:hint="eastAsia"/>
          <w:b/>
          <w:bCs/>
          <w:lang w:val="en-US" w:eastAsia="zh-CN"/>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如图9所示</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①红色框K线特点：平均线的多头排列，典型性的均线多头排列。一般来说，不论是股票還是大盘，是一个较为普遍的高涨数据信号。投资人应当以持仓主导，尽量不要售出。</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②黄色框中K线：为均线空头排列，移动平均线另外呈弧形降低，这只股已进到了下挫周期时间，行情趋弱，从图中可知其大幅的下挫，可售出手上的个股或股票止损退场，持币观望。</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③绿色框K线特点：均线黏合状态，此时股票的买卖情绪不大，并且此时股票不涨破与跌破，根据判断可能进入震荡期间，可能引来上涨趋势。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center"/>
        <w:rPr>
          <w:rFonts w:hint="eastAsia"/>
          <w:b/>
          <w:bCs/>
          <w:lang w:val="en-US" w:eastAsia="zh-CN"/>
        </w:rPr>
      </w:pPr>
      <w:r>
        <w:rPr>
          <w:rFonts w:hint="eastAsia"/>
          <w:b/>
          <w:bCs/>
          <w:lang w:val="en-US" w:eastAsia="zh-CN"/>
        </w:rPr>
        <w:drawing>
          <wp:inline distT="0" distB="0" distL="114300" distR="114300">
            <wp:extent cx="1800225" cy="1080135"/>
            <wp:effectExtent l="0" t="0" r="13335" b="1905"/>
            <wp:docPr id="16" name="图片 16" descr="1715431075010(1)"/>
            <wp:cNvGraphicFramePr/>
            <a:graphic xmlns:a="http://schemas.openxmlformats.org/drawingml/2006/main">
              <a:graphicData uri="http://schemas.openxmlformats.org/drawingml/2006/picture">
                <pic:pic xmlns:pic="http://schemas.openxmlformats.org/drawingml/2006/picture">
                  <pic:nvPicPr>
                    <pic:cNvPr id="16" name="图片 16" descr="1715431075010(1)"/>
                    <pic:cNvPicPr/>
                  </pic:nvPicPr>
                  <pic:blipFill>
                    <a:blip r:embed="rId14"/>
                    <a:stretch>
                      <a:fillRect/>
                    </a:stretch>
                  </pic:blipFill>
                  <pic:spPr>
                    <a:xfrm>
                      <a:off x="0" y="0"/>
                      <a:ext cx="1800225" cy="108013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图9</w:t>
      </w:r>
    </w:p>
    <w:p>
      <w:pPr>
        <w:ind w:firstLine="422" w:firstLineChars="200"/>
        <w:rPr>
          <w:rFonts w:hint="eastAsia"/>
          <w:b/>
          <w:bCs/>
          <w:lang w:val="en-US" w:eastAsia="zh-CN"/>
        </w:rPr>
      </w:pPr>
      <w:r>
        <w:rPr>
          <w:rFonts w:hint="default"/>
          <w:b/>
          <w:bCs/>
          <w:lang w:val="en-US" w:eastAsia="zh-CN"/>
        </w:rPr>
        <w:t>形态分析</w:t>
      </w:r>
      <w:r>
        <w:rPr>
          <w:rFonts w:hint="eastAsia"/>
          <w:b/>
          <w:bCs/>
          <w:lang w:val="en-US" w:eastAsia="zh-CN"/>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①如图10，MACD分析：红柱状开始缩小，股</w:t>
      </w:r>
      <w:r>
        <w:rPr>
          <w:rFonts w:hint="eastAsia" w:ascii="Arial" w:hAnsi="Arial" w:eastAsia="宋体" w:cs="Arial"/>
          <w:i w:val="0"/>
          <w:iCs w:val="0"/>
          <w:caps w:val="0"/>
          <w:color w:val="222222"/>
          <w:spacing w:val="0"/>
          <w:sz w:val="21"/>
          <w:szCs w:val="21"/>
          <w:shd w:val="clear" w:fill="FFFFFF"/>
          <w:lang w:val="en-US" w:eastAsia="zh-CN"/>
        </w:rPr>
        <w:t>票上涨</w:t>
      </w:r>
      <w:r>
        <w:rPr>
          <w:rFonts w:hint="eastAsia" w:ascii="Arial" w:hAnsi="Arial" w:eastAsia="宋体" w:cs="Arial"/>
          <w:i w:val="0"/>
          <w:iCs w:val="0"/>
          <w:caps w:val="0"/>
          <w:color w:val="222222"/>
          <w:spacing w:val="0"/>
          <w:sz w:val="21"/>
          <w:szCs w:val="21"/>
          <w:shd w:val="clear" w:fill="FFFFFF"/>
          <w:lang w:val="en-US" w:eastAsia="zh-CN"/>
        </w:rPr>
        <w:t>可能结束或</w:t>
      </w:r>
      <w:r>
        <w:rPr>
          <w:rFonts w:hint="eastAsia" w:ascii="Arial" w:hAnsi="Arial" w:eastAsia="宋体" w:cs="Arial"/>
          <w:i w:val="0"/>
          <w:iCs w:val="0"/>
          <w:caps w:val="0"/>
          <w:color w:val="222222"/>
          <w:spacing w:val="0"/>
          <w:sz w:val="21"/>
          <w:szCs w:val="21"/>
          <w:shd w:val="clear" w:fill="FFFFFF"/>
          <w:lang w:val="en-US" w:eastAsia="zh-CN"/>
        </w:rPr>
        <w:t>可能进入调整</w:t>
      </w:r>
      <w:r>
        <w:rPr>
          <w:rFonts w:hint="eastAsia" w:ascii="Arial" w:hAnsi="Arial" w:eastAsia="宋体" w:cs="Arial"/>
          <w:i w:val="0"/>
          <w:iCs w:val="0"/>
          <w:caps w:val="0"/>
          <w:color w:val="222222"/>
          <w:spacing w:val="0"/>
          <w:sz w:val="21"/>
          <w:szCs w:val="21"/>
          <w:shd w:val="clear" w:fill="FFFFFF"/>
          <w:lang w:val="en-US" w:eastAsia="zh-CN"/>
        </w:rPr>
        <w:t>期，股价</w:t>
      </w:r>
      <w:r>
        <w:rPr>
          <w:rFonts w:hint="eastAsia" w:ascii="Arial" w:hAnsi="Arial" w:eastAsia="宋体" w:cs="Arial"/>
          <w:i w:val="0"/>
          <w:iCs w:val="0"/>
          <w:caps w:val="0"/>
          <w:color w:val="222222"/>
          <w:spacing w:val="0"/>
          <w:sz w:val="21"/>
          <w:szCs w:val="21"/>
          <w:shd w:val="clear" w:fill="FFFFFF"/>
          <w:lang w:val="en-US" w:eastAsia="zh-CN"/>
        </w:rPr>
        <w:t>可能将出现下跌，这时应卖出大部分</w:t>
      </w:r>
      <w:r>
        <w:rPr>
          <w:rFonts w:hint="eastAsia" w:ascii="Arial" w:hAnsi="Arial" w:eastAsia="宋体" w:cs="Arial"/>
          <w:i w:val="0"/>
          <w:iCs w:val="0"/>
          <w:caps w:val="0"/>
          <w:color w:val="222222"/>
          <w:spacing w:val="0"/>
          <w:sz w:val="21"/>
          <w:szCs w:val="21"/>
          <w:shd w:val="clear" w:fill="FFFFFF"/>
          <w:lang w:val="en-US" w:eastAsia="zh-CN"/>
        </w:rPr>
        <w:t>该股票而不能买入股票；DIF和DEA均大于0但</w:t>
      </w:r>
      <w:r>
        <w:rPr>
          <w:rFonts w:hint="eastAsia" w:ascii="Arial" w:hAnsi="Arial" w:eastAsia="宋体" w:cs="Arial"/>
          <w:i w:val="0"/>
          <w:iCs w:val="0"/>
          <w:caps w:val="0"/>
          <w:color w:val="222222"/>
          <w:spacing w:val="0"/>
          <w:sz w:val="21"/>
          <w:szCs w:val="21"/>
          <w:shd w:val="clear" w:fill="FFFFFF"/>
          <w:lang w:val="en-US" w:eastAsia="zh-CN"/>
        </w:rPr>
        <w:t>可能向上移动时，可以卖出股票</w:t>
      </w:r>
      <w:r>
        <w:rPr>
          <w:rFonts w:hint="eastAsia" w:ascii="Arial" w:hAnsi="Arial" w:eastAsia="宋体" w:cs="Arial"/>
          <w:i w:val="0"/>
          <w:iCs w:val="0"/>
          <w:caps w:val="0"/>
          <w:color w:val="222222"/>
          <w:spacing w:val="0"/>
          <w:sz w:val="21"/>
          <w:szCs w:val="21"/>
          <w:shd w:val="clear" w:fill="FFFFFF"/>
          <w:lang w:val="en-US" w:eastAsia="zh-CN"/>
        </w:rPr>
        <w:t>或观望。</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②如图11，</w:t>
      </w:r>
      <w:r>
        <w:rPr>
          <w:rFonts w:hint="eastAsia" w:ascii="Arial" w:hAnsi="Arial" w:eastAsia="宋体" w:cs="Arial"/>
          <w:i w:val="0"/>
          <w:iCs w:val="0"/>
          <w:caps w:val="0"/>
          <w:color w:val="222222"/>
          <w:spacing w:val="0"/>
          <w:sz w:val="21"/>
          <w:szCs w:val="21"/>
          <w:shd w:val="clear" w:fill="FFFFFF"/>
          <w:lang w:val="en-US" w:eastAsia="zh-CN"/>
        </w:rPr>
        <w:t>BOLL线分析：布林线的上、中、下轨线</w:t>
      </w:r>
      <w:r>
        <w:rPr>
          <w:rFonts w:hint="eastAsia" w:ascii="Arial" w:hAnsi="Arial" w:eastAsia="宋体" w:cs="Arial"/>
          <w:i w:val="0"/>
          <w:iCs w:val="0"/>
          <w:caps w:val="0"/>
          <w:color w:val="222222"/>
          <w:spacing w:val="0"/>
          <w:sz w:val="21"/>
          <w:szCs w:val="21"/>
          <w:shd w:val="clear" w:fill="FFFFFF"/>
          <w:lang w:val="en-US" w:eastAsia="zh-CN"/>
        </w:rPr>
        <w:t>有同时向上运行</w:t>
      </w:r>
      <w:r>
        <w:rPr>
          <w:rFonts w:hint="eastAsia" w:ascii="Arial" w:hAnsi="Arial" w:eastAsia="宋体" w:cs="Arial"/>
          <w:i w:val="0"/>
          <w:iCs w:val="0"/>
          <w:caps w:val="0"/>
          <w:color w:val="222222"/>
          <w:spacing w:val="0"/>
          <w:sz w:val="21"/>
          <w:szCs w:val="21"/>
          <w:shd w:val="clear" w:fill="FFFFFF"/>
          <w:lang w:val="en-US" w:eastAsia="zh-CN"/>
        </w:rPr>
        <w:t>趋势，价格强势特征非常明显，价格短期内</w:t>
      </w:r>
      <w:r>
        <w:rPr>
          <w:rFonts w:hint="eastAsia" w:ascii="Arial" w:hAnsi="Arial" w:eastAsia="宋体" w:cs="Arial"/>
          <w:i w:val="0"/>
          <w:iCs w:val="0"/>
          <w:caps w:val="0"/>
          <w:color w:val="222222"/>
          <w:spacing w:val="0"/>
          <w:sz w:val="21"/>
          <w:szCs w:val="21"/>
          <w:shd w:val="clear" w:fill="FFFFFF"/>
          <w:lang w:val="en-US" w:eastAsia="zh-CN"/>
        </w:rPr>
        <w:t>可能上涨，投资者</w:t>
      </w:r>
      <w:r>
        <w:rPr>
          <w:rFonts w:hint="eastAsia" w:ascii="Arial" w:hAnsi="Arial" w:eastAsia="宋体" w:cs="Arial"/>
          <w:i w:val="0"/>
          <w:iCs w:val="0"/>
          <w:caps w:val="0"/>
          <w:color w:val="222222"/>
          <w:spacing w:val="0"/>
          <w:sz w:val="21"/>
          <w:szCs w:val="21"/>
          <w:shd w:val="clear" w:fill="FFFFFF"/>
          <w:lang w:val="en-US" w:eastAsia="zh-CN"/>
        </w:rPr>
        <w:t>可继续持有待涨卖出或卖出留利。</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③压力线分析：该股票的跌的价格将会在黄色压力线附近震荡，可能突破压力线，股票处于调整阶段，可以观望。</w:t>
      </w:r>
    </w:p>
    <w:p>
      <w:pPr>
        <w:rPr>
          <w:rFonts w:hint="default"/>
          <w:b/>
          <w:bCs/>
          <w:lang w:val="en-US" w:eastAsia="zh-CN"/>
        </w:rPr>
      </w:pPr>
    </w:p>
    <w:p>
      <w:pPr>
        <w:jc w:val="center"/>
        <w:rPr>
          <w:rFonts w:hint="default"/>
          <w:b/>
          <w:bCs/>
          <w:lang w:val="en-US" w:eastAsia="zh-CN"/>
        </w:rPr>
      </w:pPr>
      <w:r>
        <w:rPr>
          <w:rFonts w:hint="default"/>
          <w:b/>
          <w:bCs/>
          <w:lang w:val="en-US" w:eastAsia="zh-CN"/>
        </w:rPr>
        <w:drawing>
          <wp:inline distT="0" distB="0" distL="114300" distR="114300">
            <wp:extent cx="3599815" cy="1800225"/>
            <wp:effectExtent l="0" t="0" r="12065" b="13335"/>
            <wp:docPr id="20" name="图片 20" descr="1715432379240(1)"/>
            <wp:cNvGraphicFramePr/>
            <a:graphic xmlns:a="http://schemas.openxmlformats.org/drawingml/2006/main">
              <a:graphicData uri="http://schemas.openxmlformats.org/drawingml/2006/picture">
                <pic:pic xmlns:pic="http://schemas.openxmlformats.org/drawingml/2006/picture">
                  <pic:nvPicPr>
                    <pic:cNvPr id="20" name="图片 20" descr="1715432379240(1)"/>
                    <pic:cNvPicPr/>
                  </pic:nvPicPr>
                  <pic:blipFill>
                    <a:blip r:embed="rId15"/>
                    <a:stretch>
                      <a:fillRect/>
                    </a:stretch>
                  </pic:blipFill>
                  <pic:spPr>
                    <a:xfrm>
                      <a:off x="0" y="0"/>
                      <a:ext cx="3599815" cy="1800225"/>
                    </a:xfrm>
                    <a:prstGeom prst="rect">
                      <a:avLst/>
                    </a:prstGeom>
                  </pic:spPr>
                </pic:pic>
              </a:graphicData>
            </a:graphic>
          </wp:inline>
        </w:drawing>
      </w:r>
    </w:p>
    <w:p>
      <w:pPr>
        <w:keepNext w:val="0"/>
        <w:keepLines w:val="0"/>
        <w:widowControl/>
        <w:suppressLineNumbers w:val="0"/>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图10</w:t>
      </w:r>
    </w:p>
    <w:p>
      <w:pPr>
        <w:jc w:val="center"/>
        <w:rPr>
          <w:rFonts w:hint="default"/>
          <w:b/>
          <w:bCs/>
          <w:lang w:val="en-US" w:eastAsia="zh-CN"/>
        </w:rPr>
      </w:pPr>
      <w:r>
        <w:rPr>
          <w:rFonts w:hint="default"/>
          <w:b/>
          <w:bCs/>
          <w:lang w:val="en-US" w:eastAsia="zh-CN"/>
        </w:rPr>
        <w:drawing>
          <wp:inline distT="0" distB="0" distL="114300" distR="114300">
            <wp:extent cx="3599815" cy="1800225"/>
            <wp:effectExtent l="0" t="0" r="12065" b="13335"/>
            <wp:docPr id="25" name="图片 25" descr="1715433632577(1)"/>
            <wp:cNvGraphicFramePr/>
            <a:graphic xmlns:a="http://schemas.openxmlformats.org/drawingml/2006/main">
              <a:graphicData uri="http://schemas.openxmlformats.org/drawingml/2006/picture">
                <pic:pic xmlns:pic="http://schemas.openxmlformats.org/drawingml/2006/picture">
                  <pic:nvPicPr>
                    <pic:cNvPr id="25" name="图片 25" descr="1715433632577(1)"/>
                    <pic:cNvPicPr/>
                  </pic:nvPicPr>
                  <pic:blipFill>
                    <a:blip r:embed="rId16"/>
                    <a:stretch>
                      <a:fillRect/>
                    </a:stretch>
                  </pic:blipFill>
                  <pic:spPr>
                    <a:xfrm>
                      <a:off x="0" y="0"/>
                      <a:ext cx="3599815" cy="1800225"/>
                    </a:xfrm>
                    <a:prstGeom prst="rect">
                      <a:avLst/>
                    </a:prstGeom>
                  </pic:spPr>
                </pic:pic>
              </a:graphicData>
            </a:graphic>
          </wp:inline>
        </w:drawing>
      </w:r>
    </w:p>
    <w:p>
      <w:pPr>
        <w:keepNext w:val="0"/>
        <w:keepLines w:val="0"/>
        <w:widowControl/>
        <w:suppressLineNumbers w:val="0"/>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图11</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中信证券：</w:t>
      </w:r>
    </w:p>
    <w:p>
      <w:pPr>
        <w:numPr>
          <w:ilvl w:val="0"/>
          <w:numId w:val="0"/>
        </w:num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kern w:val="2"/>
          <w:sz w:val="21"/>
          <w:szCs w:val="21"/>
          <w:shd w:val="clear" w:fill="FFFFFF"/>
          <w:lang w:val="en-US" w:eastAsia="zh-CN" w:bidi="ar-SA"/>
        </w:rPr>
        <w:t>1、</w:t>
      </w:r>
      <w:r>
        <w:rPr>
          <w:rFonts w:hint="eastAsia" w:ascii="Arial" w:hAnsi="Arial" w:eastAsia="宋体" w:cs="Arial"/>
          <w:i w:val="0"/>
          <w:iCs w:val="0"/>
          <w:caps w:val="0"/>
          <w:color w:val="222222"/>
          <w:spacing w:val="0"/>
          <w:sz w:val="21"/>
          <w:szCs w:val="21"/>
          <w:shd w:val="clear" w:fill="FFFFFF"/>
          <w:lang w:val="en-US" w:eastAsia="zh-CN"/>
        </w:rPr>
        <w:t>基本面分析</w:t>
      </w:r>
    </w:p>
    <w:p>
      <w:pPr>
        <w:numPr>
          <w:ilvl w:val="0"/>
          <w:numId w:val="0"/>
        </w:num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宏观面分析:</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①中信证券股份有限公司是一家主要从事投资银行、财富管理、资产管理、金融市场等相关金融服务。</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最近环境：2024年5月10日，广东证监局发布关于对中信证券股份有限公司出具警示函措施的决定；中信证券作为泉为科技的持续督导机构，均牵涉泉为科技在2019年至2020年上半年贸易业务的财务造假；2024年4月12日，中信证券发布公告，公司收到证监会《立案告知书》；公司在2024年4月30日收到中国证监会《行政处罚决定书》。</w:t>
      </w:r>
    </w:p>
    <w:p>
      <w:pPr>
        <w:keepNext w:val="0"/>
        <w:keepLines w:val="0"/>
        <w:widowControl/>
        <w:suppressLineNumbers w:val="0"/>
        <w:tabs>
          <w:tab w:val="left" w:pos="1806"/>
        </w:tabs>
        <w:ind w:firstLine="422" w:firstLineChars="200"/>
        <w:jc w:val="left"/>
        <w:rPr>
          <w:rFonts w:hint="eastAsia"/>
          <w:b/>
          <w:bCs/>
          <w:lang w:val="en-US" w:eastAsia="zh-CN"/>
        </w:rPr>
      </w:pPr>
      <w:r>
        <w:rPr>
          <w:rFonts w:hint="default"/>
          <w:b/>
          <w:bCs/>
          <w:lang w:val="en-US" w:eastAsia="zh-CN"/>
        </w:rPr>
        <w:t>行业分析</w:t>
      </w:r>
      <w:r>
        <w:rPr>
          <w:rFonts w:hint="eastAsia"/>
          <w:b/>
          <w:bCs/>
          <w:lang w:val="en-US" w:eastAsia="zh-CN"/>
        </w:rPr>
        <w:t>：</w:t>
      </w:r>
    </w:p>
    <w:p>
      <w:pPr>
        <w:keepNext w:val="0"/>
        <w:keepLines w:val="0"/>
        <w:widowControl/>
        <w:suppressLineNumbers w:val="0"/>
        <w:tabs>
          <w:tab w:val="left" w:pos="1806"/>
        </w:tabs>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①经营情况：据</w:t>
      </w:r>
      <w:r>
        <w:rPr>
          <w:rFonts w:hint="default" w:ascii="Arial" w:hAnsi="Arial" w:eastAsia="宋体" w:cs="Arial"/>
          <w:i w:val="0"/>
          <w:iCs w:val="0"/>
          <w:caps w:val="0"/>
          <w:color w:val="222222"/>
          <w:spacing w:val="0"/>
          <w:sz w:val="21"/>
          <w:szCs w:val="21"/>
          <w:shd w:val="clear" w:fill="FFFFFF"/>
          <w:lang w:val="en-US" w:eastAsia="zh-CN"/>
        </w:rPr>
        <w:fldChar w:fldCharType="begin"/>
      </w:r>
      <w:r>
        <w:rPr>
          <w:rFonts w:hint="default" w:ascii="Arial" w:hAnsi="Arial" w:eastAsia="宋体" w:cs="Arial"/>
          <w:i w:val="0"/>
          <w:iCs w:val="0"/>
          <w:caps w:val="0"/>
          <w:color w:val="222222"/>
          <w:spacing w:val="0"/>
          <w:sz w:val="21"/>
          <w:szCs w:val="21"/>
          <w:shd w:val="clear" w:fill="FFFFFF"/>
          <w:lang w:val="en-US" w:eastAsia="zh-CN"/>
        </w:rPr>
        <w:instrText xml:space="preserve"> HYPERLINK "https://baike.baidu.com/item/%E4%B8%AD%E5%9B%BD%E8%AF%81%E5%88%B8%E4%B8%9A%E5%8D%8F%E4%BC%9A/2987957?fromModule=lemma_inlink" \t "https://baike.baidu.com/item/%E4%B8%AD%E4%BF%A1%E8%AF%81%E5%88%B8%E8%82%A1%E4%BB%BD%E6%9C%89%E9%99%90%E5%85%AC%E5%8F%B8/_blank" </w:instrText>
      </w:r>
      <w:r>
        <w:rPr>
          <w:rFonts w:hint="default" w:ascii="Arial" w:hAnsi="Arial" w:eastAsia="宋体" w:cs="Arial"/>
          <w:i w:val="0"/>
          <w:iCs w:val="0"/>
          <w:caps w:val="0"/>
          <w:color w:val="222222"/>
          <w:spacing w:val="0"/>
          <w:sz w:val="21"/>
          <w:szCs w:val="21"/>
          <w:shd w:val="clear" w:fill="FFFFFF"/>
          <w:lang w:val="en-US" w:eastAsia="zh-CN"/>
        </w:rPr>
        <w:fldChar w:fldCharType="separate"/>
      </w:r>
      <w:r>
        <w:rPr>
          <w:rFonts w:hint="default" w:ascii="Arial" w:hAnsi="Arial" w:eastAsia="宋体" w:cs="Arial"/>
          <w:i w:val="0"/>
          <w:iCs w:val="0"/>
          <w:caps w:val="0"/>
          <w:color w:val="222222"/>
          <w:spacing w:val="0"/>
          <w:sz w:val="21"/>
          <w:szCs w:val="21"/>
          <w:shd w:val="clear" w:fill="FFFFFF"/>
          <w:lang w:val="en-US" w:eastAsia="zh-CN"/>
        </w:rPr>
        <w:t>中国证券业协会</w:t>
      </w:r>
      <w:r>
        <w:rPr>
          <w:rFonts w:hint="default" w:ascii="Arial" w:hAnsi="Arial" w:eastAsia="宋体" w:cs="Arial"/>
          <w:i w:val="0"/>
          <w:iCs w:val="0"/>
          <w:caps w:val="0"/>
          <w:color w:val="222222"/>
          <w:spacing w:val="0"/>
          <w:sz w:val="21"/>
          <w:szCs w:val="21"/>
          <w:shd w:val="clear" w:fill="FFFFFF"/>
          <w:lang w:val="en-US" w:eastAsia="zh-CN"/>
        </w:rPr>
        <w:fldChar w:fldCharType="end"/>
      </w:r>
      <w:r>
        <w:rPr>
          <w:rFonts w:hint="default" w:ascii="Arial" w:hAnsi="Arial" w:eastAsia="宋体" w:cs="Arial"/>
          <w:i w:val="0"/>
          <w:iCs w:val="0"/>
          <w:caps w:val="0"/>
          <w:color w:val="222222"/>
          <w:spacing w:val="0"/>
          <w:sz w:val="21"/>
          <w:szCs w:val="21"/>
          <w:shd w:val="clear" w:fill="FFFFFF"/>
          <w:lang w:val="en-US" w:eastAsia="zh-CN"/>
        </w:rPr>
        <w:t>公布的2018年度证券公司经营业绩指标排名数据，中信证券的</w:t>
      </w:r>
      <w:r>
        <w:rPr>
          <w:rFonts w:hint="default" w:ascii="Arial" w:hAnsi="Arial" w:eastAsia="宋体" w:cs="Arial"/>
          <w:i w:val="0"/>
          <w:iCs w:val="0"/>
          <w:caps w:val="0"/>
          <w:color w:val="222222"/>
          <w:spacing w:val="0"/>
          <w:sz w:val="21"/>
          <w:szCs w:val="21"/>
          <w:shd w:val="clear" w:fill="FFFFFF"/>
          <w:lang w:val="en-US" w:eastAsia="zh-CN"/>
        </w:rPr>
        <w:fldChar w:fldCharType="begin"/>
      </w:r>
      <w:r>
        <w:rPr>
          <w:rFonts w:hint="default" w:ascii="Arial" w:hAnsi="Arial" w:eastAsia="宋体" w:cs="Arial"/>
          <w:i w:val="0"/>
          <w:iCs w:val="0"/>
          <w:caps w:val="0"/>
          <w:color w:val="222222"/>
          <w:spacing w:val="0"/>
          <w:sz w:val="21"/>
          <w:szCs w:val="21"/>
          <w:shd w:val="clear" w:fill="FFFFFF"/>
          <w:lang w:val="en-US" w:eastAsia="zh-CN"/>
        </w:rPr>
        <w:instrText xml:space="preserve"> HYPERLINK "https://baike.baidu.com/item/%E6%80%BB%E8%B5%84%E4%BA%A7/9803630?fromModule=lemma_inlink" \t "https://baike.baidu.com/item/%E4%B8%AD%E4%BF%A1%E8%AF%81%E5%88%B8%E8%82%A1%E4%BB%BD%E6%9C%89%E9%99%90%E5%85%AC%E5%8F%B8/_blank" </w:instrText>
      </w:r>
      <w:r>
        <w:rPr>
          <w:rFonts w:hint="default" w:ascii="Arial" w:hAnsi="Arial" w:eastAsia="宋体" w:cs="Arial"/>
          <w:i w:val="0"/>
          <w:iCs w:val="0"/>
          <w:caps w:val="0"/>
          <w:color w:val="222222"/>
          <w:spacing w:val="0"/>
          <w:sz w:val="21"/>
          <w:szCs w:val="21"/>
          <w:shd w:val="clear" w:fill="FFFFFF"/>
          <w:lang w:val="en-US" w:eastAsia="zh-CN"/>
        </w:rPr>
        <w:fldChar w:fldCharType="separate"/>
      </w:r>
      <w:r>
        <w:rPr>
          <w:rFonts w:hint="default" w:ascii="Arial" w:hAnsi="Arial" w:eastAsia="宋体" w:cs="Arial"/>
          <w:i w:val="0"/>
          <w:iCs w:val="0"/>
          <w:caps w:val="0"/>
          <w:color w:val="222222"/>
          <w:spacing w:val="0"/>
          <w:sz w:val="21"/>
          <w:szCs w:val="21"/>
          <w:shd w:val="clear" w:fill="FFFFFF"/>
          <w:lang w:val="en-US" w:eastAsia="zh-CN"/>
        </w:rPr>
        <w:t>总资产</w:t>
      </w:r>
      <w:r>
        <w:rPr>
          <w:rFonts w:hint="default" w:ascii="Arial" w:hAnsi="Arial" w:eastAsia="宋体" w:cs="Arial"/>
          <w:i w:val="0"/>
          <w:iCs w:val="0"/>
          <w:caps w:val="0"/>
          <w:color w:val="222222"/>
          <w:spacing w:val="0"/>
          <w:sz w:val="21"/>
          <w:szCs w:val="21"/>
          <w:shd w:val="clear" w:fill="FFFFFF"/>
          <w:lang w:val="en-US" w:eastAsia="zh-CN"/>
        </w:rPr>
        <w:fldChar w:fldCharType="end"/>
      </w:r>
      <w:r>
        <w:rPr>
          <w:rFonts w:hint="default" w:ascii="Arial" w:hAnsi="Arial" w:eastAsia="宋体" w:cs="Arial"/>
          <w:i w:val="0"/>
          <w:iCs w:val="0"/>
          <w:caps w:val="0"/>
          <w:color w:val="222222"/>
          <w:spacing w:val="0"/>
          <w:sz w:val="21"/>
          <w:szCs w:val="21"/>
          <w:shd w:val="clear" w:fill="FFFFFF"/>
          <w:lang w:val="en-US" w:eastAsia="zh-CN"/>
        </w:rPr>
        <w:t>、净资产、营业收入、</w:t>
      </w:r>
      <w:r>
        <w:rPr>
          <w:rFonts w:hint="default" w:ascii="Arial" w:hAnsi="Arial" w:eastAsia="宋体" w:cs="Arial"/>
          <w:i w:val="0"/>
          <w:iCs w:val="0"/>
          <w:caps w:val="0"/>
          <w:color w:val="222222"/>
          <w:spacing w:val="0"/>
          <w:sz w:val="21"/>
          <w:szCs w:val="21"/>
          <w:shd w:val="clear" w:fill="FFFFFF"/>
          <w:lang w:val="en-US" w:eastAsia="zh-CN"/>
        </w:rPr>
        <w:fldChar w:fldCharType="begin"/>
      </w:r>
      <w:r>
        <w:rPr>
          <w:rFonts w:hint="default" w:ascii="Arial" w:hAnsi="Arial" w:eastAsia="宋体" w:cs="Arial"/>
          <w:i w:val="0"/>
          <w:iCs w:val="0"/>
          <w:caps w:val="0"/>
          <w:color w:val="222222"/>
          <w:spacing w:val="0"/>
          <w:sz w:val="21"/>
          <w:szCs w:val="21"/>
          <w:shd w:val="clear" w:fill="FFFFFF"/>
          <w:lang w:val="en-US" w:eastAsia="zh-CN"/>
        </w:rPr>
        <w:instrText xml:space="preserve"> HYPERLINK "https://baike.baidu.com/item/%E5%87%80%E5%88%A9%E6%B6%A6/5352725?fromModule=lemma_inlink" \t "https://baike.baidu.com/item/%E4%B8%AD%E4%BF%A1%E8%AF%81%E5%88%B8%E8%82%A1%E4%BB%BD%E6%9C%89%E9%99%90%E5%85%AC%E5%8F%B8/_blank" </w:instrText>
      </w:r>
      <w:r>
        <w:rPr>
          <w:rFonts w:hint="default" w:ascii="Arial" w:hAnsi="Arial" w:eastAsia="宋体" w:cs="Arial"/>
          <w:i w:val="0"/>
          <w:iCs w:val="0"/>
          <w:caps w:val="0"/>
          <w:color w:val="222222"/>
          <w:spacing w:val="0"/>
          <w:sz w:val="21"/>
          <w:szCs w:val="21"/>
          <w:shd w:val="clear" w:fill="FFFFFF"/>
          <w:lang w:val="en-US" w:eastAsia="zh-CN"/>
        </w:rPr>
        <w:fldChar w:fldCharType="separate"/>
      </w:r>
      <w:r>
        <w:rPr>
          <w:rFonts w:hint="default" w:ascii="Arial" w:hAnsi="Arial" w:eastAsia="宋体" w:cs="Arial"/>
          <w:i w:val="0"/>
          <w:iCs w:val="0"/>
          <w:caps w:val="0"/>
          <w:color w:val="222222"/>
          <w:spacing w:val="0"/>
          <w:sz w:val="21"/>
          <w:szCs w:val="21"/>
          <w:shd w:val="clear" w:fill="FFFFFF"/>
          <w:lang w:val="en-US" w:eastAsia="zh-CN"/>
        </w:rPr>
        <w:t>净利润</w:t>
      </w:r>
      <w:r>
        <w:rPr>
          <w:rFonts w:hint="default" w:ascii="Arial" w:hAnsi="Arial" w:eastAsia="宋体" w:cs="Arial"/>
          <w:i w:val="0"/>
          <w:iCs w:val="0"/>
          <w:caps w:val="0"/>
          <w:color w:val="222222"/>
          <w:spacing w:val="0"/>
          <w:sz w:val="21"/>
          <w:szCs w:val="21"/>
          <w:shd w:val="clear" w:fill="FFFFFF"/>
          <w:lang w:val="en-US" w:eastAsia="zh-CN"/>
        </w:rPr>
        <w:fldChar w:fldCharType="end"/>
      </w:r>
      <w:r>
        <w:rPr>
          <w:rFonts w:hint="default" w:ascii="Arial" w:hAnsi="Arial" w:eastAsia="宋体" w:cs="Arial"/>
          <w:i w:val="0"/>
          <w:iCs w:val="0"/>
          <w:caps w:val="0"/>
          <w:color w:val="222222"/>
          <w:spacing w:val="0"/>
          <w:sz w:val="21"/>
          <w:szCs w:val="21"/>
          <w:shd w:val="clear" w:fill="FFFFFF"/>
          <w:lang w:val="en-US" w:eastAsia="zh-CN"/>
        </w:rPr>
        <w:t>等指标在行业均排名第一</w:t>
      </w:r>
      <w:r>
        <w:rPr>
          <w:rFonts w:hint="eastAsia" w:ascii="Arial" w:hAnsi="Arial" w:eastAsia="宋体" w:cs="Arial"/>
          <w:i w:val="0"/>
          <w:iCs w:val="0"/>
          <w:caps w:val="0"/>
          <w:color w:val="222222"/>
          <w:spacing w:val="0"/>
          <w:sz w:val="21"/>
          <w:szCs w:val="21"/>
          <w:shd w:val="clear" w:fill="FFFFFF"/>
          <w:lang w:val="en-US" w:eastAsia="zh-CN"/>
        </w:rPr>
        <w:t>。</w:t>
      </w:r>
    </w:p>
    <w:p>
      <w:pPr>
        <w:keepNext w:val="0"/>
        <w:keepLines w:val="0"/>
        <w:widowControl/>
        <w:suppressLineNumbers w:val="0"/>
        <w:tabs>
          <w:tab w:val="left" w:pos="1806"/>
        </w:tabs>
        <w:ind w:firstLine="420" w:firstLineChars="20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②市场地位：</w:t>
      </w:r>
      <w:r>
        <w:rPr>
          <w:rFonts w:hint="default" w:ascii="Arial" w:hAnsi="Arial" w:eastAsia="宋体" w:cs="Arial"/>
          <w:i w:val="0"/>
          <w:iCs w:val="0"/>
          <w:caps w:val="0"/>
          <w:color w:val="222222"/>
          <w:spacing w:val="0"/>
          <w:sz w:val="21"/>
          <w:szCs w:val="21"/>
          <w:shd w:val="clear" w:fill="FFFFFF"/>
          <w:lang w:val="en-US" w:eastAsia="zh-CN"/>
        </w:rPr>
        <w:t>中信证券在中国证券市场中占据着重要地位，是中国证券业龙头企业，其在股票、债券、期货等多个领域都有较大的市场份额。</w:t>
      </w:r>
    </w:p>
    <w:p>
      <w:pPr>
        <w:keepNext w:val="0"/>
        <w:keepLines w:val="0"/>
        <w:widowControl/>
        <w:suppressLineNumbers w:val="0"/>
        <w:tabs>
          <w:tab w:val="left" w:pos="1806"/>
        </w:tabs>
        <w:ind w:firstLine="420" w:firstLineChars="20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③业务范围：</w:t>
      </w:r>
      <w:r>
        <w:rPr>
          <w:rFonts w:hint="default" w:ascii="Arial" w:hAnsi="Arial" w:eastAsia="宋体" w:cs="Arial"/>
          <w:i w:val="0"/>
          <w:iCs w:val="0"/>
          <w:caps w:val="0"/>
          <w:color w:val="222222"/>
          <w:spacing w:val="0"/>
          <w:sz w:val="21"/>
          <w:szCs w:val="21"/>
          <w:shd w:val="clear" w:fill="FFFFFF"/>
          <w:lang w:val="en-US" w:eastAsia="zh-CN"/>
        </w:rPr>
        <w:t>涵盖了证券经纪、投资银行、资产管理、财富管理等多个领域</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拥有完善的金融服务体系，为客户提供股票、债券、衍生品等多种投资和融资产品，满足了不同客户的需求。</w:t>
      </w:r>
    </w:p>
    <w:p>
      <w:pPr>
        <w:keepNext w:val="0"/>
        <w:keepLines w:val="0"/>
        <w:widowControl/>
        <w:suppressLineNumbers w:val="0"/>
        <w:ind w:firstLine="422" w:firstLineChars="200"/>
        <w:jc w:val="left"/>
        <w:rPr>
          <w:rFonts w:hint="eastAsia" w:ascii="Arial" w:hAnsi="Arial" w:eastAsia="宋体" w:cs="Arial"/>
          <w:b/>
          <w:bCs/>
          <w:i w:val="0"/>
          <w:iCs w:val="0"/>
          <w:caps w:val="0"/>
          <w:color w:val="000000"/>
          <w:spacing w:val="0"/>
          <w:kern w:val="2"/>
          <w:sz w:val="21"/>
          <w:szCs w:val="21"/>
          <w:shd w:val="clear" w:fill="FFFFFF"/>
          <w:lang w:val="en-US" w:eastAsia="zh-CN" w:bidi="ar-SA"/>
        </w:rPr>
      </w:pPr>
      <w:r>
        <w:rPr>
          <w:rFonts w:hint="default"/>
          <w:b/>
          <w:bCs/>
          <w:lang w:val="en-US" w:eastAsia="zh-CN"/>
        </w:rPr>
        <w:t>公司技术水</w:t>
      </w:r>
      <w:r>
        <w:rPr>
          <w:rFonts w:hint="default" w:ascii="Arial" w:hAnsi="Arial" w:eastAsia="宋体" w:cs="Arial"/>
          <w:b/>
          <w:bCs/>
          <w:i w:val="0"/>
          <w:iCs w:val="0"/>
          <w:caps w:val="0"/>
          <w:color w:val="000000"/>
          <w:spacing w:val="0"/>
          <w:kern w:val="2"/>
          <w:sz w:val="21"/>
          <w:szCs w:val="21"/>
          <w:shd w:val="clear" w:fill="FFFFFF"/>
          <w:lang w:val="en-US" w:eastAsia="zh-CN" w:bidi="ar-SA"/>
        </w:rPr>
        <w:t>平</w:t>
      </w:r>
      <w:r>
        <w:rPr>
          <w:rFonts w:hint="eastAsia" w:ascii="Arial" w:hAnsi="Arial" w:eastAsia="宋体" w:cs="Arial"/>
          <w:b/>
          <w:bCs/>
          <w:i w:val="0"/>
          <w:iCs w:val="0"/>
          <w:caps w:val="0"/>
          <w:color w:val="000000"/>
          <w:spacing w:val="0"/>
          <w:kern w:val="2"/>
          <w:sz w:val="21"/>
          <w:szCs w:val="21"/>
          <w:shd w:val="clear" w:fill="FFFFFF"/>
          <w:lang w:val="en-US" w:eastAsia="zh-CN" w:bidi="ar-SA"/>
        </w:rPr>
        <w:t>：</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①创新能力：</w:t>
      </w:r>
      <w:r>
        <w:rPr>
          <w:rFonts w:hint="default" w:ascii="Arial" w:hAnsi="Arial" w:eastAsia="宋体" w:cs="Arial"/>
          <w:i w:val="0"/>
          <w:iCs w:val="0"/>
          <w:caps w:val="0"/>
          <w:color w:val="222222"/>
          <w:spacing w:val="0"/>
          <w:sz w:val="21"/>
          <w:szCs w:val="21"/>
          <w:shd w:val="clear" w:fill="FFFFFF"/>
          <w:lang w:val="en-US" w:eastAsia="zh-CN"/>
        </w:rPr>
        <w:t>在金融科技和创新业务方面积极探索。公司不断加强科技投入，推动业务创新和数字化转型，提升服务水平和竞争力。</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②研究能力：</w:t>
      </w:r>
      <w:r>
        <w:rPr>
          <w:rFonts w:hint="default" w:ascii="Arial" w:hAnsi="Arial" w:eastAsia="宋体" w:cs="Arial"/>
          <w:i w:val="0"/>
          <w:iCs w:val="0"/>
          <w:caps w:val="0"/>
          <w:color w:val="222222"/>
          <w:spacing w:val="0"/>
          <w:sz w:val="21"/>
          <w:szCs w:val="21"/>
          <w:shd w:val="clear" w:fill="FFFFFF"/>
          <w:lang w:val="en-US" w:eastAsia="zh-CN"/>
        </w:rPr>
        <w:t>在行业研究和投资分析方面具有较强的能力。公司拥有一支专业的研究团队，涵盖了宏观经济、行业分析、公司研究等多个领域，为客户提供及时、准确的投资建议和研究报告。</w:t>
      </w:r>
    </w:p>
    <w:p>
      <w:pPr>
        <w:keepNext w:val="0"/>
        <w:keepLines w:val="0"/>
        <w:widowControl/>
        <w:suppressLineNumbers w:val="0"/>
        <w:ind w:firstLine="422" w:firstLineChars="200"/>
        <w:jc w:val="left"/>
        <w:rPr>
          <w:rFonts w:hint="eastAsia"/>
          <w:b/>
          <w:bCs/>
          <w:lang w:val="en-US" w:eastAsia="zh-CN"/>
        </w:rPr>
      </w:pPr>
      <w:r>
        <w:rPr>
          <w:rFonts w:hint="default"/>
          <w:b/>
          <w:bCs/>
          <w:lang w:val="en-US" w:eastAsia="zh-CN"/>
        </w:rPr>
        <w:t>规模分析</w:t>
      </w:r>
      <w:r>
        <w:rPr>
          <w:rFonts w:hint="eastAsia"/>
          <w:b/>
          <w:bCs/>
          <w:lang w:val="en-US" w:eastAsia="zh-CN"/>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sz w:val="21"/>
          <w:szCs w:val="21"/>
          <w:shd w:val="clear" w:fill="FFFFFF"/>
          <w:lang w:val="en-US" w:eastAsia="zh-CN"/>
        </w:rPr>
      </w:pPr>
      <w:r>
        <w:rPr>
          <w:rFonts w:hint="default" w:ascii="Arial" w:hAnsi="Arial" w:eastAsia="宋体" w:cs="Arial"/>
          <w:i w:val="0"/>
          <w:iCs w:val="0"/>
          <w:caps w:val="0"/>
          <w:color w:val="222222"/>
          <w:spacing w:val="0"/>
          <w:sz w:val="21"/>
          <w:szCs w:val="21"/>
          <w:shd w:val="clear" w:fill="FFFFFF"/>
          <w:lang w:val="en-US" w:eastAsia="zh-CN"/>
        </w:rPr>
        <w:t>中信证券致力于国际化发展，拓展境外业务和市场。公司在香港、新加坡等地设立了分支机构和办事处，积极参与国际资本市场的竞争和合作。</w:t>
      </w:r>
    </w:p>
    <w:p>
      <w:pPr>
        <w:keepNext w:val="0"/>
        <w:keepLines w:val="0"/>
        <w:widowControl/>
        <w:suppressLineNumbers w:val="0"/>
        <w:ind w:firstLine="422" w:firstLineChars="200"/>
        <w:jc w:val="left"/>
        <w:rPr>
          <w:rFonts w:hint="eastAsia"/>
          <w:b/>
          <w:bCs/>
          <w:lang w:val="en-US" w:eastAsia="zh-CN"/>
        </w:rPr>
      </w:pPr>
      <w:r>
        <w:rPr>
          <w:rFonts w:hint="default"/>
          <w:b/>
          <w:bCs/>
          <w:lang w:val="en-US" w:eastAsia="zh-CN"/>
        </w:rPr>
        <w:t>财务分析</w:t>
      </w:r>
      <w:r>
        <w:rPr>
          <w:rFonts w:hint="eastAsia"/>
          <w:b/>
          <w:bCs/>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如图12，2023年的归母净利润比2022与2021都要低和其利润也是逐年下降。</w:t>
      </w:r>
      <w:r>
        <w:rPr>
          <w:rFonts w:hint="default" w:ascii="Arial" w:hAnsi="Arial" w:eastAsia="宋体" w:cs="Arial"/>
          <w:i w:val="0"/>
          <w:iCs w:val="0"/>
          <w:caps w:val="0"/>
          <w:color w:val="222222"/>
          <w:spacing w:val="0"/>
          <w:kern w:val="2"/>
          <w:sz w:val="21"/>
          <w:szCs w:val="21"/>
          <w:shd w:val="clear" w:fill="FFFFFF"/>
          <w:lang w:val="en-US" w:eastAsia="zh-CN" w:bidi="ar-SA"/>
        </w:rPr>
        <w:t>根据</w:t>
      </w:r>
      <w:r>
        <w:rPr>
          <w:rFonts w:hint="default" w:ascii="Arial" w:hAnsi="Arial" w:eastAsia="宋体" w:cs="Arial"/>
          <w:i w:val="0"/>
          <w:iCs w:val="0"/>
          <w:caps w:val="0"/>
          <w:color w:val="222222"/>
          <w:spacing w:val="0"/>
          <w:kern w:val="2"/>
          <w:sz w:val="21"/>
          <w:szCs w:val="21"/>
          <w:shd w:val="clear" w:fill="FFFFFF"/>
          <w:lang w:val="en-US" w:eastAsia="zh-CN" w:bidi="ar-SA"/>
        </w:rPr>
        <w:fldChar w:fldCharType="begin"/>
      </w:r>
      <w:r>
        <w:rPr>
          <w:rFonts w:hint="default" w:ascii="Arial" w:hAnsi="Arial" w:eastAsia="宋体" w:cs="Arial"/>
          <w:i w:val="0"/>
          <w:iCs w:val="0"/>
          <w:caps w:val="0"/>
          <w:color w:val="222222"/>
          <w:spacing w:val="0"/>
          <w:kern w:val="2"/>
          <w:sz w:val="21"/>
          <w:szCs w:val="21"/>
          <w:shd w:val="clear" w:fill="FFFFFF"/>
          <w:lang w:val="en-US" w:eastAsia="zh-CN" w:bidi="ar-SA"/>
        </w:rPr>
        <w:instrText xml:space="preserve"> HYPERLINK "https://basic.10jqka.com.cn/thslc/editor/view/0fB3041f29" \l "mobile=1?businessSource=zixun&amp;code=600030&amp;marketid=17" </w:instrText>
      </w:r>
      <w:r>
        <w:rPr>
          <w:rFonts w:hint="default" w:ascii="Arial" w:hAnsi="Arial" w:eastAsia="宋体" w:cs="Arial"/>
          <w:i w:val="0"/>
          <w:iCs w:val="0"/>
          <w:caps w:val="0"/>
          <w:color w:val="222222"/>
          <w:spacing w:val="0"/>
          <w:kern w:val="2"/>
          <w:sz w:val="21"/>
          <w:szCs w:val="21"/>
          <w:shd w:val="clear" w:fill="FFFFFF"/>
          <w:lang w:val="en-US" w:eastAsia="zh-CN" w:bidi="ar-SA"/>
        </w:rPr>
        <w:fldChar w:fldCharType="separate"/>
      </w:r>
      <w:r>
        <w:rPr>
          <w:rFonts w:hint="default" w:ascii="Arial" w:hAnsi="Arial" w:eastAsia="宋体" w:cs="Arial"/>
          <w:i w:val="0"/>
          <w:iCs w:val="0"/>
          <w:caps w:val="0"/>
          <w:color w:val="222222"/>
          <w:spacing w:val="0"/>
          <w:kern w:val="2"/>
          <w:sz w:val="21"/>
          <w:szCs w:val="21"/>
          <w:shd w:val="clear" w:fill="FFFFFF"/>
          <w:lang w:val="en-US" w:eastAsia="zh-CN" w:bidi="ar-SA"/>
        </w:rPr>
        <w:t>同花顺财务诊断大模型</w:t>
      </w:r>
      <w:r>
        <w:rPr>
          <w:rFonts w:hint="default" w:ascii="Arial" w:hAnsi="Arial" w:eastAsia="宋体" w:cs="Arial"/>
          <w:i w:val="0"/>
          <w:iCs w:val="0"/>
          <w:caps w:val="0"/>
          <w:color w:val="222222"/>
          <w:spacing w:val="0"/>
          <w:kern w:val="2"/>
          <w:sz w:val="21"/>
          <w:szCs w:val="21"/>
          <w:shd w:val="clear" w:fill="FFFFFF"/>
          <w:lang w:val="en-US" w:eastAsia="zh-CN" w:bidi="ar-SA"/>
        </w:rPr>
        <w:fldChar w:fldCharType="end"/>
      </w:r>
      <w:r>
        <w:rPr>
          <w:rFonts w:hint="default" w:ascii="Arial" w:hAnsi="Arial" w:eastAsia="宋体" w:cs="Arial"/>
          <w:i w:val="0"/>
          <w:iCs w:val="0"/>
          <w:caps w:val="0"/>
          <w:color w:val="222222"/>
          <w:spacing w:val="0"/>
          <w:kern w:val="2"/>
          <w:sz w:val="21"/>
          <w:szCs w:val="21"/>
          <w:shd w:val="clear" w:fill="FFFFFF"/>
          <w:lang w:val="en-US" w:eastAsia="zh-CN" w:bidi="ar-SA"/>
        </w:rPr>
        <w:t>对其本期及过去5年财务数据1200余项财务指标的综合运算及跟踪分析，中信证券近五年总体财务状况优秀。具体而言，盈利能力、成长能力优秀，偿债能力、运营能力、资产质量良好，现金流一般。净利润197.21亿元，同比下降7.49%</w:t>
      </w:r>
      <w:r>
        <w:rPr>
          <w:rFonts w:hint="eastAsia" w:ascii="Arial" w:hAnsi="Arial" w:eastAsia="宋体" w:cs="Arial"/>
          <w:i w:val="0"/>
          <w:iCs w:val="0"/>
          <w:caps w:val="0"/>
          <w:color w:val="222222"/>
          <w:spacing w:val="0"/>
          <w:kern w:val="2"/>
          <w:sz w:val="21"/>
          <w:szCs w:val="21"/>
          <w:shd w:val="clear" w:fill="FFFFFF"/>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center"/>
        <w:rPr>
          <w:rFonts w:hint="eastAsia"/>
          <w:b/>
          <w:bCs/>
          <w:lang w:val="en-US" w:eastAsia="zh-CN"/>
        </w:rPr>
      </w:pPr>
      <w:r>
        <w:rPr>
          <w:rFonts w:ascii="宋体" w:hAnsi="宋体" w:eastAsia="宋体" w:cs="宋体"/>
          <w:kern w:val="0"/>
          <w:sz w:val="24"/>
          <w:szCs w:val="24"/>
          <w:lang w:val="en-US" w:eastAsia="zh-CN" w:bidi="ar"/>
        </w:rPr>
        <w:drawing>
          <wp:inline distT="0" distB="0" distL="114300" distR="114300">
            <wp:extent cx="1800225" cy="1080135"/>
            <wp:effectExtent l="0" t="0" r="13335" b="1905"/>
            <wp:docPr id="7" name="图片 1" descr="IMG_256"/>
            <wp:cNvGraphicFramePr/>
            <a:graphic xmlns:a="http://schemas.openxmlformats.org/drawingml/2006/main">
              <a:graphicData uri="http://schemas.openxmlformats.org/drawingml/2006/picture">
                <pic:pic xmlns:pic="http://schemas.openxmlformats.org/drawingml/2006/picture">
                  <pic:nvPicPr>
                    <pic:cNvPr id="7" name="图片 1" descr="IMG_256"/>
                    <pic:cNvPicPr/>
                  </pic:nvPicPr>
                  <pic:blipFill>
                    <a:blip r:embed="rId17"/>
                    <a:stretch>
                      <a:fillRect/>
                    </a:stretch>
                  </pic:blipFill>
                  <pic:spPr>
                    <a:xfrm>
                      <a:off x="0" y="0"/>
                      <a:ext cx="1800225" cy="1080135"/>
                    </a:xfrm>
                    <a:prstGeom prst="rect">
                      <a:avLst/>
                    </a:prstGeom>
                    <a:noFill/>
                    <a:ln w="9525">
                      <a:noFill/>
                    </a:ln>
                  </pic:spPr>
                </pic:pic>
              </a:graphicData>
            </a:graphic>
          </wp:inline>
        </w:drawing>
      </w:r>
      <w:r>
        <w:rPr>
          <w:rFonts w:hint="eastAsia"/>
          <w:b/>
          <w:bCs/>
          <w:lang w:val="en-US" w:eastAsia="zh-CN"/>
        </w:rPr>
        <w:drawing>
          <wp:inline distT="0" distB="0" distL="114300" distR="114300">
            <wp:extent cx="1800225" cy="1080135"/>
            <wp:effectExtent l="0" t="0" r="13335" b="1905"/>
            <wp:docPr id="6" name="图片 6" descr="%_RY7L8XH%K(}AOIDJ~Y{92"/>
            <wp:cNvGraphicFramePr/>
            <a:graphic xmlns:a="http://schemas.openxmlformats.org/drawingml/2006/main">
              <a:graphicData uri="http://schemas.openxmlformats.org/drawingml/2006/picture">
                <pic:pic xmlns:pic="http://schemas.openxmlformats.org/drawingml/2006/picture">
                  <pic:nvPicPr>
                    <pic:cNvPr id="6" name="图片 6" descr="%_RY7L8XH%K(}AOIDJ~Y{92"/>
                    <pic:cNvPicPr/>
                  </pic:nvPicPr>
                  <pic:blipFill>
                    <a:blip r:embed="rId18"/>
                    <a:stretch>
                      <a:fillRect/>
                    </a:stretch>
                  </pic:blipFill>
                  <pic:spPr>
                    <a:xfrm>
                      <a:off x="0" y="0"/>
                      <a:ext cx="1800225" cy="1080135"/>
                    </a:xfrm>
                    <a:prstGeom prst="rect">
                      <a:avLst/>
                    </a:prstGeom>
                  </pic:spPr>
                </pic:pic>
              </a:graphicData>
            </a:graphic>
          </wp:inline>
        </w:drawing>
      </w:r>
    </w:p>
    <w:p>
      <w:pPr>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图12</w:t>
      </w:r>
    </w:p>
    <w:p>
      <w:pPr>
        <w:keepNext w:val="0"/>
        <w:keepLines w:val="0"/>
        <w:widowControl/>
        <w:suppressLineNumbers w:val="0"/>
        <w:ind w:firstLine="420" w:firstLineChars="200"/>
        <w:jc w:val="left"/>
        <w:rPr>
          <w:rFonts w:hint="default" w:ascii="Arial" w:hAnsi="Arial" w:eastAsia="宋体" w:cs="Arial"/>
          <w:b w:val="0"/>
          <w:bCs w:val="0"/>
          <w:i w:val="0"/>
          <w:iCs w:val="0"/>
          <w:caps w:val="0"/>
          <w:color w:val="000000"/>
          <w:spacing w:val="0"/>
          <w:kern w:val="2"/>
          <w:sz w:val="21"/>
          <w:szCs w:val="21"/>
          <w:shd w:val="clear" w:fill="FFFFFF"/>
          <w:lang w:val="en-US" w:eastAsia="zh-CN" w:bidi="ar-SA"/>
        </w:rPr>
      </w:pPr>
      <w:r>
        <w:rPr>
          <w:rFonts w:hint="eastAsia" w:ascii="Arial" w:hAnsi="Arial" w:eastAsia="宋体" w:cs="Arial"/>
          <w:b w:val="0"/>
          <w:bCs w:val="0"/>
          <w:i w:val="0"/>
          <w:iCs w:val="0"/>
          <w:caps w:val="0"/>
          <w:color w:val="000000"/>
          <w:spacing w:val="0"/>
          <w:kern w:val="2"/>
          <w:sz w:val="21"/>
          <w:szCs w:val="21"/>
          <w:shd w:val="clear" w:fill="FFFFFF"/>
          <w:lang w:val="en-US" w:eastAsia="zh-CN" w:bidi="ar-SA"/>
        </w:rPr>
        <w:t>2、证券投资技术分析：</w:t>
      </w:r>
    </w:p>
    <w:p>
      <w:pPr>
        <w:ind w:firstLine="422" w:firstLineChars="200"/>
        <w:rPr>
          <w:rFonts w:hint="eastAsia"/>
          <w:b/>
          <w:bCs/>
          <w:lang w:val="en-US" w:eastAsia="zh-CN"/>
        </w:rPr>
      </w:pPr>
      <w:r>
        <w:rPr>
          <w:rFonts w:hint="default"/>
          <w:b/>
          <w:bCs/>
          <w:lang w:val="en-US" w:eastAsia="zh-CN"/>
        </w:rPr>
        <w:t>K线图分析</w:t>
      </w:r>
      <w:r>
        <w:rPr>
          <w:rFonts w:hint="eastAsia"/>
          <w:b/>
          <w:bCs/>
          <w:lang w:val="en-US" w:eastAsia="zh-CN"/>
        </w:rPr>
        <w:t>：</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如图13所示</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①红色框中K线：为均线空头排列，移动平均线另外呈弧形降低，这只股已进到了下挫周期时间，行情趋弱，从图中可知其大幅的下挫，可售出手上的个股或股票止损退场，持币观望。</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②黄色框中K线：均线黏合状态，此时股票的买卖情绪不大，并且此时股票不涨破与跌破，可能进入震荡区间。</w:t>
      </w:r>
    </w:p>
    <w:p>
      <w:pPr>
        <w:ind w:firstLine="422" w:firstLineChars="200"/>
        <w:jc w:val="center"/>
        <w:rPr>
          <w:rFonts w:hint="eastAsia"/>
          <w:b/>
          <w:bCs/>
          <w:lang w:val="en-US" w:eastAsia="zh-CN"/>
        </w:rPr>
      </w:pPr>
      <w:r>
        <w:rPr>
          <w:rFonts w:hint="eastAsia"/>
          <w:b/>
          <w:bCs/>
          <w:lang w:val="en-US" w:eastAsia="zh-CN"/>
        </w:rPr>
        <w:drawing>
          <wp:inline distT="0" distB="0" distL="114300" distR="114300">
            <wp:extent cx="1800225" cy="1080135"/>
            <wp:effectExtent l="0" t="0" r="13335" b="1905"/>
            <wp:docPr id="15" name="图片 15" descr="1715430511079(1)"/>
            <wp:cNvGraphicFramePr/>
            <a:graphic xmlns:a="http://schemas.openxmlformats.org/drawingml/2006/main">
              <a:graphicData uri="http://schemas.openxmlformats.org/drawingml/2006/picture">
                <pic:pic xmlns:pic="http://schemas.openxmlformats.org/drawingml/2006/picture">
                  <pic:nvPicPr>
                    <pic:cNvPr id="15" name="图片 15" descr="1715430511079(1)"/>
                    <pic:cNvPicPr/>
                  </pic:nvPicPr>
                  <pic:blipFill>
                    <a:blip r:embed="rId19"/>
                    <a:stretch>
                      <a:fillRect/>
                    </a:stretch>
                  </pic:blipFill>
                  <pic:spPr>
                    <a:xfrm>
                      <a:off x="0" y="0"/>
                      <a:ext cx="1800225" cy="1080135"/>
                    </a:xfrm>
                    <a:prstGeom prst="rect">
                      <a:avLst/>
                    </a:prstGeom>
                  </pic:spPr>
                </pic:pic>
              </a:graphicData>
            </a:graphic>
          </wp:inline>
        </w:drawing>
      </w:r>
    </w:p>
    <w:p>
      <w:pPr>
        <w:ind w:firstLine="420" w:firstLineChars="200"/>
        <w:jc w:val="center"/>
        <w:rPr>
          <w:rFonts w:hint="default"/>
          <w:b w:val="0"/>
          <w:bCs w:val="0"/>
          <w:lang w:val="en-US" w:eastAsia="zh-CN"/>
        </w:rPr>
      </w:pPr>
      <w:r>
        <w:rPr>
          <w:rFonts w:hint="eastAsia"/>
          <w:b w:val="0"/>
          <w:bCs w:val="0"/>
          <w:lang w:val="en-US" w:eastAsia="zh-CN"/>
        </w:rPr>
        <w:t>图13</w:t>
      </w:r>
    </w:p>
    <w:p>
      <w:pPr>
        <w:ind w:firstLine="422" w:firstLineChars="200"/>
        <w:rPr>
          <w:rFonts w:hint="eastAsia"/>
          <w:b/>
          <w:bCs/>
          <w:lang w:val="en-US" w:eastAsia="zh-CN"/>
        </w:rPr>
      </w:pPr>
      <w:r>
        <w:rPr>
          <w:rFonts w:hint="default"/>
          <w:b/>
          <w:bCs/>
          <w:lang w:val="en-US" w:eastAsia="zh-CN"/>
        </w:rPr>
        <w:t>形态分析</w:t>
      </w:r>
      <w:r>
        <w:rPr>
          <w:rFonts w:hint="eastAsia"/>
          <w:b/>
          <w:bCs/>
          <w:lang w:val="en-US" w:eastAsia="zh-CN"/>
        </w:rPr>
        <w:t>：</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如图14，MACD分析：红柱状开始缩小，股票上涨可能结束或可能进入调整期，股价可能将出现下跌，这时应卖出大部分该股票而不能买入股票；DIF和DEA均小于0时但向上移动，表示为行情即将启动，股票可能将上涨，可以买进股票或持股待涨。</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②如图15，BOLL线分析：上、中、下轨线同时平齐，该股票价格的处于调整阶段，价格短期内处于震荡，投资者应观望或逢高卖出。</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③如图16，压力线分析：该股票的跌的价格将会在黄色压力线处达到上升最大值附近震荡，可能不到达压力线，投资者可买入或涨至差不多后卖出。</w:t>
      </w:r>
    </w:p>
    <w:p>
      <w:pPr>
        <w:jc w:val="center"/>
        <w:rPr>
          <w:rFonts w:hint="eastAsia"/>
          <w:b/>
          <w:bCs/>
          <w:lang w:val="en-US" w:eastAsia="zh-CN"/>
        </w:rPr>
      </w:pPr>
      <w:r>
        <w:rPr>
          <w:rFonts w:hint="eastAsia"/>
          <w:b/>
          <w:bCs/>
          <w:lang w:val="en-US" w:eastAsia="zh-CN"/>
        </w:rPr>
        <w:drawing>
          <wp:inline distT="0" distB="0" distL="114300" distR="114300">
            <wp:extent cx="3599815" cy="1800225"/>
            <wp:effectExtent l="0" t="0" r="12065" b="13335"/>
            <wp:docPr id="21" name="图片 21" descr="1715432606220(1)"/>
            <wp:cNvGraphicFramePr/>
            <a:graphic xmlns:a="http://schemas.openxmlformats.org/drawingml/2006/main">
              <a:graphicData uri="http://schemas.openxmlformats.org/drawingml/2006/picture">
                <pic:pic xmlns:pic="http://schemas.openxmlformats.org/drawingml/2006/picture">
                  <pic:nvPicPr>
                    <pic:cNvPr id="21" name="图片 21" descr="1715432606220(1)"/>
                    <pic:cNvPicPr/>
                  </pic:nvPicPr>
                  <pic:blipFill>
                    <a:blip r:embed="rId20"/>
                    <a:stretch>
                      <a:fillRect/>
                    </a:stretch>
                  </pic:blipFill>
                  <pic:spPr>
                    <a:xfrm>
                      <a:off x="0" y="0"/>
                      <a:ext cx="3599815" cy="180022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图14</w:t>
      </w:r>
    </w:p>
    <w:p>
      <w:pPr>
        <w:jc w:val="center"/>
        <w:rPr>
          <w:rFonts w:hint="eastAsia"/>
          <w:b/>
          <w:bCs/>
          <w:lang w:val="en-US" w:eastAsia="zh-CN"/>
        </w:rPr>
      </w:pPr>
      <w:r>
        <w:rPr>
          <w:rFonts w:hint="eastAsia"/>
          <w:b/>
          <w:bCs/>
          <w:lang w:val="en-US" w:eastAsia="zh-CN"/>
        </w:rPr>
        <w:drawing>
          <wp:inline distT="0" distB="0" distL="114300" distR="114300">
            <wp:extent cx="3599815" cy="1800225"/>
            <wp:effectExtent l="0" t="0" r="12065" b="13335"/>
            <wp:docPr id="27" name="图片 27" descr="1715433936743(1)"/>
            <wp:cNvGraphicFramePr/>
            <a:graphic xmlns:a="http://schemas.openxmlformats.org/drawingml/2006/main">
              <a:graphicData uri="http://schemas.openxmlformats.org/drawingml/2006/picture">
                <pic:pic xmlns:pic="http://schemas.openxmlformats.org/drawingml/2006/picture">
                  <pic:nvPicPr>
                    <pic:cNvPr id="27" name="图片 27" descr="1715433936743(1)"/>
                    <pic:cNvPicPr/>
                  </pic:nvPicPr>
                  <pic:blipFill>
                    <a:blip r:embed="rId21"/>
                    <a:stretch>
                      <a:fillRect/>
                    </a:stretch>
                  </pic:blipFill>
                  <pic:spPr>
                    <a:xfrm>
                      <a:off x="0" y="0"/>
                      <a:ext cx="3599815" cy="180022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图15</w:t>
      </w:r>
    </w:p>
    <w:p>
      <w:pPr>
        <w:jc w:val="center"/>
        <w:rPr>
          <w:rFonts w:hint="eastAsia"/>
          <w:b/>
          <w:bCs/>
          <w:lang w:val="en-US" w:eastAsia="zh-CN"/>
        </w:rPr>
      </w:pPr>
      <w:r>
        <w:rPr>
          <w:rFonts w:hint="eastAsia"/>
          <w:b/>
          <w:bCs/>
          <w:lang w:val="en-US" w:eastAsia="zh-CN"/>
        </w:rPr>
        <w:drawing>
          <wp:inline distT="0" distB="0" distL="114300" distR="114300">
            <wp:extent cx="3599815" cy="1800225"/>
            <wp:effectExtent l="0" t="0" r="12065" b="13335"/>
            <wp:docPr id="26" name="图片 26" descr="1715433829596(1)"/>
            <wp:cNvGraphicFramePr/>
            <a:graphic xmlns:a="http://schemas.openxmlformats.org/drawingml/2006/main">
              <a:graphicData uri="http://schemas.openxmlformats.org/drawingml/2006/picture">
                <pic:pic xmlns:pic="http://schemas.openxmlformats.org/drawingml/2006/picture">
                  <pic:nvPicPr>
                    <pic:cNvPr id="26" name="图片 26" descr="1715433829596(1)"/>
                    <pic:cNvPicPr/>
                  </pic:nvPicPr>
                  <pic:blipFill>
                    <a:blip r:embed="rId22"/>
                    <a:stretch>
                      <a:fillRect/>
                    </a:stretch>
                  </pic:blipFill>
                  <pic:spPr>
                    <a:xfrm>
                      <a:off x="0" y="0"/>
                      <a:ext cx="3599815" cy="180022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图16</w:t>
      </w:r>
    </w:p>
    <w:p>
      <w:pPr>
        <w:keepNext w:val="0"/>
        <w:keepLines w:val="0"/>
        <w:widowControl/>
        <w:suppressLineNumbers w:val="0"/>
        <w:jc w:val="left"/>
        <w:rPr>
          <w:rFonts w:hint="default"/>
          <w:b w:val="0"/>
          <w:bCs w:val="0"/>
          <w:lang w:val="en-US" w:eastAsia="zh-CN"/>
        </w:rPr>
      </w:pP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中路股份：</w:t>
      </w:r>
    </w:p>
    <w:p>
      <w:pPr>
        <w:numPr>
          <w:ilvl w:val="0"/>
          <w:numId w:val="0"/>
        </w:num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kern w:val="2"/>
          <w:sz w:val="21"/>
          <w:szCs w:val="21"/>
          <w:shd w:val="clear" w:fill="FFFFFF"/>
          <w:lang w:val="en-US" w:eastAsia="zh-CN" w:bidi="ar-SA"/>
        </w:rPr>
        <w:t>1、</w:t>
      </w:r>
      <w:r>
        <w:rPr>
          <w:rFonts w:hint="eastAsia" w:ascii="Arial" w:hAnsi="Arial" w:eastAsia="宋体" w:cs="Arial"/>
          <w:i w:val="0"/>
          <w:iCs w:val="0"/>
          <w:caps w:val="0"/>
          <w:color w:val="222222"/>
          <w:spacing w:val="0"/>
          <w:sz w:val="21"/>
          <w:szCs w:val="21"/>
          <w:shd w:val="clear" w:fill="FFFFFF"/>
          <w:lang w:val="en-US" w:eastAsia="zh-CN"/>
        </w:rPr>
        <w:t>基本面分析</w:t>
      </w:r>
    </w:p>
    <w:p>
      <w:pPr>
        <w:numPr>
          <w:ilvl w:val="0"/>
          <w:numId w:val="0"/>
        </w:num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宏观面分析:</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①近几年发展方向：国内首创高空风能发电项目"安徽绩溪高空风能发电示范项目"已恢复建设完成，地面土建工程，设备安装已竣工。</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②融资情况：中路股份获融资买入0.21亿元，近三日累计买入0.55亿元。</w:t>
      </w:r>
    </w:p>
    <w:p>
      <w:pPr>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③股票情况：2024年</w:t>
      </w:r>
      <w:r>
        <w:rPr>
          <w:rFonts w:hint="default" w:ascii="Arial" w:hAnsi="Arial" w:eastAsia="宋体" w:cs="Arial"/>
          <w:i w:val="0"/>
          <w:iCs w:val="0"/>
          <w:caps w:val="0"/>
          <w:color w:val="222222"/>
          <w:spacing w:val="0"/>
          <w:kern w:val="2"/>
          <w:sz w:val="21"/>
          <w:szCs w:val="21"/>
          <w:shd w:val="clear" w:fill="FFFFFF"/>
          <w:lang w:val="en-US" w:eastAsia="zh-CN" w:bidi="ar-SA"/>
        </w:rPr>
        <w:t>5月10日，</w:t>
      </w:r>
      <w:r>
        <w:rPr>
          <w:rFonts w:hint="eastAsia" w:ascii="Arial" w:hAnsi="Arial" w:eastAsia="宋体" w:cs="Arial"/>
          <w:i w:val="0"/>
          <w:iCs w:val="0"/>
          <w:caps w:val="0"/>
          <w:color w:val="222222"/>
          <w:spacing w:val="0"/>
          <w:kern w:val="2"/>
          <w:sz w:val="21"/>
          <w:szCs w:val="21"/>
          <w:shd w:val="clear" w:fill="FFFFFF"/>
          <w:lang w:val="en-US" w:eastAsia="zh-CN" w:bidi="ar-SA"/>
        </w:rPr>
        <w:fldChar w:fldCharType="begin"/>
      </w:r>
      <w:r>
        <w:rPr>
          <w:rFonts w:hint="eastAsia" w:ascii="Arial" w:hAnsi="Arial" w:eastAsia="宋体" w:cs="Arial"/>
          <w:i w:val="0"/>
          <w:iCs w:val="0"/>
          <w:caps w:val="0"/>
          <w:color w:val="222222"/>
          <w:spacing w:val="0"/>
          <w:kern w:val="2"/>
          <w:sz w:val="21"/>
          <w:szCs w:val="21"/>
          <w:shd w:val="clear" w:fill="FFFFFF"/>
          <w:lang w:val="en-US" w:eastAsia="zh-CN" w:bidi="ar-SA"/>
        </w:rPr>
        <w:instrText xml:space="preserve"> HYPERLINK "http://quote.eastmoney.com/unify/r/1.600818" \t "https://finance.eastmoney.com/a/_blank" </w:instrText>
      </w:r>
      <w:r>
        <w:rPr>
          <w:rFonts w:hint="eastAsia" w:ascii="Arial" w:hAnsi="Arial" w:eastAsia="宋体" w:cs="Arial"/>
          <w:i w:val="0"/>
          <w:iCs w:val="0"/>
          <w:caps w:val="0"/>
          <w:color w:val="222222"/>
          <w:spacing w:val="0"/>
          <w:kern w:val="2"/>
          <w:sz w:val="21"/>
          <w:szCs w:val="21"/>
          <w:shd w:val="clear" w:fill="FFFFFF"/>
          <w:lang w:val="en-US" w:eastAsia="zh-CN" w:bidi="ar-SA"/>
        </w:rPr>
        <w:fldChar w:fldCharType="separate"/>
      </w:r>
      <w:r>
        <w:rPr>
          <w:rFonts w:hint="eastAsia" w:ascii="Arial" w:hAnsi="Arial" w:eastAsia="宋体" w:cs="Arial"/>
          <w:i w:val="0"/>
          <w:iCs w:val="0"/>
          <w:caps w:val="0"/>
          <w:color w:val="222222"/>
          <w:spacing w:val="0"/>
          <w:kern w:val="2"/>
          <w:sz w:val="21"/>
          <w:szCs w:val="21"/>
          <w:shd w:val="clear" w:fill="FFFFFF"/>
          <w:lang w:val="en-US" w:eastAsia="zh-CN" w:bidi="ar-SA"/>
        </w:rPr>
        <w:t>中路股份</w:t>
      </w:r>
      <w:r>
        <w:rPr>
          <w:rFonts w:hint="eastAsia" w:ascii="Arial" w:hAnsi="Arial" w:eastAsia="宋体" w:cs="Arial"/>
          <w:i w:val="0"/>
          <w:iCs w:val="0"/>
          <w:caps w:val="0"/>
          <w:color w:val="222222"/>
          <w:spacing w:val="0"/>
          <w:kern w:val="2"/>
          <w:sz w:val="21"/>
          <w:szCs w:val="21"/>
          <w:shd w:val="clear" w:fill="FFFFFF"/>
          <w:lang w:val="en-US" w:eastAsia="zh-CN" w:bidi="ar-SA"/>
        </w:rPr>
        <w:fldChar w:fldCharType="end"/>
      </w:r>
      <w:r>
        <w:rPr>
          <w:rFonts w:hint="eastAsia" w:ascii="Arial" w:hAnsi="Arial" w:eastAsia="宋体" w:cs="Arial"/>
          <w:i w:val="0"/>
          <w:iCs w:val="0"/>
          <w:caps w:val="0"/>
          <w:color w:val="222222"/>
          <w:spacing w:val="0"/>
          <w:kern w:val="2"/>
          <w:sz w:val="21"/>
          <w:szCs w:val="21"/>
          <w:shd w:val="clear" w:fill="FFFFFF"/>
          <w:lang w:val="en-US" w:eastAsia="zh-CN" w:bidi="ar-SA"/>
        </w:rPr>
        <w:t>盘中加速下跌，5分钟内跌幅超过2%，截至10点27分，报20.33元，成交3.48亿元，换手率6.90%。</w:t>
      </w:r>
    </w:p>
    <w:p>
      <w:pPr>
        <w:keepNext w:val="0"/>
        <w:keepLines w:val="0"/>
        <w:widowControl/>
        <w:suppressLineNumbers w:val="0"/>
        <w:ind w:firstLine="422" w:firstLineChars="200"/>
        <w:jc w:val="left"/>
        <w:rPr>
          <w:rFonts w:hint="eastAsia"/>
          <w:b/>
          <w:bCs/>
          <w:lang w:val="en-US" w:eastAsia="zh-CN"/>
        </w:rPr>
      </w:pPr>
      <w:r>
        <w:rPr>
          <w:rFonts w:hint="default"/>
          <w:b/>
          <w:bCs/>
          <w:lang w:val="en-US" w:eastAsia="zh-CN"/>
        </w:rPr>
        <w:t>行业分析</w:t>
      </w:r>
      <w:r>
        <w:rPr>
          <w:rFonts w:hint="eastAsia"/>
          <w:b/>
          <w:bCs/>
          <w:lang w:val="en-US" w:eastAsia="zh-CN"/>
        </w:rPr>
        <w:t>：</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①经营范围：自行车等制作业务和对外股权投资业务。</w:t>
      </w:r>
    </w:p>
    <w:p>
      <w:pPr>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②公司在汽车及摩托车等二级行业与三级行业分类，分别属于第14名和第7名，该领域市场竞争激烈，其在该领域竞争能力有些疲软。</w:t>
      </w:r>
    </w:p>
    <w:p>
      <w:pPr>
        <w:keepNext w:val="0"/>
        <w:keepLines w:val="0"/>
        <w:widowControl/>
        <w:suppressLineNumbers w:val="0"/>
        <w:ind w:firstLine="422" w:firstLineChars="200"/>
        <w:jc w:val="left"/>
        <w:rPr>
          <w:rFonts w:hint="eastAsia"/>
          <w:b/>
          <w:bCs/>
          <w:lang w:val="en-US" w:eastAsia="zh-CN"/>
        </w:rPr>
      </w:pPr>
      <w:r>
        <w:rPr>
          <w:rFonts w:hint="default"/>
          <w:b/>
          <w:bCs/>
          <w:lang w:val="en-US" w:eastAsia="zh-CN"/>
        </w:rPr>
        <w:t>公司技术水平</w:t>
      </w:r>
      <w:r>
        <w:rPr>
          <w:rFonts w:hint="eastAsia"/>
          <w:b/>
          <w:bCs/>
          <w:lang w:val="en-US" w:eastAsia="zh-CN"/>
        </w:rPr>
        <w:t>：</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①传统自行车生产，拥有传统老牌自行车品牌永久，</w:t>
      </w:r>
      <w:r>
        <w:rPr>
          <w:rFonts w:hint="default" w:ascii="Arial" w:hAnsi="Arial" w:eastAsia="宋体" w:cs="Arial"/>
          <w:i w:val="0"/>
          <w:iCs w:val="0"/>
          <w:caps w:val="0"/>
          <w:color w:val="222222"/>
          <w:spacing w:val="0"/>
          <w:kern w:val="2"/>
          <w:sz w:val="21"/>
          <w:szCs w:val="21"/>
          <w:shd w:val="clear" w:fill="FFFFFF"/>
          <w:lang w:val="en-US" w:eastAsia="zh-CN" w:bidi="ar-SA"/>
        </w:rPr>
        <w:t>德国静电烤漆工艺，长久不褪色，使用寿命长</w:t>
      </w:r>
      <w:r>
        <w:rPr>
          <w:rFonts w:hint="eastAsia" w:ascii="Arial" w:hAnsi="Arial" w:eastAsia="宋体" w:cs="Arial"/>
          <w:i w:val="0"/>
          <w:iCs w:val="0"/>
          <w:caps w:val="0"/>
          <w:color w:val="222222"/>
          <w:spacing w:val="0"/>
          <w:kern w:val="2"/>
          <w:sz w:val="21"/>
          <w:szCs w:val="21"/>
          <w:shd w:val="clear" w:fill="FFFFFF"/>
          <w:lang w:val="en-US" w:eastAsia="zh-CN" w:bidi="ar-SA"/>
        </w:rPr>
        <w:t>，</w:t>
      </w:r>
      <w:r>
        <w:rPr>
          <w:rFonts w:hint="default" w:ascii="Arial" w:hAnsi="Arial" w:eastAsia="宋体" w:cs="Arial"/>
          <w:i w:val="0"/>
          <w:iCs w:val="0"/>
          <w:caps w:val="0"/>
          <w:color w:val="222222"/>
          <w:spacing w:val="0"/>
          <w:kern w:val="2"/>
          <w:sz w:val="21"/>
          <w:szCs w:val="21"/>
          <w:shd w:val="clear" w:fill="FFFFFF"/>
          <w:lang w:val="en-US" w:eastAsia="zh-CN" w:bidi="ar-SA"/>
        </w:rPr>
        <w:t>耐磨耐扎外胎，抓地力强，很轻的重量，地滚阻安全性高</w:t>
      </w:r>
      <w:r>
        <w:rPr>
          <w:rFonts w:hint="eastAsia" w:ascii="Arial" w:hAnsi="Arial" w:eastAsia="宋体" w:cs="Arial"/>
          <w:i w:val="0"/>
          <w:iCs w:val="0"/>
          <w:caps w:val="0"/>
          <w:color w:val="222222"/>
          <w:spacing w:val="0"/>
          <w:kern w:val="2"/>
          <w:sz w:val="21"/>
          <w:szCs w:val="21"/>
          <w:shd w:val="clear" w:fill="FFFFFF"/>
          <w:lang w:val="en-US" w:eastAsia="zh-CN" w:bidi="ar-SA"/>
        </w:rPr>
        <w:t>。</w:t>
      </w:r>
    </w:p>
    <w:p>
      <w:pPr>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w:t>
      </w:r>
      <w:r>
        <w:rPr>
          <w:rFonts w:hint="default" w:ascii="Arial" w:hAnsi="Arial" w:eastAsia="宋体" w:cs="Arial"/>
          <w:i w:val="0"/>
          <w:iCs w:val="0"/>
          <w:caps w:val="0"/>
          <w:color w:val="222222"/>
          <w:spacing w:val="0"/>
          <w:kern w:val="2"/>
          <w:sz w:val="21"/>
          <w:szCs w:val="21"/>
          <w:shd w:val="clear" w:fill="FFFFFF"/>
          <w:lang w:val="en-US" w:eastAsia="zh-CN" w:bidi="ar-SA"/>
        </w:rPr>
        <w:t>电摩业务方面，中路股份产品技术水平先进，产品类型丰富</w:t>
      </w:r>
      <w:r>
        <w:rPr>
          <w:rFonts w:hint="eastAsia" w:ascii="Arial" w:hAnsi="Arial" w:eastAsia="宋体" w:cs="Arial"/>
          <w:i w:val="0"/>
          <w:iCs w:val="0"/>
          <w:caps w:val="0"/>
          <w:color w:val="222222"/>
          <w:spacing w:val="0"/>
          <w:kern w:val="2"/>
          <w:sz w:val="21"/>
          <w:szCs w:val="21"/>
          <w:shd w:val="clear" w:fill="FFFFFF"/>
          <w:lang w:val="en-US" w:eastAsia="zh-CN" w:bidi="ar-SA"/>
        </w:rPr>
        <w:t>，</w:t>
      </w:r>
      <w:r>
        <w:rPr>
          <w:rFonts w:hint="default" w:ascii="Arial" w:hAnsi="Arial" w:eastAsia="宋体" w:cs="Arial"/>
          <w:i w:val="0"/>
          <w:iCs w:val="0"/>
          <w:caps w:val="0"/>
          <w:color w:val="222222"/>
          <w:spacing w:val="0"/>
          <w:kern w:val="2"/>
          <w:sz w:val="21"/>
          <w:szCs w:val="21"/>
          <w:shd w:val="clear" w:fill="FFFFFF"/>
          <w:lang w:val="en-US" w:eastAsia="zh-CN" w:bidi="ar-SA"/>
        </w:rPr>
        <w:t>提供专门定制服务，深受消费者的喜爱，多款产品里都安装了锂电池，安全高效，保证提供充足的电力。</w:t>
      </w:r>
    </w:p>
    <w:p>
      <w:pPr>
        <w:keepNext w:val="0"/>
        <w:keepLines w:val="0"/>
        <w:widowControl/>
        <w:suppressLineNumbers w:val="0"/>
        <w:ind w:firstLine="422" w:firstLineChars="200"/>
        <w:jc w:val="left"/>
        <w:rPr>
          <w:rFonts w:hint="eastAsia"/>
          <w:b/>
          <w:bCs/>
          <w:lang w:val="en-US" w:eastAsia="zh-CN"/>
        </w:rPr>
      </w:pPr>
      <w:r>
        <w:rPr>
          <w:rFonts w:hint="default"/>
          <w:b/>
          <w:bCs/>
          <w:lang w:val="en-US" w:eastAsia="zh-CN"/>
        </w:rPr>
        <w:t>规模分析</w:t>
      </w:r>
      <w:r>
        <w:rPr>
          <w:rFonts w:hint="eastAsia"/>
          <w:b/>
          <w:bCs/>
          <w:lang w:val="en-US" w:eastAsia="zh-CN"/>
        </w:rPr>
        <w:t>：</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default" w:ascii="Arial" w:hAnsi="Arial" w:eastAsia="宋体" w:cs="Arial"/>
          <w:i w:val="0"/>
          <w:iCs w:val="0"/>
          <w:caps w:val="0"/>
          <w:color w:val="222222"/>
          <w:spacing w:val="0"/>
          <w:kern w:val="2"/>
          <w:sz w:val="21"/>
          <w:szCs w:val="21"/>
          <w:shd w:val="clear" w:fill="FFFFFF"/>
          <w:lang w:val="en-US" w:eastAsia="zh-CN" w:bidi="ar-SA"/>
        </w:rPr>
        <w:t>上海中路（集团）有限公司，成立于1998年，是一间以投资为核心，业务范围涵盖并购产业、投资产业、影视文化和休闲文化等四个领域的集团公司。中路集团并购产业包括中路股份、大路股份、咸阳偏转等三间上市公司。</w:t>
      </w:r>
    </w:p>
    <w:p>
      <w:pPr>
        <w:keepNext w:val="0"/>
        <w:keepLines w:val="0"/>
        <w:widowControl/>
        <w:suppressLineNumbers w:val="0"/>
        <w:ind w:firstLine="422" w:firstLineChars="200"/>
        <w:jc w:val="left"/>
        <w:rPr>
          <w:rFonts w:hint="eastAsia"/>
          <w:b/>
          <w:bCs/>
          <w:lang w:val="en-US" w:eastAsia="zh-CN"/>
        </w:rPr>
      </w:pPr>
      <w:r>
        <w:rPr>
          <w:rFonts w:hint="default"/>
          <w:b/>
          <w:bCs/>
          <w:lang w:val="en-US" w:eastAsia="zh-CN"/>
        </w:rPr>
        <w:t>财务分析</w:t>
      </w:r>
      <w:r>
        <w:rPr>
          <w:rFonts w:hint="eastAsia"/>
          <w:b/>
          <w:bCs/>
          <w:lang w:val="en-US" w:eastAsia="zh-CN"/>
        </w:rPr>
        <w:t>：</w:t>
      </w:r>
    </w:p>
    <w:p>
      <w:pPr>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①最近经营状况：公司实现营业收入2亿元，同比增长6.22%，实现归母净利润-567万元，同比由盈转亏</w:t>
      </w:r>
      <w:r>
        <w:rPr>
          <w:rFonts w:hint="default" w:ascii="Arial" w:hAnsi="Arial" w:eastAsia="宋体" w:cs="Arial"/>
          <w:i w:val="0"/>
          <w:iCs w:val="0"/>
          <w:caps w:val="0"/>
          <w:color w:val="222222"/>
          <w:spacing w:val="0"/>
          <w:kern w:val="2"/>
          <w:sz w:val="21"/>
          <w:szCs w:val="21"/>
          <w:shd w:val="clear" w:fill="FFFFFF"/>
          <w:lang w:val="en-US" w:eastAsia="zh-CN" w:bidi="ar-SA"/>
        </w:rPr>
        <w:t>，实现经营活动产生的现金流量净额-0.31亿元，同比持续恶化，资产负债率为37.02%，同比上升0.17个百分点。</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②经营分析：其盈利方式主要通过自行车、童车等销售，其占比为百分之65，电动自行车销售额占比为百分之20；并且主要面对国内市场，国外市场销售额度极低。</w:t>
      </w:r>
    </w:p>
    <w:p>
      <w:pPr>
        <w:keepNext w:val="0"/>
        <w:keepLines w:val="0"/>
        <w:widowControl/>
        <w:suppressLineNumbers w:val="0"/>
        <w:ind w:firstLine="420" w:firstLineChars="200"/>
        <w:jc w:val="left"/>
        <w:rPr>
          <w:rFonts w:hint="default" w:ascii="Arial" w:hAnsi="Arial" w:eastAsia="宋体" w:cs="Arial"/>
          <w:b w:val="0"/>
          <w:bCs w:val="0"/>
          <w:i w:val="0"/>
          <w:iCs w:val="0"/>
          <w:caps w:val="0"/>
          <w:color w:val="000000"/>
          <w:spacing w:val="0"/>
          <w:kern w:val="2"/>
          <w:sz w:val="21"/>
          <w:szCs w:val="21"/>
          <w:shd w:val="clear" w:fill="FFFFFF"/>
          <w:lang w:val="en-US" w:eastAsia="zh-CN" w:bidi="ar-SA"/>
        </w:rPr>
      </w:pPr>
      <w:r>
        <w:rPr>
          <w:rFonts w:hint="eastAsia" w:ascii="Arial" w:hAnsi="Arial" w:eastAsia="宋体" w:cs="Arial"/>
          <w:b w:val="0"/>
          <w:bCs w:val="0"/>
          <w:i w:val="0"/>
          <w:iCs w:val="0"/>
          <w:caps w:val="0"/>
          <w:color w:val="000000"/>
          <w:spacing w:val="0"/>
          <w:kern w:val="2"/>
          <w:sz w:val="21"/>
          <w:szCs w:val="21"/>
          <w:shd w:val="clear" w:fill="FFFFFF"/>
          <w:lang w:val="en-US" w:eastAsia="zh-CN" w:bidi="ar-SA"/>
        </w:rPr>
        <w:t>2、证券投资技术分析：</w:t>
      </w:r>
    </w:p>
    <w:p>
      <w:pPr>
        <w:ind w:firstLine="422" w:firstLineChars="200"/>
        <w:rPr>
          <w:rFonts w:hint="eastAsia"/>
          <w:b/>
          <w:bCs/>
          <w:lang w:val="en-US" w:eastAsia="zh-CN"/>
        </w:rPr>
      </w:pPr>
      <w:r>
        <w:rPr>
          <w:rFonts w:hint="default"/>
          <w:b/>
          <w:bCs/>
          <w:lang w:val="en-US" w:eastAsia="zh-CN"/>
        </w:rPr>
        <w:t>K线图分析</w:t>
      </w:r>
      <w:r>
        <w:rPr>
          <w:rFonts w:hint="eastAsia"/>
          <w:b/>
          <w:bCs/>
          <w:lang w:val="en-US" w:eastAsia="zh-CN"/>
        </w:rPr>
        <w:t>：</w:t>
      </w:r>
    </w:p>
    <w:p>
      <w:pPr>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如图17所示</w:t>
      </w:r>
    </w:p>
    <w:p>
      <w:pPr>
        <w:pStyle w:val="3"/>
        <w:keepNext w:val="0"/>
        <w:keepLines w:val="0"/>
        <w:widowControl/>
        <w:suppressLineNumbers w:val="0"/>
        <w:shd w:val="clear" w:fill="FFFFFF"/>
        <w:spacing w:before="294" w:beforeAutospacing="0" w:after="294" w:afterAutospacing="0"/>
        <w:ind w:left="0" w:right="0" w:firstLine="420" w:firstLineChars="200"/>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①绿色框K线特点：平均线的多头排列，典型性的均线多头排列。一般来说，不论是股票還是大盘，是一个较为普遍的高涨数据信号。投资人应当以持仓主导，尽量不要售出。在4月30日最高点涨到了25.38。</w:t>
      </w:r>
    </w:p>
    <w:p>
      <w:pPr>
        <w:pStyle w:val="3"/>
        <w:keepNext w:val="0"/>
        <w:keepLines w:val="0"/>
        <w:widowControl/>
        <w:suppressLineNumbers w:val="0"/>
        <w:shd w:val="clear" w:fill="FFFFFF"/>
        <w:spacing w:before="294" w:beforeAutospacing="0" w:after="294" w:afterAutospacing="0"/>
        <w:ind w:left="0" w:right="0" w:firstLine="420" w:firstLineChars="20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②黄色框K线特点，多条平均线挤占一起，</w:t>
      </w:r>
      <w:r>
        <w:rPr>
          <w:rFonts w:hint="eastAsia" w:asciiTheme="minorHAnsi" w:hAnsiTheme="minorHAnsi" w:eastAsiaTheme="minorEastAsia" w:cstheme="minorBidi"/>
          <w:kern w:val="2"/>
          <w:sz w:val="21"/>
          <w:szCs w:val="24"/>
          <w:lang w:val="en-US" w:eastAsia="zh-CN" w:bidi="ar-SA"/>
        </w:rPr>
        <w:t>弧形降低</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中后期挪动平均数在正中间，短期内挪动均值再下。</w:t>
      </w:r>
      <w:r>
        <w:rPr>
          <w:rFonts w:hint="eastAsia" w:cstheme="minorBidi"/>
          <w:kern w:val="2"/>
          <w:sz w:val="21"/>
          <w:szCs w:val="24"/>
          <w:lang w:val="en-US" w:eastAsia="zh-CN" w:bidi="ar-SA"/>
        </w:rPr>
        <w:t>中路股份</w:t>
      </w:r>
      <w:r>
        <w:rPr>
          <w:rFonts w:hint="eastAsia" w:asciiTheme="minorHAnsi" w:hAnsiTheme="minorHAnsi" w:eastAsiaTheme="minorEastAsia" w:cstheme="minorBidi"/>
          <w:kern w:val="2"/>
          <w:sz w:val="21"/>
          <w:szCs w:val="24"/>
          <w:lang w:val="en-US" w:eastAsia="zh-CN" w:bidi="ar-SA"/>
        </w:rPr>
        <w:t>这只股</w:t>
      </w:r>
      <w:r>
        <w:rPr>
          <w:rFonts w:hint="eastAsia" w:cstheme="minorBidi"/>
          <w:kern w:val="2"/>
          <w:sz w:val="21"/>
          <w:szCs w:val="24"/>
          <w:lang w:val="en-US" w:eastAsia="zh-CN" w:bidi="ar-SA"/>
        </w:rPr>
        <w:t>可能进入</w:t>
      </w:r>
      <w:r>
        <w:rPr>
          <w:rFonts w:hint="eastAsia" w:asciiTheme="minorHAnsi" w:hAnsiTheme="minorHAnsi" w:eastAsiaTheme="minorEastAsia" w:cstheme="minorBidi"/>
          <w:kern w:val="2"/>
          <w:sz w:val="21"/>
          <w:szCs w:val="24"/>
          <w:lang w:val="en-US" w:eastAsia="zh-CN" w:bidi="ar-SA"/>
        </w:rPr>
        <w:t>下挫周期时间，行情趋弱</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未来可能要有大幅的下挫。这一时候可售出手上的个股或股票止损退场，持币观望。</w:t>
      </w:r>
      <w:r>
        <w:rPr>
          <w:rFonts w:hint="eastAsia" w:ascii="Arial" w:hAnsi="Arial" w:eastAsia="宋体" w:cs="Arial"/>
          <w:i w:val="0"/>
          <w:iCs w:val="0"/>
          <w:caps w:val="0"/>
          <w:color w:val="222222"/>
          <w:spacing w:val="0"/>
          <w:kern w:val="2"/>
          <w:sz w:val="21"/>
          <w:szCs w:val="21"/>
          <w:shd w:val="clear" w:fill="FFFFFF"/>
          <w:lang w:val="en-US" w:eastAsia="zh-CN" w:bidi="ar-SA"/>
        </w:rPr>
        <w:drawing>
          <wp:inline distT="0" distB="0" distL="114300" distR="114300">
            <wp:extent cx="3599815" cy="1800225"/>
            <wp:effectExtent l="0" t="0" r="12065" b="13335"/>
            <wp:docPr id="14" name="图片 5" descr="IMG_256"/>
            <wp:cNvGraphicFramePr/>
            <a:graphic xmlns:a="http://schemas.openxmlformats.org/drawingml/2006/main">
              <a:graphicData uri="http://schemas.openxmlformats.org/drawingml/2006/picture">
                <pic:pic xmlns:pic="http://schemas.openxmlformats.org/drawingml/2006/picture">
                  <pic:nvPicPr>
                    <pic:cNvPr id="14" name="图片 5" descr="IMG_256"/>
                    <pic:cNvPicPr/>
                  </pic:nvPicPr>
                  <pic:blipFill>
                    <a:blip r:embed="rId23"/>
                    <a:stretch>
                      <a:fillRect/>
                    </a:stretch>
                  </pic:blipFill>
                  <pic:spPr>
                    <a:xfrm>
                      <a:off x="0" y="0"/>
                      <a:ext cx="3599815" cy="180022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图17</w:t>
      </w:r>
    </w:p>
    <w:p>
      <w:pPr>
        <w:ind w:firstLine="422" w:firstLineChars="200"/>
        <w:rPr>
          <w:rFonts w:hint="eastAsia"/>
          <w:b/>
          <w:bCs/>
          <w:lang w:val="en-US" w:eastAsia="zh-CN"/>
        </w:rPr>
      </w:pPr>
      <w:r>
        <w:rPr>
          <w:rFonts w:hint="default"/>
          <w:b/>
          <w:bCs/>
          <w:lang w:val="en-US" w:eastAsia="zh-CN"/>
        </w:rPr>
        <w:t>形态分析</w:t>
      </w:r>
      <w:r>
        <w:rPr>
          <w:rFonts w:hint="eastAsia"/>
          <w:b/>
          <w:bCs/>
          <w:lang w:val="en-US" w:eastAsia="zh-CN"/>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①如图18，MACD分析：</w:t>
      </w:r>
      <w:r>
        <w:rPr>
          <w:rFonts w:hint="default" w:ascii="Arial" w:hAnsi="Arial" w:eastAsia="宋体" w:cs="Arial"/>
          <w:i w:val="0"/>
          <w:iCs w:val="0"/>
          <w:caps w:val="0"/>
          <w:color w:val="222222"/>
          <w:spacing w:val="0"/>
          <w:kern w:val="2"/>
          <w:sz w:val="21"/>
          <w:szCs w:val="21"/>
          <w:shd w:val="clear" w:fill="FFFFFF"/>
          <w:lang w:val="en-US" w:eastAsia="zh-CN" w:bidi="ar-SA"/>
        </w:rPr>
        <w:t>绿柱状持续放大，表明股市处于熊市行情之中，股价</w:t>
      </w:r>
      <w:r>
        <w:rPr>
          <w:rFonts w:hint="eastAsia" w:ascii="Arial" w:hAnsi="Arial" w:eastAsia="宋体" w:cs="Arial"/>
          <w:i w:val="0"/>
          <w:iCs w:val="0"/>
          <w:caps w:val="0"/>
          <w:color w:val="222222"/>
          <w:spacing w:val="0"/>
          <w:kern w:val="2"/>
          <w:sz w:val="21"/>
          <w:szCs w:val="21"/>
          <w:shd w:val="clear" w:fill="FFFFFF"/>
          <w:lang w:val="en-US" w:eastAsia="zh-CN" w:bidi="ar-SA"/>
        </w:rPr>
        <w:t>可能</w:t>
      </w:r>
      <w:r>
        <w:rPr>
          <w:rFonts w:hint="default" w:ascii="Arial" w:hAnsi="Arial" w:eastAsia="宋体" w:cs="Arial"/>
          <w:i w:val="0"/>
          <w:iCs w:val="0"/>
          <w:caps w:val="0"/>
          <w:color w:val="222222"/>
          <w:spacing w:val="0"/>
          <w:kern w:val="2"/>
          <w:sz w:val="21"/>
          <w:szCs w:val="21"/>
          <w:shd w:val="clear" w:fill="FFFFFF"/>
          <w:lang w:val="en-US" w:eastAsia="zh-CN" w:bidi="ar-SA"/>
        </w:rPr>
        <w:t>将继续下跌，这时应持币观望或卖出股票，直到绿柱开始缩小时才可以考虑少量买入股票</w:t>
      </w:r>
      <w:r>
        <w:rPr>
          <w:rFonts w:hint="eastAsia" w:ascii="Arial" w:hAnsi="Arial" w:eastAsia="宋体" w:cs="Arial"/>
          <w:i w:val="0"/>
          <w:iCs w:val="0"/>
          <w:caps w:val="0"/>
          <w:color w:val="222222"/>
          <w:spacing w:val="0"/>
          <w:kern w:val="2"/>
          <w:sz w:val="21"/>
          <w:szCs w:val="21"/>
          <w:shd w:val="clear" w:fill="FFFFFF"/>
          <w:lang w:val="en-US" w:eastAsia="zh-CN" w:bidi="ar-SA"/>
        </w:rPr>
        <w:t>；DIF和DEA均大于0但向下移动，股票行情处于退潮阶段，股票下跌，可以卖出股票和观望。</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w:t>
      </w:r>
      <w:r>
        <w:rPr>
          <w:rFonts w:hint="eastAsia" w:ascii="Arial" w:hAnsi="Arial" w:eastAsia="宋体" w:cs="Arial"/>
          <w:i w:val="0"/>
          <w:iCs w:val="0"/>
          <w:caps w:val="0"/>
          <w:color w:val="222222"/>
          <w:spacing w:val="0"/>
          <w:kern w:val="2"/>
          <w:sz w:val="21"/>
          <w:szCs w:val="21"/>
          <w:shd w:val="clear" w:fill="FFFFFF"/>
          <w:lang w:val="en-US" w:eastAsia="zh-CN" w:bidi="ar-SA"/>
        </w:rPr>
        <w:t>如图19，</w:t>
      </w:r>
      <w:r>
        <w:rPr>
          <w:rFonts w:hint="eastAsia" w:ascii="Arial" w:hAnsi="Arial" w:eastAsia="宋体" w:cs="Arial"/>
          <w:i w:val="0"/>
          <w:iCs w:val="0"/>
          <w:caps w:val="0"/>
          <w:color w:val="222222"/>
          <w:spacing w:val="0"/>
          <w:kern w:val="2"/>
          <w:sz w:val="21"/>
          <w:szCs w:val="21"/>
          <w:shd w:val="clear" w:fill="FFFFFF"/>
          <w:lang w:val="en-US" w:eastAsia="zh-CN" w:bidi="ar-SA"/>
        </w:rPr>
        <w:t>BOLL线红框中：上、中、下轨线同时向上运行，价格强势特征非常明显，价格上涨，投资者可继续持有待涨卖出或卖出留利；BOLL线黄框中：上、中、下轨线同时平齐，该股票价格的处于调整阶段，可能后期BOLL线向下运动，投资者应观望或卖出留本。</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③</w:t>
      </w:r>
      <w:r>
        <w:rPr>
          <w:rFonts w:hint="eastAsia" w:ascii="Arial" w:hAnsi="Arial" w:eastAsia="宋体" w:cs="Arial"/>
          <w:i w:val="0"/>
          <w:iCs w:val="0"/>
          <w:caps w:val="0"/>
          <w:color w:val="222222"/>
          <w:spacing w:val="0"/>
          <w:kern w:val="2"/>
          <w:sz w:val="21"/>
          <w:szCs w:val="21"/>
          <w:shd w:val="clear" w:fill="FFFFFF"/>
          <w:lang w:val="en-US" w:eastAsia="zh-CN" w:bidi="ar-SA"/>
        </w:rPr>
        <w:t>如图20，</w:t>
      </w:r>
      <w:r>
        <w:rPr>
          <w:rFonts w:hint="eastAsia" w:ascii="Arial" w:hAnsi="Arial" w:eastAsia="宋体" w:cs="Arial"/>
          <w:i w:val="0"/>
          <w:iCs w:val="0"/>
          <w:caps w:val="0"/>
          <w:color w:val="222222"/>
          <w:spacing w:val="0"/>
          <w:kern w:val="2"/>
          <w:sz w:val="21"/>
          <w:szCs w:val="21"/>
          <w:shd w:val="clear" w:fill="FFFFFF"/>
          <w:lang w:val="en-US" w:eastAsia="zh-CN" w:bidi="ar-SA"/>
        </w:rPr>
        <w:t>压力线分析：该股票的跌的价格将会在黄色压力线上升后下调，处于震荡期，近几日为下降趋势，股票处于震荡期，投资者应该谨慎购入，卖出留本或留币观望。</w:t>
      </w:r>
    </w:p>
    <w:p>
      <w:pPr>
        <w:pStyle w:val="3"/>
        <w:keepNext w:val="0"/>
        <w:keepLines w:val="0"/>
        <w:widowControl/>
        <w:suppressLineNumbers w:val="0"/>
        <w:shd w:val="clear" w:fill="FFFFFF"/>
        <w:spacing w:before="294" w:beforeAutospacing="0" w:after="294" w:afterAutospacing="0"/>
        <w:ind w:left="0" w:right="0" w:firstLine="0"/>
        <w:jc w:val="center"/>
        <w:rPr>
          <w:rFonts w:hint="default"/>
          <w:b/>
          <w:bCs/>
          <w:lang w:val="en-US" w:eastAsia="zh-CN"/>
        </w:rPr>
      </w:pPr>
      <w:r>
        <w:rPr>
          <w:rFonts w:hint="default"/>
          <w:b/>
          <w:bCs/>
          <w:lang w:val="en-US" w:eastAsia="zh-CN"/>
        </w:rPr>
        <w:drawing>
          <wp:inline distT="0" distB="0" distL="114300" distR="114300">
            <wp:extent cx="3599815" cy="1800225"/>
            <wp:effectExtent l="0" t="0" r="12065" b="13335"/>
            <wp:docPr id="22" name="图片 22" descr="1715433139555(1)"/>
            <wp:cNvGraphicFramePr/>
            <a:graphic xmlns:a="http://schemas.openxmlformats.org/drawingml/2006/main">
              <a:graphicData uri="http://schemas.openxmlformats.org/drawingml/2006/picture">
                <pic:pic xmlns:pic="http://schemas.openxmlformats.org/drawingml/2006/picture">
                  <pic:nvPicPr>
                    <pic:cNvPr id="22" name="图片 22" descr="1715433139555(1)"/>
                    <pic:cNvPicPr/>
                  </pic:nvPicPr>
                  <pic:blipFill>
                    <a:blip r:embed="rId24"/>
                    <a:stretch>
                      <a:fillRect/>
                    </a:stretch>
                  </pic:blipFill>
                  <pic:spPr>
                    <a:xfrm>
                      <a:off x="0" y="0"/>
                      <a:ext cx="3599815" cy="1800225"/>
                    </a:xfrm>
                    <a:prstGeom prst="rect">
                      <a:avLst/>
                    </a:prstGeom>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jc w:val="center"/>
        <w:rPr>
          <w:rFonts w:hint="default"/>
          <w:b/>
          <w:bCs/>
          <w:lang w:val="en-US" w:eastAsia="zh-CN"/>
        </w:rPr>
      </w:pPr>
      <w:r>
        <w:rPr>
          <w:rFonts w:hint="eastAsia" w:ascii="Arial" w:hAnsi="Arial" w:eastAsia="宋体" w:cs="Arial"/>
          <w:i w:val="0"/>
          <w:iCs w:val="0"/>
          <w:caps w:val="0"/>
          <w:color w:val="222222"/>
          <w:spacing w:val="0"/>
          <w:kern w:val="2"/>
          <w:sz w:val="21"/>
          <w:szCs w:val="21"/>
          <w:shd w:val="clear" w:fill="FFFFFF"/>
          <w:lang w:val="en-US" w:eastAsia="zh-CN" w:bidi="ar-SA"/>
        </w:rPr>
        <w:t>图18</w:t>
      </w:r>
    </w:p>
    <w:p>
      <w:pPr>
        <w:pStyle w:val="3"/>
        <w:keepNext w:val="0"/>
        <w:keepLines w:val="0"/>
        <w:widowControl/>
        <w:suppressLineNumbers w:val="0"/>
        <w:shd w:val="clear" w:fill="FFFFFF"/>
        <w:spacing w:before="294" w:beforeAutospacing="0" w:after="294" w:afterAutospacing="0"/>
        <w:ind w:left="0" w:right="0" w:firstLine="0"/>
        <w:jc w:val="center"/>
        <w:rPr>
          <w:rFonts w:hint="default"/>
          <w:b/>
          <w:bCs/>
          <w:lang w:val="en-US" w:eastAsia="zh-CN"/>
        </w:rPr>
      </w:pPr>
      <w:r>
        <w:rPr>
          <w:rFonts w:hint="default"/>
          <w:b/>
          <w:bCs/>
          <w:lang w:val="en-US" w:eastAsia="zh-CN"/>
        </w:rPr>
        <w:drawing>
          <wp:inline distT="0" distB="0" distL="114300" distR="114300">
            <wp:extent cx="1800225" cy="1080135"/>
            <wp:effectExtent l="0" t="0" r="13335" b="1905"/>
            <wp:docPr id="28" name="图片 28" descr="1715434028349(1)"/>
            <wp:cNvGraphicFramePr/>
            <a:graphic xmlns:a="http://schemas.openxmlformats.org/drawingml/2006/main">
              <a:graphicData uri="http://schemas.openxmlformats.org/drawingml/2006/picture">
                <pic:pic xmlns:pic="http://schemas.openxmlformats.org/drawingml/2006/picture">
                  <pic:nvPicPr>
                    <pic:cNvPr id="28" name="图片 28" descr="1715434028349(1)"/>
                    <pic:cNvPicPr/>
                  </pic:nvPicPr>
                  <pic:blipFill>
                    <a:blip r:embed="rId25"/>
                    <a:stretch>
                      <a:fillRect/>
                    </a:stretch>
                  </pic:blipFill>
                  <pic:spPr>
                    <a:xfrm>
                      <a:off x="0" y="0"/>
                      <a:ext cx="1800225" cy="1080135"/>
                    </a:xfrm>
                    <a:prstGeom prst="rect">
                      <a:avLst/>
                    </a:prstGeom>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图19</w:t>
      </w:r>
    </w:p>
    <w:p>
      <w:pPr>
        <w:pStyle w:val="3"/>
        <w:keepNext w:val="0"/>
        <w:keepLines w:val="0"/>
        <w:widowControl/>
        <w:suppressLineNumbers w:val="0"/>
        <w:shd w:val="clear" w:fill="FFFFFF"/>
        <w:spacing w:before="294" w:beforeAutospacing="0" w:after="294" w:afterAutospacing="0"/>
        <w:ind w:left="0" w:right="0" w:firstLine="0"/>
        <w:jc w:val="center"/>
        <w:rPr>
          <w:rFonts w:hint="default"/>
          <w:b/>
          <w:bCs/>
          <w:lang w:val="en-US" w:eastAsia="zh-CN"/>
        </w:rPr>
      </w:pPr>
      <w:r>
        <w:rPr>
          <w:rFonts w:hint="default"/>
          <w:b/>
          <w:bCs/>
          <w:lang w:val="en-US" w:eastAsia="zh-CN"/>
        </w:rPr>
        <w:drawing>
          <wp:inline distT="0" distB="0" distL="114300" distR="114300">
            <wp:extent cx="3599815" cy="1800225"/>
            <wp:effectExtent l="0" t="0" r="12065" b="13335"/>
            <wp:docPr id="29" name="图片 29" descr="1715434409695(1)"/>
            <wp:cNvGraphicFramePr/>
            <a:graphic xmlns:a="http://schemas.openxmlformats.org/drawingml/2006/main">
              <a:graphicData uri="http://schemas.openxmlformats.org/drawingml/2006/picture">
                <pic:pic xmlns:pic="http://schemas.openxmlformats.org/drawingml/2006/picture">
                  <pic:nvPicPr>
                    <pic:cNvPr id="29" name="图片 29" descr="1715434409695(1)"/>
                    <pic:cNvPicPr/>
                  </pic:nvPicPr>
                  <pic:blipFill>
                    <a:blip r:embed="rId26"/>
                    <a:stretch>
                      <a:fillRect/>
                    </a:stretch>
                  </pic:blipFill>
                  <pic:spPr>
                    <a:xfrm>
                      <a:off x="0" y="0"/>
                      <a:ext cx="3599815" cy="1800225"/>
                    </a:xfrm>
                    <a:prstGeom prst="rect">
                      <a:avLst/>
                    </a:prstGeom>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图20</w:t>
      </w: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p>
    <w:p>
      <w:pPr>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紫光股份：</w:t>
      </w:r>
    </w:p>
    <w:p>
      <w:pPr>
        <w:numPr>
          <w:ilvl w:val="0"/>
          <w:numId w:val="0"/>
        </w:num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kern w:val="2"/>
          <w:sz w:val="21"/>
          <w:szCs w:val="21"/>
          <w:shd w:val="clear" w:fill="FFFFFF"/>
          <w:lang w:val="en-US" w:eastAsia="zh-CN" w:bidi="ar-SA"/>
        </w:rPr>
        <w:t>1、</w:t>
      </w:r>
      <w:r>
        <w:rPr>
          <w:rFonts w:hint="eastAsia" w:ascii="Arial" w:hAnsi="Arial" w:eastAsia="宋体" w:cs="Arial"/>
          <w:i w:val="0"/>
          <w:iCs w:val="0"/>
          <w:caps w:val="0"/>
          <w:color w:val="222222"/>
          <w:spacing w:val="0"/>
          <w:sz w:val="21"/>
          <w:szCs w:val="21"/>
          <w:shd w:val="clear" w:fill="FFFFFF"/>
          <w:lang w:val="en-US" w:eastAsia="zh-CN"/>
        </w:rPr>
        <w:t>基本面分析</w:t>
      </w:r>
    </w:p>
    <w:p>
      <w:pPr>
        <w:numPr>
          <w:ilvl w:val="0"/>
          <w:numId w:val="0"/>
        </w:numPr>
        <w:ind w:firstLine="422" w:firstLineChars="200"/>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b/>
          <w:bCs/>
          <w:i w:val="0"/>
          <w:iCs w:val="0"/>
          <w:caps w:val="0"/>
          <w:color w:val="222222"/>
          <w:spacing w:val="0"/>
          <w:sz w:val="21"/>
          <w:szCs w:val="21"/>
          <w:shd w:val="clear" w:fill="FFFFFF"/>
          <w:lang w:val="en-US" w:eastAsia="zh-CN"/>
        </w:rPr>
        <w:t>宏观面分析:</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①紫光股份有限公司（UNIS）是信息电子产业的中国高科技A股上市公司。</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②05月10日，</w:t>
      </w:r>
      <w:r>
        <w:rPr>
          <w:rFonts w:hint="eastAsia" w:ascii="Arial" w:hAnsi="Arial" w:eastAsia="宋体" w:cs="Arial"/>
          <w:i w:val="0"/>
          <w:iCs w:val="0"/>
          <w:caps w:val="0"/>
          <w:color w:val="222222"/>
          <w:spacing w:val="0"/>
          <w:kern w:val="2"/>
          <w:sz w:val="21"/>
          <w:szCs w:val="21"/>
          <w:shd w:val="clear" w:fill="FFFFFF"/>
          <w:lang w:val="en-US" w:eastAsia="zh-CN" w:bidi="ar-SA"/>
        </w:rPr>
        <w:fldChar w:fldCharType="begin"/>
      </w:r>
      <w:r>
        <w:rPr>
          <w:rFonts w:hint="eastAsia" w:ascii="Arial" w:hAnsi="Arial" w:eastAsia="宋体" w:cs="Arial"/>
          <w:i w:val="0"/>
          <w:iCs w:val="0"/>
          <w:caps w:val="0"/>
          <w:color w:val="222222"/>
          <w:spacing w:val="0"/>
          <w:kern w:val="2"/>
          <w:sz w:val="21"/>
          <w:szCs w:val="21"/>
          <w:shd w:val="clear" w:fill="FFFFFF"/>
          <w:lang w:val="en-US" w:eastAsia="zh-CN" w:bidi="ar-SA"/>
        </w:rPr>
        <w:instrText xml:space="preserve"> HYPERLINK "http://quote.eastmoney.com/unify/r/0.000938" \t "https://finance.eastmoney.com/a/_blank" </w:instrText>
      </w:r>
      <w:r>
        <w:rPr>
          <w:rFonts w:hint="eastAsia" w:ascii="Arial" w:hAnsi="Arial" w:eastAsia="宋体" w:cs="Arial"/>
          <w:i w:val="0"/>
          <w:iCs w:val="0"/>
          <w:caps w:val="0"/>
          <w:color w:val="222222"/>
          <w:spacing w:val="0"/>
          <w:kern w:val="2"/>
          <w:sz w:val="21"/>
          <w:szCs w:val="21"/>
          <w:shd w:val="clear" w:fill="FFFFFF"/>
          <w:lang w:val="en-US" w:eastAsia="zh-CN" w:bidi="ar-SA"/>
        </w:rPr>
        <w:fldChar w:fldCharType="separate"/>
      </w:r>
      <w:r>
        <w:rPr>
          <w:rFonts w:hint="eastAsia" w:ascii="Arial" w:hAnsi="Arial" w:eastAsia="宋体" w:cs="Arial"/>
          <w:i w:val="0"/>
          <w:iCs w:val="0"/>
          <w:caps w:val="0"/>
          <w:color w:val="222222"/>
          <w:spacing w:val="0"/>
          <w:kern w:val="2"/>
          <w:sz w:val="21"/>
          <w:szCs w:val="21"/>
          <w:shd w:val="clear" w:fill="FFFFFF"/>
          <w:lang w:val="en-US" w:eastAsia="zh-CN" w:bidi="ar-SA"/>
        </w:rPr>
        <w:t>紫光股份</w:t>
      </w:r>
      <w:r>
        <w:rPr>
          <w:rFonts w:hint="eastAsia" w:ascii="Arial" w:hAnsi="Arial" w:eastAsia="宋体" w:cs="Arial"/>
          <w:i w:val="0"/>
          <w:iCs w:val="0"/>
          <w:caps w:val="0"/>
          <w:color w:val="222222"/>
          <w:spacing w:val="0"/>
          <w:kern w:val="2"/>
          <w:sz w:val="21"/>
          <w:szCs w:val="21"/>
          <w:shd w:val="clear" w:fill="FFFFFF"/>
          <w:lang w:val="en-US" w:eastAsia="zh-CN" w:bidi="ar-SA"/>
        </w:rPr>
        <w:fldChar w:fldCharType="end"/>
      </w:r>
      <w:r>
        <w:rPr>
          <w:rFonts w:hint="eastAsia" w:ascii="Arial" w:hAnsi="Arial" w:eastAsia="宋体" w:cs="Arial"/>
          <w:i w:val="0"/>
          <w:iCs w:val="0"/>
          <w:caps w:val="0"/>
          <w:color w:val="222222"/>
          <w:spacing w:val="0"/>
          <w:kern w:val="2"/>
          <w:sz w:val="21"/>
          <w:szCs w:val="21"/>
          <w:shd w:val="clear" w:fill="FFFFFF"/>
          <w:lang w:val="en-US" w:eastAsia="zh-CN" w:bidi="ar-SA"/>
        </w:rPr>
        <w:t>被</w:t>
      </w:r>
      <w:r>
        <w:rPr>
          <w:rFonts w:hint="eastAsia" w:ascii="Arial" w:hAnsi="Arial" w:eastAsia="宋体" w:cs="Arial"/>
          <w:i w:val="0"/>
          <w:iCs w:val="0"/>
          <w:caps w:val="0"/>
          <w:color w:val="222222"/>
          <w:spacing w:val="0"/>
          <w:kern w:val="2"/>
          <w:sz w:val="21"/>
          <w:szCs w:val="21"/>
          <w:shd w:val="clear" w:fill="FFFFFF"/>
          <w:lang w:val="en-US" w:eastAsia="zh-CN" w:bidi="ar-SA"/>
        </w:rPr>
        <w:fldChar w:fldCharType="begin"/>
      </w:r>
      <w:r>
        <w:rPr>
          <w:rFonts w:hint="eastAsia" w:ascii="Arial" w:hAnsi="Arial" w:eastAsia="宋体" w:cs="Arial"/>
          <w:i w:val="0"/>
          <w:iCs w:val="0"/>
          <w:caps w:val="0"/>
          <w:color w:val="222222"/>
          <w:spacing w:val="0"/>
          <w:kern w:val="2"/>
          <w:sz w:val="21"/>
          <w:szCs w:val="21"/>
          <w:shd w:val="clear" w:fill="FFFFFF"/>
          <w:lang w:val="en-US" w:eastAsia="zh-CN" w:bidi="ar-SA"/>
        </w:rPr>
        <w:instrText xml:space="preserve"> HYPERLINK "http://quote.eastmoney.com/unify/r/90.BK0804" \t "https://finance.eastmoney.com/a/_blank" </w:instrText>
      </w:r>
      <w:r>
        <w:rPr>
          <w:rFonts w:hint="eastAsia" w:ascii="Arial" w:hAnsi="Arial" w:eastAsia="宋体" w:cs="Arial"/>
          <w:i w:val="0"/>
          <w:iCs w:val="0"/>
          <w:caps w:val="0"/>
          <w:color w:val="222222"/>
          <w:spacing w:val="0"/>
          <w:kern w:val="2"/>
          <w:sz w:val="21"/>
          <w:szCs w:val="21"/>
          <w:shd w:val="clear" w:fill="FFFFFF"/>
          <w:lang w:val="en-US" w:eastAsia="zh-CN" w:bidi="ar-SA"/>
        </w:rPr>
        <w:fldChar w:fldCharType="separate"/>
      </w:r>
      <w:r>
        <w:rPr>
          <w:rFonts w:hint="eastAsia" w:ascii="Arial" w:hAnsi="Arial" w:eastAsia="宋体" w:cs="Arial"/>
          <w:i w:val="0"/>
          <w:iCs w:val="0"/>
          <w:caps w:val="0"/>
          <w:color w:val="222222"/>
          <w:spacing w:val="0"/>
          <w:kern w:val="2"/>
          <w:sz w:val="21"/>
          <w:szCs w:val="21"/>
          <w:shd w:val="clear" w:fill="FFFFFF"/>
          <w:lang w:val="en-US" w:eastAsia="zh-CN" w:bidi="ar-SA"/>
        </w:rPr>
        <w:t>深股通</w:t>
      </w:r>
      <w:r>
        <w:rPr>
          <w:rFonts w:hint="eastAsia" w:ascii="Arial" w:hAnsi="Arial" w:eastAsia="宋体" w:cs="Arial"/>
          <w:i w:val="0"/>
          <w:iCs w:val="0"/>
          <w:caps w:val="0"/>
          <w:color w:val="222222"/>
          <w:spacing w:val="0"/>
          <w:kern w:val="2"/>
          <w:sz w:val="21"/>
          <w:szCs w:val="21"/>
          <w:shd w:val="clear" w:fill="FFFFFF"/>
          <w:lang w:val="en-US" w:eastAsia="zh-CN" w:bidi="ar-SA"/>
        </w:rPr>
        <w:fldChar w:fldCharType="end"/>
      </w:r>
      <w:r>
        <w:rPr>
          <w:rFonts w:hint="eastAsia" w:ascii="Arial" w:hAnsi="Arial" w:eastAsia="宋体" w:cs="Arial"/>
          <w:i w:val="0"/>
          <w:iCs w:val="0"/>
          <w:caps w:val="0"/>
          <w:color w:val="222222"/>
          <w:spacing w:val="0"/>
          <w:kern w:val="2"/>
          <w:sz w:val="21"/>
          <w:szCs w:val="21"/>
          <w:shd w:val="clear" w:fill="FFFFFF"/>
          <w:lang w:val="en-US" w:eastAsia="zh-CN" w:bidi="ar-SA"/>
        </w:rPr>
        <w:t>减持155.48万股，最新持股量为4947.63万股，占公司A股总股本的1.73%。</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③5月6日，紫光股份获国信证券买入评级，近一个月紫光股份获得4份研报关注。</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④5月9日的资金流向数据方面，主力资金净流入1.01亿元，占总成交额7.87%。</w:t>
      </w:r>
    </w:p>
    <w:p>
      <w:pPr>
        <w:keepNext w:val="0"/>
        <w:keepLines w:val="0"/>
        <w:widowControl/>
        <w:suppressLineNumbers w:val="0"/>
        <w:ind w:firstLine="422" w:firstLineChars="200"/>
        <w:jc w:val="left"/>
        <w:rPr>
          <w:rFonts w:hint="eastAsia" w:ascii="Arial" w:hAnsi="Arial" w:eastAsia="宋体" w:cs="Arial"/>
          <w:b/>
          <w:bCs/>
          <w:i w:val="0"/>
          <w:iCs w:val="0"/>
          <w:caps w:val="0"/>
          <w:color w:val="222222"/>
          <w:spacing w:val="0"/>
          <w:kern w:val="2"/>
          <w:sz w:val="21"/>
          <w:szCs w:val="21"/>
          <w:shd w:val="clear" w:fill="FFFFFF"/>
          <w:lang w:val="en-US" w:eastAsia="zh-CN" w:bidi="ar-SA"/>
        </w:rPr>
      </w:pPr>
      <w:r>
        <w:rPr>
          <w:rFonts w:hint="default" w:ascii="Arial" w:hAnsi="Arial" w:eastAsia="宋体" w:cs="Arial"/>
          <w:b/>
          <w:bCs/>
          <w:i w:val="0"/>
          <w:iCs w:val="0"/>
          <w:caps w:val="0"/>
          <w:color w:val="222222"/>
          <w:spacing w:val="0"/>
          <w:kern w:val="2"/>
          <w:sz w:val="21"/>
          <w:szCs w:val="21"/>
          <w:shd w:val="clear" w:fill="FFFFFF"/>
          <w:lang w:val="en-US" w:eastAsia="zh-CN" w:bidi="ar-SA"/>
        </w:rPr>
        <w:t>行业分析</w:t>
      </w:r>
      <w:r>
        <w:rPr>
          <w:rFonts w:hint="eastAsia" w:ascii="Arial" w:hAnsi="Arial" w:eastAsia="宋体" w:cs="Arial"/>
          <w:b/>
          <w:bCs/>
          <w:i w:val="0"/>
          <w:iCs w:val="0"/>
          <w:caps w:val="0"/>
          <w:color w:val="222222"/>
          <w:spacing w:val="0"/>
          <w:kern w:val="2"/>
          <w:sz w:val="21"/>
          <w:szCs w:val="21"/>
          <w:shd w:val="clear" w:fill="FFFFFF"/>
          <w:lang w:val="en-US" w:eastAsia="zh-CN" w:bidi="ar-SA"/>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紫光股份聚焦IT服务领域，向云计算、移动互联网和大数据处理等行业应用全面深入，核心业务覆盖硬件、软件、技术服务，是集现代信息系统研发、建设、运营、维护于一体的全产业链服务提供商，能够为大型客户的信息化需求提供完整的IT服务。</w:t>
      </w:r>
    </w:p>
    <w:p>
      <w:pPr>
        <w:keepNext w:val="0"/>
        <w:keepLines w:val="0"/>
        <w:widowControl/>
        <w:suppressLineNumbers w:val="0"/>
        <w:ind w:firstLine="422" w:firstLineChars="200"/>
        <w:jc w:val="left"/>
        <w:rPr>
          <w:rFonts w:hint="eastAsia" w:ascii="Arial" w:hAnsi="Arial" w:eastAsia="宋体" w:cs="Arial"/>
          <w:b/>
          <w:bCs/>
          <w:i w:val="0"/>
          <w:iCs w:val="0"/>
          <w:caps w:val="0"/>
          <w:color w:val="222222"/>
          <w:spacing w:val="0"/>
          <w:kern w:val="2"/>
          <w:sz w:val="21"/>
          <w:szCs w:val="21"/>
          <w:shd w:val="clear" w:fill="FFFFFF"/>
          <w:lang w:val="en-US" w:eastAsia="zh-CN" w:bidi="ar-SA"/>
        </w:rPr>
      </w:pPr>
      <w:r>
        <w:rPr>
          <w:rFonts w:hint="default" w:ascii="Arial" w:hAnsi="Arial" w:eastAsia="宋体" w:cs="Arial"/>
          <w:b/>
          <w:bCs/>
          <w:i w:val="0"/>
          <w:iCs w:val="0"/>
          <w:caps w:val="0"/>
          <w:color w:val="222222"/>
          <w:spacing w:val="0"/>
          <w:kern w:val="2"/>
          <w:sz w:val="21"/>
          <w:szCs w:val="21"/>
          <w:shd w:val="clear" w:fill="FFFFFF"/>
          <w:lang w:val="en-US" w:eastAsia="zh-CN" w:bidi="ar-SA"/>
        </w:rPr>
        <w:t>公司技术水平</w:t>
      </w:r>
      <w:r>
        <w:rPr>
          <w:rFonts w:hint="eastAsia" w:ascii="Arial" w:hAnsi="Arial" w:eastAsia="宋体" w:cs="Arial"/>
          <w:b/>
          <w:bCs/>
          <w:i w:val="0"/>
          <w:iCs w:val="0"/>
          <w:caps w:val="0"/>
          <w:color w:val="222222"/>
          <w:spacing w:val="0"/>
          <w:kern w:val="2"/>
          <w:sz w:val="21"/>
          <w:szCs w:val="21"/>
          <w:shd w:val="clear" w:fill="FFFFFF"/>
          <w:lang w:val="en-US" w:eastAsia="zh-CN" w:bidi="ar-SA"/>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CT基础设施与服务业务快速增长，海外业务规模持续扩大，成本费用管控良好。公司聚焦核心ICT基础设施与服务业务，其占收比重持续提升。随着AI相关高价值产品占比提升，2024年一季度毛利率有所改善，同比提升3.88pct至35.63%。</w:t>
      </w:r>
    </w:p>
    <w:p>
      <w:pPr>
        <w:keepNext w:val="0"/>
        <w:keepLines w:val="0"/>
        <w:widowControl/>
        <w:suppressLineNumbers w:val="0"/>
        <w:ind w:firstLine="422" w:firstLineChars="200"/>
        <w:jc w:val="left"/>
        <w:rPr>
          <w:rFonts w:hint="eastAsia" w:ascii="Arial" w:hAnsi="Arial" w:eastAsia="宋体" w:cs="Arial"/>
          <w:b/>
          <w:bCs/>
          <w:i w:val="0"/>
          <w:iCs w:val="0"/>
          <w:caps w:val="0"/>
          <w:color w:val="222222"/>
          <w:spacing w:val="0"/>
          <w:kern w:val="2"/>
          <w:sz w:val="21"/>
          <w:szCs w:val="21"/>
          <w:shd w:val="clear" w:fill="FFFFFF"/>
          <w:lang w:val="en-US" w:eastAsia="zh-CN" w:bidi="ar-SA"/>
        </w:rPr>
      </w:pPr>
      <w:r>
        <w:rPr>
          <w:rFonts w:hint="default" w:ascii="Arial" w:hAnsi="Arial" w:eastAsia="宋体" w:cs="Arial"/>
          <w:b/>
          <w:bCs/>
          <w:i w:val="0"/>
          <w:iCs w:val="0"/>
          <w:caps w:val="0"/>
          <w:color w:val="222222"/>
          <w:spacing w:val="0"/>
          <w:kern w:val="2"/>
          <w:sz w:val="21"/>
          <w:szCs w:val="21"/>
          <w:shd w:val="clear" w:fill="FFFFFF"/>
          <w:lang w:val="en-US" w:eastAsia="zh-CN" w:bidi="ar-SA"/>
        </w:rPr>
        <w:t>规模分析</w:t>
      </w:r>
      <w:r>
        <w:rPr>
          <w:rFonts w:hint="eastAsia" w:ascii="Arial" w:hAnsi="Arial" w:eastAsia="宋体" w:cs="Arial"/>
          <w:b/>
          <w:bCs/>
          <w:i w:val="0"/>
          <w:iCs w:val="0"/>
          <w:caps w:val="0"/>
          <w:color w:val="222222"/>
          <w:spacing w:val="0"/>
          <w:kern w:val="2"/>
          <w:sz w:val="21"/>
          <w:szCs w:val="21"/>
          <w:shd w:val="clear" w:fill="FFFFFF"/>
          <w:lang w:val="en-US" w:eastAsia="zh-CN" w:bidi="ar-SA"/>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①中国领先的集成电路设计和芯片制造企业之一，也是全球最大的集成电路封装测试服务提供商之一。</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②紫光股份有限公司的营业总收入与净利润在行业中排第二名，总资产排第一名，可知它在市场中具有一定规模，总市值597.76亿。</w:t>
      </w:r>
    </w:p>
    <w:p>
      <w:pPr>
        <w:keepNext w:val="0"/>
        <w:keepLines w:val="0"/>
        <w:widowControl/>
        <w:suppressLineNumbers w:val="0"/>
        <w:ind w:firstLine="422" w:firstLineChars="200"/>
        <w:jc w:val="left"/>
        <w:rPr>
          <w:rFonts w:hint="eastAsia" w:ascii="Arial" w:hAnsi="Arial" w:eastAsia="宋体" w:cs="Arial"/>
          <w:b/>
          <w:bCs/>
          <w:i w:val="0"/>
          <w:iCs w:val="0"/>
          <w:caps w:val="0"/>
          <w:color w:val="222222"/>
          <w:spacing w:val="0"/>
          <w:kern w:val="2"/>
          <w:sz w:val="21"/>
          <w:szCs w:val="21"/>
          <w:shd w:val="clear" w:fill="FFFFFF"/>
          <w:lang w:val="en-US" w:eastAsia="zh-CN" w:bidi="ar-SA"/>
        </w:rPr>
      </w:pPr>
      <w:r>
        <w:rPr>
          <w:rFonts w:hint="default" w:ascii="Arial" w:hAnsi="Arial" w:eastAsia="宋体" w:cs="Arial"/>
          <w:b/>
          <w:bCs/>
          <w:i w:val="0"/>
          <w:iCs w:val="0"/>
          <w:caps w:val="0"/>
          <w:color w:val="222222"/>
          <w:spacing w:val="0"/>
          <w:kern w:val="2"/>
          <w:sz w:val="21"/>
          <w:szCs w:val="21"/>
          <w:shd w:val="clear" w:fill="FFFFFF"/>
          <w:lang w:val="en-US" w:eastAsia="zh-CN" w:bidi="ar-SA"/>
        </w:rPr>
        <w:t>财务分析</w:t>
      </w:r>
      <w:r>
        <w:rPr>
          <w:rFonts w:hint="eastAsia" w:ascii="Arial" w:hAnsi="Arial" w:eastAsia="宋体" w:cs="Arial"/>
          <w:b/>
          <w:bCs/>
          <w:i w:val="0"/>
          <w:iCs w:val="0"/>
          <w:caps w:val="0"/>
          <w:color w:val="222222"/>
          <w:spacing w:val="0"/>
          <w:kern w:val="2"/>
          <w:sz w:val="21"/>
          <w:szCs w:val="21"/>
          <w:shd w:val="clear" w:fill="FFFFFF"/>
          <w:lang w:val="en-US" w:eastAsia="zh-CN" w:bidi="ar-SA"/>
        </w:rPr>
        <w:t>：</w:t>
      </w:r>
    </w:p>
    <w:p>
      <w:pPr>
        <w:keepNext w:val="0"/>
        <w:keepLines w:val="0"/>
        <w:widowControl/>
        <w:suppressLineNumbers w:val="0"/>
        <w:ind w:firstLine="420" w:firstLineChars="200"/>
        <w:jc w:val="left"/>
        <w:rPr>
          <w:rFonts w:hint="default" w:ascii="Arial" w:hAnsi="Arial" w:eastAsia="宋体" w:cs="Arial"/>
          <w:b w:val="0"/>
          <w:bCs w:val="0"/>
          <w:i w:val="0"/>
          <w:iCs w:val="0"/>
          <w:caps w:val="0"/>
          <w:color w:val="222222"/>
          <w:spacing w:val="0"/>
          <w:kern w:val="2"/>
          <w:sz w:val="21"/>
          <w:szCs w:val="21"/>
          <w:shd w:val="clear" w:fill="FFFFFF"/>
          <w:lang w:val="en-US" w:eastAsia="zh-CN" w:bidi="ar-SA"/>
        </w:rPr>
      </w:pPr>
      <w:r>
        <w:rPr>
          <w:rFonts w:hint="eastAsia" w:ascii="Arial" w:hAnsi="Arial" w:eastAsia="宋体" w:cs="Arial"/>
          <w:b w:val="0"/>
          <w:bCs w:val="0"/>
          <w:i w:val="0"/>
          <w:iCs w:val="0"/>
          <w:caps w:val="0"/>
          <w:color w:val="222222"/>
          <w:spacing w:val="0"/>
          <w:kern w:val="2"/>
          <w:sz w:val="21"/>
          <w:szCs w:val="21"/>
          <w:shd w:val="clear" w:fill="FFFFFF"/>
          <w:lang w:val="en-US" w:eastAsia="zh-CN" w:bidi="ar-SA"/>
        </w:rPr>
        <w:t>如图21所示</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①归母净利润分析：由图可知24年其第一季度利润与同期基本相同。</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根据同期第一季度分析可知，盈利能力维持稳定，主营获利能力保持稳定；成长能力维持稳定，营业收入增速大幅减缓；偿债能力维持稳定，短期偿债能力具有一定的保障；运营能力维持稳定，应收账款周转速度需加快；现金流能力有所削弱，可持续经营能力转向恶化。</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③财务状况有所下降：相对同行业资产综合利用效率出现下降，短期债务风险存在但可以控制。</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r>
        <w:rPr>
          <w:rFonts w:hint="default" w:ascii="Arial" w:hAnsi="Arial" w:eastAsia="宋体" w:cs="Arial"/>
          <w:i w:val="0"/>
          <w:iCs w:val="0"/>
          <w:caps w:val="0"/>
          <w:color w:val="222222"/>
          <w:spacing w:val="0"/>
          <w:kern w:val="2"/>
          <w:sz w:val="21"/>
          <w:szCs w:val="21"/>
          <w:shd w:val="clear" w:fill="FFFFFF"/>
          <w:lang w:val="en-US" w:eastAsia="zh-CN" w:bidi="ar-SA"/>
        </w:rPr>
        <w:drawing>
          <wp:inline distT="0" distB="0" distL="114300" distR="114300">
            <wp:extent cx="2879725" cy="1080135"/>
            <wp:effectExtent l="0" t="0" r="635" b="1905"/>
            <wp:docPr id="8" name="图片 8" descr="~HV9RWXUA@FVIG4WJMPU$M2"/>
            <wp:cNvGraphicFramePr/>
            <a:graphic xmlns:a="http://schemas.openxmlformats.org/drawingml/2006/main">
              <a:graphicData uri="http://schemas.openxmlformats.org/drawingml/2006/picture">
                <pic:pic xmlns:pic="http://schemas.openxmlformats.org/drawingml/2006/picture">
                  <pic:nvPicPr>
                    <pic:cNvPr id="8" name="图片 8" descr="~HV9RWXUA@FVIG4WJMPU$M2"/>
                    <pic:cNvPicPr/>
                  </pic:nvPicPr>
                  <pic:blipFill>
                    <a:blip r:embed="rId27"/>
                    <a:stretch>
                      <a:fillRect/>
                    </a:stretch>
                  </pic:blipFill>
                  <pic:spPr>
                    <a:xfrm>
                      <a:off x="0" y="0"/>
                      <a:ext cx="2879725" cy="1080135"/>
                    </a:xfrm>
                    <a:prstGeom prst="rect">
                      <a:avLst/>
                    </a:prstGeom>
                  </pic:spPr>
                </pic:pic>
              </a:graphicData>
            </a:graphic>
          </wp:inline>
        </w:drawing>
      </w:r>
      <w:r>
        <w:rPr>
          <w:rFonts w:hint="default" w:ascii="Arial" w:hAnsi="Arial" w:eastAsia="宋体" w:cs="Arial"/>
          <w:i w:val="0"/>
          <w:iCs w:val="0"/>
          <w:caps w:val="0"/>
          <w:color w:val="222222"/>
          <w:spacing w:val="0"/>
          <w:kern w:val="2"/>
          <w:sz w:val="21"/>
          <w:szCs w:val="21"/>
          <w:shd w:val="clear" w:fill="FFFFFF"/>
          <w:lang w:val="en-US" w:eastAsia="zh-CN" w:bidi="ar-SA"/>
        </w:rPr>
        <w:drawing>
          <wp:inline distT="0" distB="0" distL="114300" distR="114300">
            <wp:extent cx="1800225" cy="1080135"/>
            <wp:effectExtent l="0" t="0" r="13335" b="1905"/>
            <wp:docPr id="9" name="图片 9" descr="9~JWXVK{[2[5DK}NE~@TV}T"/>
            <wp:cNvGraphicFramePr/>
            <a:graphic xmlns:a="http://schemas.openxmlformats.org/drawingml/2006/main">
              <a:graphicData uri="http://schemas.openxmlformats.org/drawingml/2006/picture">
                <pic:pic xmlns:pic="http://schemas.openxmlformats.org/drawingml/2006/picture">
                  <pic:nvPicPr>
                    <pic:cNvPr id="9" name="图片 9" descr="9~JWXVK{[2[5DK}NE~@TV}T"/>
                    <pic:cNvPicPr/>
                  </pic:nvPicPr>
                  <pic:blipFill>
                    <a:blip r:embed="rId28"/>
                    <a:stretch>
                      <a:fillRect/>
                    </a:stretch>
                  </pic:blipFill>
                  <pic:spPr>
                    <a:xfrm>
                      <a:off x="0" y="0"/>
                      <a:ext cx="1800225" cy="1080135"/>
                    </a:xfrm>
                    <a:prstGeom prst="rect">
                      <a:avLst/>
                    </a:prstGeom>
                  </pic:spPr>
                </pic:pic>
              </a:graphicData>
            </a:graphic>
          </wp:inline>
        </w:drawing>
      </w:r>
    </w:p>
    <w:p>
      <w:pPr>
        <w:keepNext w:val="0"/>
        <w:keepLines w:val="0"/>
        <w:widowControl/>
        <w:suppressLineNumbers w:val="0"/>
        <w:ind w:firstLine="420" w:firstLineChars="20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图21</w:t>
      </w:r>
    </w:p>
    <w:p>
      <w:pPr>
        <w:keepNext w:val="0"/>
        <w:keepLines w:val="0"/>
        <w:widowControl/>
        <w:suppressLineNumbers w:val="0"/>
        <w:ind w:firstLine="420" w:firstLineChars="200"/>
        <w:jc w:val="left"/>
        <w:rPr>
          <w:rFonts w:hint="default" w:ascii="Arial" w:hAnsi="Arial" w:eastAsia="宋体" w:cs="Arial"/>
          <w:b w:val="0"/>
          <w:bCs w:val="0"/>
          <w:i w:val="0"/>
          <w:iCs w:val="0"/>
          <w:caps w:val="0"/>
          <w:color w:val="000000"/>
          <w:spacing w:val="0"/>
          <w:kern w:val="2"/>
          <w:sz w:val="21"/>
          <w:szCs w:val="21"/>
          <w:shd w:val="clear" w:fill="FFFFFF"/>
          <w:lang w:val="en-US" w:eastAsia="zh-CN" w:bidi="ar-SA"/>
        </w:rPr>
      </w:pPr>
      <w:r>
        <w:rPr>
          <w:rFonts w:hint="eastAsia" w:ascii="Arial" w:hAnsi="Arial" w:eastAsia="宋体" w:cs="Arial"/>
          <w:b w:val="0"/>
          <w:bCs w:val="0"/>
          <w:i w:val="0"/>
          <w:iCs w:val="0"/>
          <w:caps w:val="0"/>
          <w:color w:val="000000"/>
          <w:spacing w:val="0"/>
          <w:kern w:val="2"/>
          <w:sz w:val="21"/>
          <w:szCs w:val="21"/>
          <w:shd w:val="clear" w:fill="FFFFFF"/>
          <w:lang w:val="en-US" w:eastAsia="zh-CN" w:bidi="ar-SA"/>
        </w:rPr>
        <w:t>2、证券投资技术分析：</w:t>
      </w:r>
    </w:p>
    <w:p>
      <w:pPr>
        <w:ind w:firstLine="422" w:firstLineChars="200"/>
        <w:rPr>
          <w:rFonts w:hint="default" w:ascii="Arial" w:hAnsi="Arial" w:eastAsia="宋体" w:cs="Arial"/>
          <w:i w:val="0"/>
          <w:iCs w:val="0"/>
          <w:caps w:val="0"/>
          <w:color w:val="222222"/>
          <w:spacing w:val="0"/>
          <w:kern w:val="2"/>
          <w:sz w:val="21"/>
          <w:szCs w:val="21"/>
          <w:shd w:val="clear" w:fill="FFFFFF"/>
          <w:lang w:val="en-US" w:eastAsia="zh-CN" w:bidi="ar-SA"/>
        </w:rPr>
      </w:pPr>
      <w:r>
        <w:rPr>
          <w:rFonts w:hint="default"/>
          <w:b/>
          <w:bCs/>
          <w:lang w:val="en-US" w:eastAsia="zh-CN"/>
        </w:rPr>
        <w:t>K线图分析</w:t>
      </w:r>
      <w:r>
        <w:rPr>
          <w:rFonts w:hint="eastAsia"/>
          <w:b/>
          <w:bCs/>
          <w:lang w:val="en-US" w:eastAsia="zh-CN"/>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如图22，红色框中：均线空头排列，移动平均线另外呈弧形降低，长期性移动平均线在上边。中后期挪动平均数在正中间，短期内挪动均值再下。紫光股份这只股已进到了下挫周期时间，行情趋弱。未来可能要有大幅的下挫。这一时候可售出手上的个股或股票止损退场，持币观望。</w:t>
      </w:r>
    </w:p>
    <w:p>
      <w:pPr>
        <w:keepNext w:val="0"/>
        <w:keepLines w:val="0"/>
        <w:widowControl/>
        <w:suppressLineNumbers w:val="0"/>
        <w:ind w:firstLine="420" w:firstLineChars="20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drawing>
          <wp:inline distT="0" distB="0" distL="114300" distR="114300">
            <wp:extent cx="3599815" cy="1800225"/>
            <wp:effectExtent l="0" t="0" r="12065" b="13335"/>
            <wp:docPr id="34" name="图片 34" descr="dc397d2a46249da3776c8dae578df31"/>
            <wp:cNvGraphicFramePr/>
            <a:graphic xmlns:a="http://schemas.openxmlformats.org/drawingml/2006/main">
              <a:graphicData uri="http://schemas.openxmlformats.org/drawingml/2006/picture">
                <pic:pic xmlns:pic="http://schemas.openxmlformats.org/drawingml/2006/picture">
                  <pic:nvPicPr>
                    <pic:cNvPr id="34" name="图片 34" descr="dc397d2a46249da3776c8dae578df31"/>
                    <pic:cNvPicPr/>
                  </pic:nvPicPr>
                  <pic:blipFill>
                    <a:blip r:embed="rId29"/>
                    <a:stretch>
                      <a:fillRect/>
                    </a:stretch>
                  </pic:blipFill>
                  <pic:spPr>
                    <a:xfrm>
                      <a:off x="0" y="0"/>
                      <a:ext cx="3599815" cy="1800225"/>
                    </a:xfrm>
                    <a:prstGeom prst="rect">
                      <a:avLst/>
                    </a:prstGeom>
                  </pic:spPr>
                </pic:pic>
              </a:graphicData>
            </a:graphic>
          </wp:inline>
        </w:drawing>
      </w:r>
    </w:p>
    <w:p>
      <w:pPr>
        <w:keepNext w:val="0"/>
        <w:keepLines w:val="0"/>
        <w:widowControl/>
        <w:suppressLineNumbers w:val="0"/>
        <w:ind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图22</w:t>
      </w:r>
    </w:p>
    <w:p>
      <w:pPr>
        <w:keepNext w:val="0"/>
        <w:keepLines w:val="0"/>
        <w:widowControl/>
        <w:suppressLineNumbers w:val="0"/>
        <w:ind w:firstLine="422" w:firstLineChars="200"/>
        <w:jc w:val="left"/>
        <w:rPr>
          <w:rFonts w:hint="default" w:ascii="Arial" w:hAnsi="Arial" w:eastAsia="宋体" w:cs="Arial"/>
          <w:b/>
          <w:bCs/>
          <w:i w:val="0"/>
          <w:iCs w:val="0"/>
          <w:caps w:val="0"/>
          <w:color w:val="222222"/>
          <w:spacing w:val="0"/>
          <w:kern w:val="2"/>
          <w:sz w:val="21"/>
          <w:szCs w:val="21"/>
          <w:shd w:val="clear" w:fill="FFFFFF"/>
          <w:lang w:val="en-US" w:eastAsia="zh-CN" w:bidi="ar-SA"/>
        </w:rPr>
      </w:pPr>
      <w:r>
        <w:rPr>
          <w:rFonts w:hint="default" w:ascii="Arial" w:hAnsi="Arial" w:eastAsia="宋体" w:cs="Arial"/>
          <w:b/>
          <w:bCs/>
          <w:i w:val="0"/>
          <w:iCs w:val="0"/>
          <w:caps w:val="0"/>
          <w:color w:val="222222"/>
          <w:spacing w:val="0"/>
          <w:kern w:val="2"/>
          <w:sz w:val="21"/>
          <w:szCs w:val="21"/>
          <w:shd w:val="clear" w:fill="FFFFFF"/>
          <w:lang w:val="en-US" w:eastAsia="zh-CN" w:bidi="ar-SA"/>
        </w:rPr>
        <w:t>形态分析</w:t>
      </w:r>
      <w:r>
        <w:rPr>
          <w:rFonts w:hint="eastAsia" w:ascii="Arial" w:hAnsi="Arial" w:eastAsia="宋体" w:cs="Arial"/>
          <w:b/>
          <w:bCs/>
          <w:i w:val="0"/>
          <w:iCs w:val="0"/>
          <w:caps w:val="0"/>
          <w:color w:val="222222"/>
          <w:spacing w:val="0"/>
          <w:kern w:val="2"/>
          <w:sz w:val="21"/>
          <w:szCs w:val="21"/>
          <w:shd w:val="clear" w:fill="FFFFFF"/>
          <w:lang w:val="en-US" w:eastAsia="zh-CN" w:bidi="ar-SA"/>
        </w:rPr>
        <w:t>：</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①如图23，MACD分析：红</w:t>
      </w:r>
      <w:bookmarkStart w:id="0" w:name="_GoBack"/>
      <w:bookmarkEnd w:id="0"/>
      <w:r>
        <w:rPr>
          <w:rFonts w:hint="eastAsia" w:ascii="Arial" w:hAnsi="Arial" w:eastAsia="宋体" w:cs="Arial"/>
          <w:i w:val="0"/>
          <w:iCs w:val="0"/>
          <w:caps w:val="0"/>
          <w:color w:val="222222"/>
          <w:spacing w:val="0"/>
          <w:kern w:val="2"/>
          <w:sz w:val="21"/>
          <w:szCs w:val="21"/>
          <w:shd w:val="clear" w:fill="FFFFFF"/>
          <w:lang w:val="en-US" w:eastAsia="zh-CN" w:bidi="ar-SA"/>
        </w:rPr>
        <w:t>柱状开始缩小，股票上涨结束或可能进入调整期，股价将出现下跌，这时应卖出大部分该股票而不能买入股票；DIF和DEA均大于0但向下移动时，股票行情处于退潮阶段，股票将下跌，可以卖出股票和观望。</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②如图24，BOLL线分析：上、中、下轨线同时向下运行时，该股票价格的弱势特征非常明显，价格短期内将继续下跌，投资者应观望或逢高卖出。</w:t>
      </w:r>
    </w:p>
    <w:p>
      <w:pPr>
        <w:keepNext w:val="0"/>
        <w:keepLines w:val="0"/>
        <w:widowControl/>
        <w:suppressLineNumbers w:val="0"/>
        <w:ind w:firstLine="420" w:firstLineChars="200"/>
        <w:jc w:val="left"/>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③如图25，压力线分析：该股票的跌的价格将会在黄色压力线附近震荡，可能突破压力线，股票处于调整阶段，可以观望。</w:t>
      </w:r>
    </w:p>
    <w:p>
      <w:pPr>
        <w:keepNext w:val="0"/>
        <w:keepLines w:val="0"/>
        <w:widowControl/>
        <w:suppressLineNumbers w:val="0"/>
        <w:ind w:firstLine="420" w:firstLineChars="20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drawing>
          <wp:inline distT="0" distB="0" distL="114300" distR="114300">
            <wp:extent cx="3599815" cy="1800225"/>
            <wp:effectExtent l="0" t="0" r="12065" b="13335"/>
            <wp:docPr id="11" name="图片 2" descr="IMG_256"/>
            <wp:cNvGraphicFramePr/>
            <a:graphic xmlns:a="http://schemas.openxmlformats.org/drawingml/2006/main">
              <a:graphicData uri="http://schemas.openxmlformats.org/drawingml/2006/picture">
                <pic:pic xmlns:pic="http://schemas.openxmlformats.org/drawingml/2006/picture">
                  <pic:nvPicPr>
                    <pic:cNvPr id="11" name="图片 2" descr="IMG_256"/>
                    <pic:cNvPicPr/>
                  </pic:nvPicPr>
                  <pic:blipFill>
                    <a:blip r:embed="rId30"/>
                    <a:stretch>
                      <a:fillRect/>
                    </a:stretch>
                  </pic:blipFill>
                  <pic:spPr>
                    <a:xfrm>
                      <a:off x="0" y="0"/>
                      <a:ext cx="3599815" cy="1800225"/>
                    </a:xfrm>
                    <a:prstGeom prst="rect">
                      <a:avLst/>
                    </a:prstGeom>
                    <a:noFill/>
                    <a:ln w="9525">
                      <a:noFill/>
                    </a:ln>
                  </pic:spPr>
                </pic:pic>
              </a:graphicData>
            </a:graphic>
          </wp:inline>
        </w:drawing>
      </w:r>
    </w:p>
    <w:p>
      <w:pPr>
        <w:keepNext w:val="0"/>
        <w:keepLines w:val="0"/>
        <w:widowControl/>
        <w:suppressLineNumbers w:val="0"/>
        <w:ind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图23</w:t>
      </w:r>
    </w:p>
    <w:p>
      <w:pPr>
        <w:keepNext w:val="0"/>
        <w:keepLines w:val="0"/>
        <w:widowControl/>
        <w:suppressLineNumbers w:val="0"/>
        <w:ind w:firstLine="420" w:firstLineChars="20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drawing>
          <wp:inline distT="0" distB="0" distL="114300" distR="114300">
            <wp:extent cx="3599815" cy="1800225"/>
            <wp:effectExtent l="0" t="0" r="12065" b="13335"/>
            <wp:docPr id="12" name="图片 3" descr="IMG_256"/>
            <wp:cNvGraphicFramePr/>
            <a:graphic xmlns:a="http://schemas.openxmlformats.org/drawingml/2006/main">
              <a:graphicData uri="http://schemas.openxmlformats.org/drawingml/2006/picture">
                <pic:pic xmlns:pic="http://schemas.openxmlformats.org/drawingml/2006/picture">
                  <pic:nvPicPr>
                    <pic:cNvPr id="12" name="图片 3" descr="IMG_256"/>
                    <pic:cNvPicPr/>
                  </pic:nvPicPr>
                  <pic:blipFill>
                    <a:blip r:embed="rId31"/>
                    <a:stretch>
                      <a:fillRect/>
                    </a:stretch>
                  </pic:blipFill>
                  <pic:spPr>
                    <a:xfrm>
                      <a:off x="0" y="0"/>
                      <a:ext cx="3599815" cy="1800225"/>
                    </a:xfrm>
                    <a:prstGeom prst="rect">
                      <a:avLst/>
                    </a:prstGeom>
                    <a:noFill/>
                    <a:ln w="9525">
                      <a:noFill/>
                    </a:ln>
                  </pic:spPr>
                </pic:pic>
              </a:graphicData>
            </a:graphic>
          </wp:inline>
        </w:drawing>
      </w:r>
    </w:p>
    <w:p>
      <w:pPr>
        <w:keepNext w:val="0"/>
        <w:keepLines w:val="0"/>
        <w:widowControl/>
        <w:suppressLineNumbers w:val="0"/>
        <w:ind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图24</w:t>
      </w:r>
    </w:p>
    <w:p>
      <w:pPr>
        <w:keepNext w:val="0"/>
        <w:keepLines w:val="0"/>
        <w:widowControl/>
        <w:suppressLineNumbers w:val="0"/>
        <w:ind w:firstLine="420" w:firstLineChars="200"/>
        <w:jc w:val="center"/>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drawing>
          <wp:inline distT="0" distB="0" distL="114300" distR="114300">
            <wp:extent cx="3599815" cy="1800225"/>
            <wp:effectExtent l="0" t="0" r="12065" b="13335"/>
            <wp:docPr id="13" name="图片 4" descr="IMG_256"/>
            <wp:cNvGraphicFramePr/>
            <a:graphic xmlns:a="http://schemas.openxmlformats.org/drawingml/2006/main">
              <a:graphicData uri="http://schemas.openxmlformats.org/drawingml/2006/picture">
                <pic:pic xmlns:pic="http://schemas.openxmlformats.org/drawingml/2006/picture">
                  <pic:nvPicPr>
                    <pic:cNvPr id="13" name="图片 4" descr="IMG_256"/>
                    <pic:cNvPicPr/>
                  </pic:nvPicPr>
                  <pic:blipFill>
                    <a:blip r:embed="rId32"/>
                    <a:stretch>
                      <a:fillRect/>
                    </a:stretch>
                  </pic:blipFill>
                  <pic:spPr>
                    <a:xfrm>
                      <a:off x="0" y="0"/>
                      <a:ext cx="3599815" cy="1800225"/>
                    </a:xfrm>
                    <a:prstGeom prst="rect">
                      <a:avLst/>
                    </a:prstGeom>
                    <a:noFill/>
                    <a:ln w="9525">
                      <a:noFill/>
                    </a:ln>
                  </pic:spPr>
                </pic:pic>
              </a:graphicData>
            </a:graphic>
          </wp:inline>
        </w:drawing>
      </w:r>
    </w:p>
    <w:p>
      <w:pPr>
        <w:keepNext w:val="0"/>
        <w:keepLines w:val="0"/>
        <w:widowControl/>
        <w:suppressLineNumbers w:val="0"/>
        <w:ind w:firstLine="420" w:firstLineChars="200"/>
        <w:jc w:val="center"/>
        <w:rPr>
          <w:rFonts w:hint="default"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图25</w:t>
      </w:r>
    </w:p>
    <w:p>
      <w:pPr>
        <w:keepNext w:val="0"/>
        <w:keepLines w:val="0"/>
        <w:widowControl/>
        <w:suppressLineNumbers w:val="0"/>
        <w:ind w:firstLine="420" w:firstLineChars="200"/>
        <w:jc w:val="left"/>
        <w:rPr>
          <w:rFonts w:hint="default" w:ascii="Arial" w:hAnsi="Arial" w:eastAsia="宋体" w:cs="Arial"/>
          <w:i w:val="0"/>
          <w:iCs w:val="0"/>
          <w:caps w:val="0"/>
          <w:color w:val="222222"/>
          <w:spacing w:val="0"/>
          <w:kern w:val="2"/>
          <w:sz w:val="21"/>
          <w:szCs w:val="21"/>
          <w:shd w:val="clear" w:fill="FFFFFF"/>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Impact">
    <w:panose1 w:val="020B0806030902050204"/>
    <w:charset w:val="00"/>
    <w:family w:val="swiss"/>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A2553"/>
    <w:multiLevelType w:val="singleLevel"/>
    <w:tmpl w:val="869A2553"/>
    <w:lvl w:ilvl="0" w:tentative="0">
      <w:start w:val="1"/>
      <w:numFmt w:val="chineseCounting"/>
      <w:suff w:val="nothing"/>
      <w:lvlText w:val="%1、"/>
      <w:lvlJc w:val="left"/>
      <w:rPr>
        <w:rFonts w:hint="eastAsia"/>
      </w:rPr>
    </w:lvl>
  </w:abstractNum>
  <w:abstractNum w:abstractNumId="1">
    <w:nsid w:val="5CD77564"/>
    <w:multiLevelType w:val="singleLevel"/>
    <w:tmpl w:val="5CD77564"/>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EwOTNiYjUxMTcxODA3ZjViMWI4YWNjOTlmODZmYjQifQ=="/>
  </w:docVars>
  <w:rsids>
    <w:rsidRoot w:val="282448D5"/>
    <w:rsid w:val="00023068"/>
    <w:rsid w:val="0014394A"/>
    <w:rsid w:val="00B268C7"/>
    <w:rsid w:val="07746288"/>
    <w:rsid w:val="0FAC4C5F"/>
    <w:rsid w:val="106C1E28"/>
    <w:rsid w:val="10D211B2"/>
    <w:rsid w:val="1225617B"/>
    <w:rsid w:val="12D45F9B"/>
    <w:rsid w:val="13C076A6"/>
    <w:rsid w:val="140E071B"/>
    <w:rsid w:val="17B4385F"/>
    <w:rsid w:val="17E53EA4"/>
    <w:rsid w:val="17F32E4F"/>
    <w:rsid w:val="1AFC4CEC"/>
    <w:rsid w:val="1BA94001"/>
    <w:rsid w:val="1C9173B2"/>
    <w:rsid w:val="1D3F1EBC"/>
    <w:rsid w:val="1FDC42AD"/>
    <w:rsid w:val="218A23F4"/>
    <w:rsid w:val="230B45E8"/>
    <w:rsid w:val="282448D5"/>
    <w:rsid w:val="2A3873C3"/>
    <w:rsid w:val="2C72019D"/>
    <w:rsid w:val="2CA652EE"/>
    <w:rsid w:val="2DC56E38"/>
    <w:rsid w:val="347335A4"/>
    <w:rsid w:val="37B52105"/>
    <w:rsid w:val="3EB36E19"/>
    <w:rsid w:val="49704737"/>
    <w:rsid w:val="49B55162"/>
    <w:rsid w:val="4B695767"/>
    <w:rsid w:val="4F795BA1"/>
    <w:rsid w:val="5D2A66BF"/>
    <w:rsid w:val="5E555646"/>
    <w:rsid w:val="60F41C88"/>
    <w:rsid w:val="61B3379D"/>
    <w:rsid w:val="64DA5233"/>
    <w:rsid w:val="64F559C2"/>
    <w:rsid w:val="68D356B1"/>
    <w:rsid w:val="69C14788"/>
    <w:rsid w:val="6B0D758C"/>
    <w:rsid w:val="6C1A6E22"/>
    <w:rsid w:val="716C147D"/>
    <w:rsid w:val="7D8555F0"/>
    <w:rsid w:val="7DB86737"/>
    <w:rsid w:val="7FAF4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autoRedefine/>
    <w:qFormat/>
    <w:uiPriority w:val="0"/>
    <w:rPr>
      <w:b/>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2024-05-09T10:57:00Z</dcterms:created>
  <dc:creator>凯涛</dc:creator>
  <cp:lastModifiedBy>凯涛</cp:lastModifiedBy>
  <dcterms:modified xsi:type="dcterms:W3CDTF">2024-05-14T06:28:44Z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D4F10B1E542E4305988DDBD3C832CCBC_11</vt:lpwstr>
  </property>
</Properties>
</file>