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C3216"/>
    <w:p w14:paraId="5011FA04"/>
    <w:p w14:paraId="2C42636E"/>
    <w:p w14:paraId="05AE0923"/>
    <w:p w14:paraId="752FB278"/>
    <w:p w14:paraId="42D072A1"/>
    <w:p w14:paraId="37023151"/>
    <w:p w14:paraId="1F42CE06">
      <w:pPr>
        <w:spacing w:after="480" w:line="600" w:lineRule="exact"/>
        <w:jc w:val="center"/>
        <w:rPr>
          <w:rFonts w:hint="eastAsia" w:ascii="方正小标宋简体" w:hAnsi="方正小标宋简体" w:eastAsia="方正小标宋简体"/>
          <w:b w:val="0"/>
          <w:sz w:val="44"/>
          <w:lang w:eastAsia="zh-CN"/>
        </w:rPr>
      </w:pPr>
      <w:r>
        <w:rPr>
          <w:rFonts w:hint="eastAsia" w:ascii="方正小标宋简体" w:hAnsi="方正小标宋简体" w:eastAsia="方正小标宋简体"/>
          <w:b w:val="0"/>
          <w:sz w:val="44"/>
          <w:lang w:eastAsia="zh-CN"/>
        </w:rPr>
        <w:t>智慧荣成综合管理平台数据可视化安全</w:t>
      </w:r>
    </w:p>
    <w:p w14:paraId="1830FEDA">
      <w:pPr>
        <w:spacing w:after="480" w:line="600" w:lineRule="exact"/>
        <w:jc w:val="center"/>
        <w:rPr>
          <w:rFonts w:hint="eastAsia" w:eastAsia="宋体"/>
          <w:lang w:eastAsia="zh-CN"/>
        </w:rPr>
      </w:pPr>
      <w:r>
        <w:rPr>
          <w:rFonts w:hint="eastAsia" w:ascii="方正小标宋简体" w:hAnsi="方正小标宋简体" w:eastAsia="方正小标宋简体"/>
          <w:b w:val="0"/>
          <w:sz w:val="44"/>
          <w:lang w:eastAsia="zh-CN"/>
        </w:rPr>
        <w:t>可靠适配改造方案</w:t>
      </w:r>
    </w:p>
    <w:p w14:paraId="3EC61D0F"/>
    <w:p w14:paraId="7278A8FF"/>
    <w:p w14:paraId="6E3344A2"/>
    <w:p w14:paraId="3972072A"/>
    <w:p w14:paraId="072F9428"/>
    <w:p w14:paraId="0402CFC5"/>
    <w:p w14:paraId="4A216000"/>
    <w:p w14:paraId="00B09F03"/>
    <w:p w14:paraId="61FD813D"/>
    <w:p w14:paraId="246B7551"/>
    <w:p w14:paraId="4625995A"/>
    <w:p w14:paraId="617D2411">
      <w:pPr>
        <w:spacing w:line="600" w:lineRule="exact"/>
        <w:jc w:val="center"/>
      </w:pPr>
      <w:r>
        <w:rPr>
          <w:rFonts w:ascii="Times New Roman" w:hAnsi="Times New Roman" w:eastAsia="仿宋_GB2312"/>
          <w:b w:val="0"/>
          <w:sz w:val="32"/>
        </w:rPr>
        <w:t>荣成市大数据中心</w:t>
      </w:r>
    </w:p>
    <w:p w14:paraId="0AD48CB7"/>
    <w:p w14:paraId="725F948A">
      <w:pPr>
        <w:spacing w:after="200" w:line="600" w:lineRule="exact"/>
        <w:jc w:val="center"/>
        <w:rPr>
          <w:rFonts w:ascii="Times New Roman" w:hAnsi="Times New Roman" w:eastAsia="仿宋_GB2312"/>
          <w:b w:val="0"/>
          <w:sz w:val="32"/>
        </w:rPr>
      </w:pPr>
      <w:r>
        <w:rPr>
          <w:rFonts w:hint="eastAsia" w:ascii="Times New Roman" w:hAnsi="Times New Roman" w:eastAsia="仿宋_GB2312"/>
          <w:b w:val="0"/>
          <w:sz w:val="32"/>
          <w:lang w:val="en-US" w:eastAsia="zh-CN"/>
        </w:rPr>
        <w:t>2026</w:t>
      </w:r>
      <w:r>
        <w:rPr>
          <w:rFonts w:ascii="Times New Roman" w:hAnsi="Times New Roman" w:eastAsia="仿宋_GB2312"/>
          <w:b w:val="0"/>
          <w:sz w:val="32"/>
        </w:rPr>
        <w:t>年</w:t>
      </w:r>
      <w:r>
        <w:rPr>
          <w:rFonts w:hint="eastAsia" w:ascii="Times New Roman" w:hAnsi="Times New Roman" w:eastAsia="仿宋_GB2312"/>
          <w:b w:val="0"/>
          <w:sz w:val="32"/>
          <w:lang w:val="en-US" w:eastAsia="zh-CN"/>
        </w:rPr>
        <w:t>6</w:t>
      </w:r>
      <w:bookmarkStart w:id="50" w:name="_GoBack"/>
      <w:bookmarkEnd w:id="50"/>
      <w:r>
        <w:rPr>
          <w:rFonts w:ascii="Times New Roman" w:hAnsi="Times New Roman" w:eastAsia="仿宋_GB2312"/>
          <w:b w:val="0"/>
          <w:sz w:val="32"/>
        </w:rPr>
        <w:t>月</w:t>
      </w:r>
    </w:p>
    <w:p w14:paraId="0A9145D4"/>
    <w:p w14:paraId="774E899A"/>
    <w:sdt>
      <w:sdtPr>
        <w:rPr>
          <w:rFonts w:ascii="宋体" w:hAnsi="宋体" w:eastAsia="宋体" w:cstheme="minorBidi"/>
          <w:sz w:val="21"/>
          <w:szCs w:val="22"/>
          <w:lang w:val="en-US" w:eastAsia="en-US" w:bidi="ar-SA"/>
        </w:rPr>
        <w:id w:val="147478773"/>
        <w15:color w:val="DBDBDB"/>
        <w:docPartObj>
          <w:docPartGallery w:val="Table of Contents"/>
          <w:docPartUnique/>
        </w:docPartObj>
      </w:sdtPr>
      <w:sdtEndPr>
        <w:rPr>
          <w:rFonts w:ascii="Times New Roman" w:hAnsi="Times New Roman" w:eastAsia="仿宋_GB2312" w:cstheme="minorBidi"/>
          <w:sz w:val="22"/>
          <w:szCs w:val="22"/>
          <w:lang w:val="en-US" w:eastAsia="en-US" w:bidi="ar-SA"/>
        </w:rPr>
      </w:sdtEndPr>
      <w:sdtContent>
        <w:p w14:paraId="628F076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295BE62">
          <w:pPr>
            <w:pStyle w:val="26"/>
            <w:tabs>
              <w:tab w:val="right" w:leader="dot" w:pos="8306"/>
            </w:tabs>
          </w:pPr>
          <w:r>
            <w:rPr>
              <w:rFonts w:ascii="Times New Roman" w:hAnsi="Times New Roman" w:eastAsia="仿宋_GB2312"/>
              <w:b w:val="0"/>
              <w:sz w:val="32"/>
            </w:rPr>
            <w:fldChar w:fldCharType="begin"/>
          </w:r>
          <w:r>
            <w:rPr>
              <w:rFonts w:ascii="Times New Roman" w:hAnsi="Times New Roman" w:eastAsia="仿宋_GB2312"/>
              <w:b w:val="0"/>
              <w:sz w:val="32"/>
            </w:rPr>
            <w:instrText xml:space="preserve">TOC \o "1-3" \h \u </w:instrText>
          </w:r>
          <w:r>
            <w:rPr>
              <w:rFonts w:ascii="Times New Roman" w:hAnsi="Times New Roman" w:eastAsia="仿宋_GB2312"/>
              <w:b w:val="0"/>
              <w:sz w:val="32"/>
            </w:rPr>
            <w:fldChar w:fldCharType="separate"/>
          </w:r>
          <w:r>
            <w:rPr>
              <w:rFonts w:ascii="Times New Roman" w:hAnsi="Times New Roman" w:eastAsia="仿宋_GB2312"/>
            </w:rPr>
            <w:fldChar w:fldCharType="begin"/>
          </w:r>
          <w:r>
            <w:rPr>
              <w:rFonts w:ascii="Times New Roman" w:hAnsi="Times New Roman" w:eastAsia="仿宋_GB2312"/>
            </w:rPr>
            <w:instrText xml:space="preserve"> HYPERLINK \l _Toc16034 </w:instrText>
          </w:r>
          <w:r>
            <w:rPr>
              <w:rFonts w:ascii="Times New Roman" w:hAnsi="Times New Roman" w:eastAsia="仿宋_GB2312"/>
            </w:rPr>
            <w:fldChar w:fldCharType="separate"/>
          </w:r>
          <w:r>
            <w:rPr>
              <w:rFonts w:ascii="黑体" w:hAnsi="黑体" w:eastAsia="黑体"/>
            </w:rPr>
            <w:t>一、项目概述</w:t>
          </w:r>
          <w:r>
            <w:tab/>
          </w:r>
          <w:r>
            <w:fldChar w:fldCharType="begin"/>
          </w:r>
          <w:r>
            <w:instrText xml:space="preserve"> PAGEREF _Toc16034 \h </w:instrText>
          </w:r>
          <w:r>
            <w:fldChar w:fldCharType="separate"/>
          </w:r>
          <w:r>
            <w:t>4</w:t>
          </w:r>
          <w:r>
            <w:fldChar w:fldCharType="end"/>
          </w:r>
          <w:r>
            <w:rPr>
              <w:rFonts w:ascii="Times New Roman" w:hAnsi="Times New Roman" w:eastAsia="仿宋_GB2312"/>
            </w:rPr>
            <w:fldChar w:fldCharType="end"/>
          </w:r>
        </w:p>
        <w:p w14:paraId="5DDFDDC4">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_Toc28411 </w:instrText>
          </w:r>
          <w:r>
            <w:rPr>
              <w:rFonts w:ascii="Times New Roman" w:hAnsi="Times New Roman" w:eastAsia="仿宋_GB2312"/>
            </w:rPr>
            <w:fldChar w:fldCharType="separate"/>
          </w:r>
          <w:r>
            <w:rPr>
              <w:rFonts w:ascii="楷体_GB2312" w:hAnsi="楷体_GB2312" w:eastAsia="楷体_GB2312"/>
            </w:rPr>
            <w:t>（一）项目背景</w:t>
          </w:r>
          <w:r>
            <w:tab/>
          </w:r>
          <w:r>
            <w:fldChar w:fldCharType="begin"/>
          </w:r>
          <w:r>
            <w:instrText xml:space="preserve"> PAGEREF _Toc28411 \h </w:instrText>
          </w:r>
          <w:r>
            <w:fldChar w:fldCharType="separate"/>
          </w:r>
          <w:r>
            <w:t>4</w:t>
          </w:r>
          <w:r>
            <w:fldChar w:fldCharType="end"/>
          </w:r>
          <w:r>
            <w:rPr>
              <w:rFonts w:ascii="Times New Roman" w:hAnsi="Times New Roman" w:eastAsia="仿宋_GB2312"/>
            </w:rPr>
            <w:fldChar w:fldCharType="end"/>
          </w:r>
        </w:p>
        <w:p w14:paraId="7CAC700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_Toc24773 </w:instrText>
          </w:r>
          <w:r>
            <w:rPr>
              <w:rFonts w:ascii="Times New Roman" w:hAnsi="Times New Roman" w:eastAsia="仿宋_GB2312"/>
            </w:rPr>
            <w:fldChar w:fldCharType="separate"/>
          </w:r>
          <w:r>
            <w:rPr>
              <w:rFonts w:ascii="楷体_GB2312" w:hAnsi="楷体_GB2312" w:eastAsia="楷体_GB2312"/>
            </w:rPr>
            <w:t>（二）国产化改造范围</w:t>
          </w:r>
          <w:r>
            <w:tab/>
          </w:r>
          <w:r>
            <w:fldChar w:fldCharType="begin"/>
          </w:r>
          <w:r>
            <w:instrText xml:space="preserve"> PAGEREF _Toc24773 \h </w:instrText>
          </w:r>
          <w:r>
            <w:fldChar w:fldCharType="separate"/>
          </w:r>
          <w:r>
            <w:t>5</w:t>
          </w:r>
          <w:r>
            <w:fldChar w:fldCharType="end"/>
          </w:r>
          <w:r>
            <w:rPr>
              <w:rFonts w:ascii="Times New Roman" w:hAnsi="Times New Roman" w:eastAsia="仿宋_GB2312"/>
            </w:rPr>
            <w:fldChar w:fldCharType="end"/>
          </w:r>
        </w:p>
        <w:p w14:paraId="27D4713C">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_Toc28627 </w:instrText>
          </w:r>
          <w:r>
            <w:rPr>
              <w:rFonts w:ascii="Times New Roman" w:hAnsi="Times New Roman" w:eastAsia="仿宋_GB2312"/>
            </w:rPr>
            <w:fldChar w:fldCharType="separate"/>
          </w:r>
          <w:r>
            <w:rPr>
              <w:rFonts w:ascii="楷体_GB2312" w:hAnsi="楷体_GB2312" w:eastAsia="楷体_GB2312"/>
            </w:rPr>
            <w:t>（三）项目意义</w:t>
          </w:r>
          <w:r>
            <w:tab/>
          </w:r>
          <w:r>
            <w:fldChar w:fldCharType="begin"/>
          </w:r>
          <w:r>
            <w:instrText xml:space="preserve"> PAGEREF _Toc28627 \h </w:instrText>
          </w:r>
          <w:r>
            <w:fldChar w:fldCharType="separate"/>
          </w:r>
          <w:r>
            <w:t>5</w:t>
          </w:r>
          <w:r>
            <w:fldChar w:fldCharType="end"/>
          </w:r>
          <w:r>
            <w:rPr>
              <w:rFonts w:ascii="Times New Roman" w:hAnsi="Times New Roman" w:eastAsia="仿宋_GB2312"/>
            </w:rPr>
            <w:fldChar w:fldCharType="end"/>
          </w:r>
        </w:p>
        <w:p w14:paraId="3B723820">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_Toc3732 </w:instrText>
          </w:r>
          <w:r>
            <w:rPr>
              <w:rFonts w:ascii="Times New Roman" w:hAnsi="Times New Roman" w:eastAsia="仿宋_GB2312"/>
            </w:rPr>
            <w:fldChar w:fldCharType="separate"/>
          </w:r>
          <w:r>
            <w:rPr>
              <w:rFonts w:ascii="楷体_GB2312" w:hAnsi="楷体_GB2312" w:eastAsia="楷体_GB2312"/>
            </w:rPr>
            <w:t>（四）技术架构概述</w:t>
          </w:r>
          <w:r>
            <w:tab/>
          </w:r>
          <w:r>
            <w:fldChar w:fldCharType="begin"/>
          </w:r>
          <w:r>
            <w:instrText xml:space="preserve"> PAGEREF _Toc3732 \h </w:instrText>
          </w:r>
          <w:r>
            <w:fldChar w:fldCharType="separate"/>
          </w:r>
          <w:r>
            <w:t>6</w:t>
          </w:r>
          <w:r>
            <w:fldChar w:fldCharType="end"/>
          </w:r>
          <w:r>
            <w:rPr>
              <w:rFonts w:ascii="Times New Roman" w:hAnsi="Times New Roman" w:eastAsia="仿宋_GB2312"/>
            </w:rPr>
            <w:fldChar w:fldCharType="end"/>
          </w:r>
        </w:p>
        <w:p w14:paraId="12541F3D">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_Toc8963 </w:instrText>
          </w:r>
          <w:r>
            <w:rPr>
              <w:rFonts w:ascii="Times New Roman" w:hAnsi="Times New Roman" w:eastAsia="仿宋_GB2312"/>
            </w:rPr>
            <w:fldChar w:fldCharType="separate"/>
          </w:r>
          <w:r>
            <w:rPr>
              <w:rFonts w:ascii="楷体_GB2312" w:hAnsi="楷体_GB2312" w:eastAsia="楷体_GB2312"/>
            </w:rPr>
            <w:t>（五）现有系统数据规模</w:t>
          </w:r>
          <w:r>
            <w:tab/>
          </w:r>
          <w:r>
            <w:fldChar w:fldCharType="begin"/>
          </w:r>
          <w:r>
            <w:instrText xml:space="preserve"> PAGEREF _Toc8963 \h </w:instrText>
          </w:r>
          <w:r>
            <w:fldChar w:fldCharType="separate"/>
          </w:r>
          <w:r>
            <w:t>7</w:t>
          </w:r>
          <w:r>
            <w:fldChar w:fldCharType="end"/>
          </w:r>
          <w:r>
            <w:rPr>
              <w:rFonts w:ascii="Times New Roman" w:hAnsi="Times New Roman" w:eastAsia="仿宋_GB2312"/>
            </w:rPr>
            <w:fldChar w:fldCharType="end"/>
          </w:r>
        </w:p>
        <w:p w14:paraId="7167F286">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_Toc22100 </w:instrText>
          </w:r>
          <w:r>
            <w:rPr>
              <w:rFonts w:ascii="Times New Roman" w:hAnsi="Times New Roman" w:eastAsia="仿宋_GB2312"/>
            </w:rPr>
            <w:fldChar w:fldCharType="separate"/>
          </w:r>
          <w:r>
            <w:rPr>
              <w:rFonts w:ascii="黑体" w:hAnsi="黑体" w:eastAsia="黑体"/>
            </w:rPr>
            <w:t>二、改造背景与必要性</w:t>
          </w:r>
          <w:r>
            <w:tab/>
          </w:r>
          <w:r>
            <w:fldChar w:fldCharType="begin"/>
          </w:r>
          <w:r>
            <w:instrText xml:space="preserve"> PAGEREF _Toc22100 \h </w:instrText>
          </w:r>
          <w:r>
            <w:fldChar w:fldCharType="separate"/>
          </w:r>
          <w:r>
            <w:t>8</w:t>
          </w:r>
          <w:r>
            <w:fldChar w:fldCharType="end"/>
          </w:r>
          <w:r>
            <w:rPr>
              <w:rFonts w:ascii="Times New Roman" w:hAnsi="Times New Roman" w:eastAsia="仿宋_GB2312"/>
            </w:rPr>
            <w:fldChar w:fldCharType="end"/>
          </w:r>
        </w:p>
        <w:p w14:paraId="3A2A8D60">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_Toc25209 </w:instrText>
          </w:r>
          <w:r>
            <w:rPr>
              <w:rFonts w:ascii="Times New Roman" w:hAnsi="Times New Roman" w:eastAsia="仿宋_GB2312"/>
            </w:rPr>
            <w:fldChar w:fldCharType="separate"/>
          </w:r>
          <w:r>
            <w:rPr>
              <w:rFonts w:ascii="楷体_GB2312" w:hAnsi="楷体_GB2312" w:eastAsia="楷体_GB2312"/>
            </w:rPr>
            <w:t>（一）国家安全要求</w:t>
          </w:r>
          <w:r>
            <w:tab/>
          </w:r>
          <w:r>
            <w:fldChar w:fldCharType="begin"/>
          </w:r>
          <w:r>
            <w:instrText xml:space="preserve"> PAGEREF _Toc25209 \h </w:instrText>
          </w:r>
          <w:r>
            <w:fldChar w:fldCharType="separate"/>
          </w:r>
          <w:r>
            <w:t>8</w:t>
          </w:r>
          <w:r>
            <w:fldChar w:fldCharType="end"/>
          </w:r>
          <w:r>
            <w:rPr>
              <w:rFonts w:ascii="Times New Roman" w:hAnsi="Times New Roman" w:eastAsia="仿宋_GB2312"/>
            </w:rPr>
            <w:fldChar w:fldCharType="end"/>
          </w:r>
        </w:p>
        <w:p w14:paraId="341BC12F">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_Toc9202 </w:instrText>
          </w:r>
          <w:r>
            <w:rPr>
              <w:rFonts w:ascii="Times New Roman" w:hAnsi="Times New Roman" w:eastAsia="仿宋_GB2312"/>
            </w:rPr>
            <w:fldChar w:fldCharType="separate"/>
          </w:r>
          <w:r>
            <w:rPr>
              <w:rFonts w:ascii="楷体_GB2312" w:hAnsi="楷体_GB2312" w:eastAsia="楷体_GB2312"/>
            </w:rPr>
            <w:t>（二）数据安全防护</w:t>
          </w:r>
          <w:r>
            <w:tab/>
          </w:r>
          <w:r>
            <w:fldChar w:fldCharType="begin"/>
          </w:r>
          <w:r>
            <w:instrText xml:space="preserve"> PAGEREF _Toc9202 \h </w:instrText>
          </w:r>
          <w:r>
            <w:fldChar w:fldCharType="separate"/>
          </w:r>
          <w:r>
            <w:t>9</w:t>
          </w:r>
          <w:r>
            <w:fldChar w:fldCharType="end"/>
          </w:r>
          <w:r>
            <w:rPr>
              <w:rFonts w:ascii="Times New Roman" w:hAnsi="Times New Roman" w:eastAsia="仿宋_GB2312"/>
            </w:rPr>
            <w:fldChar w:fldCharType="end"/>
          </w:r>
        </w:p>
        <w:p w14:paraId="4BDBB6F1">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_Toc25921 </w:instrText>
          </w:r>
          <w:r>
            <w:rPr>
              <w:rFonts w:ascii="Times New Roman" w:hAnsi="Times New Roman" w:eastAsia="仿宋_GB2312"/>
            </w:rPr>
            <w:fldChar w:fldCharType="separate"/>
          </w:r>
          <w:r>
            <w:rPr>
              <w:rFonts w:ascii="楷体_GB2312" w:hAnsi="楷体_GB2312" w:eastAsia="楷体_GB2312"/>
            </w:rPr>
            <w:t>（三）业务持续保障</w:t>
          </w:r>
          <w:r>
            <w:tab/>
          </w:r>
          <w:r>
            <w:fldChar w:fldCharType="begin"/>
          </w:r>
          <w:r>
            <w:instrText xml:space="preserve"> PAGEREF _Toc25921 \h </w:instrText>
          </w:r>
          <w:r>
            <w:fldChar w:fldCharType="separate"/>
          </w:r>
          <w:r>
            <w:t>9</w:t>
          </w:r>
          <w:r>
            <w:fldChar w:fldCharType="end"/>
          </w:r>
          <w:r>
            <w:rPr>
              <w:rFonts w:ascii="Times New Roman" w:hAnsi="Times New Roman" w:eastAsia="仿宋_GB2312"/>
            </w:rPr>
            <w:fldChar w:fldCharType="end"/>
          </w:r>
        </w:p>
        <w:p w14:paraId="4FCC9E8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_Toc10706 </w:instrText>
          </w:r>
          <w:r>
            <w:rPr>
              <w:rFonts w:ascii="Times New Roman" w:hAnsi="Times New Roman" w:eastAsia="仿宋_GB2312"/>
            </w:rPr>
            <w:fldChar w:fldCharType="separate"/>
          </w:r>
          <w:r>
            <w:rPr>
              <w:rFonts w:ascii="楷体_GB2312" w:hAnsi="楷体_GB2312" w:eastAsia="楷体_GB2312"/>
            </w:rPr>
            <w:t>（四）降本提效</w:t>
          </w:r>
          <w:r>
            <w:tab/>
          </w:r>
          <w:r>
            <w:fldChar w:fldCharType="begin"/>
          </w:r>
          <w:r>
            <w:instrText xml:space="preserve"> PAGEREF _Toc10706 \h </w:instrText>
          </w:r>
          <w:r>
            <w:fldChar w:fldCharType="separate"/>
          </w:r>
          <w:r>
            <w:t>10</w:t>
          </w:r>
          <w:r>
            <w:fldChar w:fldCharType="end"/>
          </w:r>
          <w:r>
            <w:rPr>
              <w:rFonts w:ascii="Times New Roman" w:hAnsi="Times New Roman" w:eastAsia="仿宋_GB2312"/>
            </w:rPr>
            <w:fldChar w:fldCharType="end"/>
          </w:r>
        </w:p>
        <w:p w14:paraId="433A27E1">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_Toc13712 </w:instrText>
          </w:r>
          <w:r>
            <w:rPr>
              <w:rFonts w:ascii="Times New Roman" w:hAnsi="Times New Roman" w:eastAsia="仿宋_GB2312"/>
            </w:rPr>
            <w:fldChar w:fldCharType="separate"/>
          </w:r>
          <w:r>
            <w:rPr>
              <w:rFonts w:ascii="楷体_GB2312" w:hAnsi="楷体_GB2312" w:eastAsia="楷体_GB2312"/>
            </w:rPr>
            <w:t>（五）政策合规性</w:t>
          </w:r>
          <w:r>
            <w:tab/>
          </w:r>
          <w:r>
            <w:fldChar w:fldCharType="begin"/>
          </w:r>
          <w:r>
            <w:instrText xml:space="preserve"> PAGEREF _Toc13712 \h </w:instrText>
          </w:r>
          <w:r>
            <w:fldChar w:fldCharType="separate"/>
          </w:r>
          <w:r>
            <w:t>11</w:t>
          </w:r>
          <w:r>
            <w:fldChar w:fldCharType="end"/>
          </w:r>
          <w:r>
            <w:rPr>
              <w:rFonts w:ascii="Times New Roman" w:hAnsi="Times New Roman" w:eastAsia="仿宋_GB2312"/>
            </w:rPr>
            <w:fldChar w:fldCharType="end"/>
          </w:r>
        </w:p>
        <w:p w14:paraId="10EA93C3">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_Toc27958 </w:instrText>
          </w:r>
          <w:r>
            <w:rPr>
              <w:rFonts w:ascii="Times New Roman" w:hAnsi="Times New Roman" w:eastAsia="仿宋_GB2312"/>
            </w:rPr>
            <w:fldChar w:fldCharType="separate"/>
          </w:r>
          <w:r>
            <w:rPr>
              <w:rFonts w:ascii="黑体" w:hAnsi="黑体" w:eastAsia="黑体"/>
            </w:rPr>
            <w:t>三、改造目标与原则</w:t>
          </w:r>
          <w:r>
            <w:tab/>
          </w:r>
          <w:r>
            <w:fldChar w:fldCharType="begin"/>
          </w:r>
          <w:r>
            <w:instrText xml:space="preserve"> PAGEREF _Toc27958 \h </w:instrText>
          </w:r>
          <w:r>
            <w:fldChar w:fldCharType="separate"/>
          </w:r>
          <w:r>
            <w:t>12</w:t>
          </w:r>
          <w:r>
            <w:fldChar w:fldCharType="end"/>
          </w:r>
          <w:r>
            <w:rPr>
              <w:rFonts w:ascii="Times New Roman" w:hAnsi="Times New Roman" w:eastAsia="仿宋_GB2312"/>
            </w:rPr>
            <w:fldChar w:fldCharType="end"/>
          </w:r>
        </w:p>
        <w:p w14:paraId="78E3F47C">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_Toc16405 </w:instrText>
          </w:r>
          <w:r>
            <w:rPr>
              <w:rFonts w:ascii="Times New Roman" w:hAnsi="Times New Roman" w:eastAsia="仿宋_GB2312"/>
            </w:rPr>
            <w:fldChar w:fldCharType="separate"/>
          </w:r>
          <w:r>
            <w:rPr>
              <w:rFonts w:ascii="楷体_GB2312" w:hAnsi="楷体_GB2312" w:eastAsia="楷体_GB2312"/>
            </w:rPr>
            <w:t>（一）改造目标</w:t>
          </w:r>
          <w:r>
            <w:tab/>
          </w:r>
          <w:r>
            <w:fldChar w:fldCharType="begin"/>
          </w:r>
          <w:r>
            <w:instrText xml:space="preserve"> PAGEREF _Toc16405 \h </w:instrText>
          </w:r>
          <w:r>
            <w:fldChar w:fldCharType="separate"/>
          </w:r>
          <w:r>
            <w:t>12</w:t>
          </w:r>
          <w:r>
            <w:fldChar w:fldCharType="end"/>
          </w:r>
          <w:r>
            <w:rPr>
              <w:rFonts w:ascii="Times New Roman" w:hAnsi="Times New Roman" w:eastAsia="仿宋_GB2312"/>
            </w:rPr>
            <w:fldChar w:fldCharType="end"/>
          </w:r>
        </w:p>
        <w:p w14:paraId="1AC8D124">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_Toc31412 </w:instrText>
          </w:r>
          <w:r>
            <w:rPr>
              <w:rFonts w:ascii="Times New Roman" w:hAnsi="Times New Roman" w:eastAsia="仿宋_GB2312"/>
            </w:rPr>
            <w:fldChar w:fldCharType="separate"/>
          </w:r>
          <w:r>
            <w:rPr>
              <w:rFonts w:ascii="楷体_GB2312" w:hAnsi="楷体_GB2312" w:eastAsia="楷体_GB2312"/>
            </w:rPr>
            <w:t>（二）改造原则</w:t>
          </w:r>
          <w:r>
            <w:tab/>
          </w:r>
          <w:r>
            <w:fldChar w:fldCharType="begin"/>
          </w:r>
          <w:r>
            <w:instrText xml:space="preserve"> PAGEREF _Toc31412 \h </w:instrText>
          </w:r>
          <w:r>
            <w:fldChar w:fldCharType="separate"/>
          </w:r>
          <w:r>
            <w:t>13</w:t>
          </w:r>
          <w:r>
            <w:fldChar w:fldCharType="end"/>
          </w:r>
          <w:r>
            <w:rPr>
              <w:rFonts w:ascii="Times New Roman" w:hAnsi="Times New Roman" w:eastAsia="仿宋_GB2312"/>
            </w:rPr>
            <w:fldChar w:fldCharType="end"/>
          </w:r>
        </w:p>
        <w:p w14:paraId="0B3BB8B8">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_Toc3851 </w:instrText>
          </w:r>
          <w:r>
            <w:rPr>
              <w:rFonts w:ascii="Times New Roman" w:hAnsi="Times New Roman" w:eastAsia="仿宋_GB2312"/>
            </w:rPr>
            <w:fldChar w:fldCharType="separate"/>
          </w:r>
          <w:r>
            <w:rPr>
              <w:rFonts w:ascii="黑体" w:hAnsi="黑体" w:eastAsia="黑体"/>
            </w:rPr>
            <w:t>四、国产化软件选型</w:t>
          </w:r>
          <w:r>
            <w:tab/>
          </w:r>
          <w:r>
            <w:fldChar w:fldCharType="begin"/>
          </w:r>
          <w:r>
            <w:instrText xml:space="preserve"> PAGEREF _Toc3851 \h </w:instrText>
          </w:r>
          <w:r>
            <w:fldChar w:fldCharType="separate"/>
          </w:r>
          <w:r>
            <w:t>15</w:t>
          </w:r>
          <w:r>
            <w:fldChar w:fldCharType="end"/>
          </w:r>
          <w:r>
            <w:rPr>
              <w:rFonts w:ascii="Times New Roman" w:hAnsi="Times New Roman" w:eastAsia="仿宋_GB2312"/>
            </w:rPr>
            <w:fldChar w:fldCharType="end"/>
          </w:r>
        </w:p>
        <w:p w14:paraId="5F6C1CEA">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_Toc11164 </w:instrText>
          </w:r>
          <w:r>
            <w:rPr>
              <w:rFonts w:ascii="Times New Roman" w:hAnsi="Times New Roman" w:eastAsia="仿宋_GB2312"/>
            </w:rPr>
            <w:fldChar w:fldCharType="separate"/>
          </w:r>
          <w:r>
            <w:rPr>
              <w:rFonts w:ascii="楷体_GB2312" w:hAnsi="楷体_GB2312" w:eastAsia="楷体_GB2312"/>
            </w:rPr>
            <w:t>（一）操作系统选型</w:t>
          </w:r>
          <w:r>
            <w:tab/>
          </w:r>
          <w:r>
            <w:fldChar w:fldCharType="begin"/>
          </w:r>
          <w:r>
            <w:instrText xml:space="preserve"> PAGEREF _Toc11164 \h </w:instrText>
          </w:r>
          <w:r>
            <w:fldChar w:fldCharType="separate"/>
          </w:r>
          <w:r>
            <w:t>15</w:t>
          </w:r>
          <w:r>
            <w:fldChar w:fldCharType="end"/>
          </w:r>
          <w:r>
            <w:rPr>
              <w:rFonts w:ascii="Times New Roman" w:hAnsi="Times New Roman" w:eastAsia="仿宋_GB2312"/>
            </w:rPr>
            <w:fldChar w:fldCharType="end"/>
          </w:r>
        </w:p>
        <w:p w14:paraId="4C9677D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_Toc5789 </w:instrText>
          </w:r>
          <w:r>
            <w:rPr>
              <w:rFonts w:ascii="Times New Roman" w:hAnsi="Times New Roman" w:eastAsia="仿宋_GB2312"/>
            </w:rPr>
            <w:fldChar w:fldCharType="separate"/>
          </w:r>
          <w:r>
            <w:rPr>
              <w:rFonts w:ascii="楷体_GB2312" w:hAnsi="楷体_GB2312" w:eastAsia="楷体_GB2312"/>
            </w:rPr>
            <w:t>（二）数据库选型</w:t>
          </w:r>
          <w:r>
            <w:tab/>
          </w:r>
          <w:r>
            <w:fldChar w:fldCharType="begin"/>
          </w:r>
          <w:r>
            <w:instrText xml:space="preserve"> PAGEREF _Toc5789 \h </w:instrText>
          </w:r>
          <w:r>
            <w:fldChar w:fldCharType="separate"/>
          </w:r>
          <w:r>
            <w:t>16</w:t>
          </w:r>
          <w:r>
            <w:fldChar w:fldCharType="end"/>
          </w:r>
          <w:r>
            <w:rPr>
              <w:rFonts w:ascii="Times New Roman" w:hAnsi="Times New Roman" w:eastAsia="仿宋_GB2312"/>
            </w:rPr>
            <w:fldChar w:fldCharType="end"/>
          </w:r>
        </w:p>
        <w:p w14:paraId="3EA047A9">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_Toc27443 </w:instrText>
          </w:r>
          <w:r>
            <w:rPr>
              <w:rFonts w:ascii="Times New Roman" w:hAnsi="Times New Roman" w:eastAsia="仿宋_GB2312"/>
            </w:rPr>
            <w:fldChar w:fldCharType="separate"/>
          </w:r>
          <w:r>
            <w:rPr>
              <w:rFonts w:ascii="楷体_GB2312" w:hAnsi="楷体_GB2312" w:eastAsia="楷体_GB2312"/>
            </w:rPr>
            <w:t>（三）中间件选型</w:t>
          </w:r>
          <w:r>
            <w:tab/>
          </w:r>
          <w:r>
            <w:fldChar w:fldCharType="begin"/>
          </w:r>
          <w:r>
            <w:instrText xml:space="preserve"> PAGEREF _Toc27443 \h </w:instrText>
          </w:r>
          <w:r>
            <w:fldChar w:fldCharType="separate"/>
          </w:r>
          <w:r>
            <w:t>16</w:t>
          </w:r>
          <w:r>
            <w:fldChar w:fldCharType="end"/>
          </w:r>
          <w:r>
            <w:rPr>
              <w:rFonts w:ascii="Times New Roman" w:hAnsi="Times New Roman" w:eastAsia="仿宋_GB2312"/>
            </w:rPr>
            <w:fldChar w:fldCharType="end"/>
          </w:r>
        </w:p>
        <w:p w14:paraId="645EF5CA">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_Toc26005 </w:instrText>
          </w:r>
          <w:r>
            <w:rPr>
              <w:rFonts w:ascii="Times New Roman" w:hAnsi="Times New Roman" w:eastAsia="仿宋_GB2312"/>
            </w:rPr>
            <w:fldChar w:fldCharType="separate"/>
          </w:r>
          <w:r>
            <w:rPr>
              <w:rFonts w:ascii="楷体_GB2312" w:hAnsi="楷体_GB2312" w:eastAsia="楷体_GB2312"/>
            </w:rPr>
            <w:t>（四）安全产品选型</w:t>
          </w:r>
          <w:r>
            <w:tab/>
          </w:r>
          <w:r>
            <w:fldChar w:fldCharType="begin"/>
          </w:r>
          <w:r>
            <w:instrText xml:space="preserve"> PAGEREF _Toc26005 \h </w:instrText>
          </w:r>
          <w:r>
            <w:fldChar w:fldCharType="separate"/>
          </w:r>
          <w:r>
            <w:t>16</w:t>
          </w:r>
          <w:r>
            <w:fldChar w:fldCharType="end"/>
          </w:r>
          <w:r>
            <w:rPr>
              <w:rFonts w:ascii="Times New Roman" w:hAnsi="Times New Roman" w:eastAsia="仿宋_GB2312"/>
            </w:rPr>
            <w:fldChar w:fldCharType="end"/>
          </w:r>
        </w:p>
        <w:p w14:paraId="39E60649">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_Toc9011 </w:instrText>
          </w:r>
          <w:r>
            <w:rPr>
              <w:rFonts w:ascii="Times New Roman" w:hAnsi="Times New Roman" w:eastAsia="仿宋_GB2312"/>
            </w:rPr>
            <w:fldChar w:fldCharType="separate"/>
          </w:r>
          <w:r>
            <w:rPr>
              <w:rFonts w:ascii="黑体" w:hAnsi="黑体" w:eastAsia="黑体"/>
            </w:rPr>
            <w:t>五、技术路线与改造方案</w:t>
          </w:r>
          <w:r>
            <w:tab/>
          </w:r>
          <w:r>
            <w:fldChar w:fldCharType="begin"/>
          </w:r>
          <w:r>
            <w:instrText xml:space="preserve"> PAGEREF _Toc9011 \h </w:instrText>
          </w:r>
          <w:r>
            <w:fldChar w:fldCharType="separate"/>
          </w:r>
          <w:r>
            <w:t>18</w:t>
          </w:r>
          <w:r>
            <w:fldChar w:fldCharType="end"/>
          </w:r>
          <w:r>
            <w:rPr>
              <w:rFonts w:ascii="Times New Roman" w:hAnsi="Times New Roman" w:eastAsia="仿宋_GB2312"/>
            </w:rPr>
            <w:fldChar w:fldCharType="end"/>
          </w:r>
        </w:p>
        <w:p w14:paraId="19ED551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_Toc25720 </w:instrText>
          </w:r>
          <w:r>
            <w:rPr>
              <w:rFonts w:ascii="Times New Roman" w:hAnsi="Times New Roman" w:eastAsia="仿宋_GB2312"/>
            </w:rPr>
            <w:fldChar w:fldCharType="separate"/>
          </w:r>
          <w:r>
            <w:rPr>
              <w:rFonts w:ascii="楷体_GB2312" w:hAnsi="楷体_GB2312" w:eastAsia="楷体_GB2312"/>
            </w:rPr>
            <w:t>（一）总体技术架构</w:t>
          </w:r>
          <w:r>
            <w:tab/>
          </w:r>
          <w:r>
            <w:fldChar w:fldCharType="begin"/>
          </w:r>
          <w:r>
            <w:instrText xml:space="preserve"> PAGEREF _Toc25720 \h </w:instrText>
          </w:r>
          <w:r>
            <w:fldChar w:fldCharType="separate"/>
          </w:r>
          <w:r>
            <w:t>18</w:t>
          </w:r>
          <w:r>
            <w:fldChar w:fldCharType="end"/>
          </w:r>
          <w:r>
            <w:rPr>
              <w:rFonts w:ascii="Times New Roman" w:hAnsi="Times New Roman" w:eastAsia="仿宋_GB2312"/>
            </w:rPr>
            <w:fldChar w:fldCharType="end"/>
          </w:r>
        </w:p>
        <w:p w14:paraId="1CB5CB55">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_Toc28921 </w:instrText>
          </w:r>
          <w:r>
            <w:rPr>
              <w:rFonts w:ascii="Times New Roman" w:hAnsi="Times New Roman" w:eastAsia="仿宋_GB2312"/>
            </w:rPr>
            <w:fldChar w:fldCharType="separate"/>
          </w:r>
          <w:r>
            <w:rPr>
              <w:rFonts w:ascii="楷体_GB2312" w:hAnsi="楷体_GB2312" w:eastAsia="楷体_GB2312"/>
            </w:rPr>
            <w:t>（二）数据库适配改造方案</w:t>
          </w:r>
          <w:r>
            <w:tab/>
          </w:r>
          <w:r>
            <w:fldChar w:fldCharType="begin"/>
          </w:r>
          <w:r>
            <w:instrText xml:space="preserve"> PAGEREF _Toc28921 \h </w:instrText>
          </w:r>
          <w:r>
            <w:fldChar w:fldCharType="separate"/>
          </w:r>
          <w:r>
            <w:t>20</w:t>
          </w:r>
          <w:r>
            <w:fldChar w:fldCharType="end"/>
          </w:r>
          <w:r>
            <w:rPr>
              <w:rFonts w:ascii="Times New Roman" w:hAnsi="Times New Roman" w:eastAsia="仿宋_GB2312"/>
            </w:rPr>
            <w:fldChar w:fldCharType="end"/>
          </w:r>
        </w:p>
        <w:p w14:paraId="234C965C">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_Toc24181 </w:instrText>
          </w:r>
          <w:r>
            <w:rPr>
              <w:rFonts w:ascii="Times New Roman" w:hAnsi="Times New Roman" w:eastAsia="仿宋_GB2312"/>
            </w:rPr>
            <w:fldChar w:fldCharType="separate"/>
          </w:r>
          <w:r>
            <w:rPr>
              <w:rFonts w:ascii="楷体_GB2312" w:hAnsi="楷体_GB2312" w:eastAsia="楷体_GB2312"/>
            </w:rPr>
            <w:t>（三）操作系统适配改造方案</w:t>
          </w:r>
          <w:r>
            <w:tab/>
          </w:r>
          <w:r>
            <w:fldChar w:fldCharType="begin"/>
          </w:r>
          <w:r>
            <w:instrText xml:space="preserve"> PAGEREF _Toc24181 \h </w:instrText>
          </w:r>
          <w:r>
            <w:fldChar w:fldCharType="separate"/>
          </w:r>
          <w:r>
            <w:t>22</w:t>
          </w:r>
          <w:r>
            <w:fldChar w:fldCharType="end"/>
          </w:r>
          <w:r>
            <w:rPr>
              <w:rFonts w:ascii="Times New Roman" w:hAnsi="Times New Roman" w:eastAsia="仿宋_GB2312"/>
            </w:rPr>
            <w:fldChar w:fldCharType="end"/>
          </w:r>
        </w:p>
        <w:p w14:paraId="56CD223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_Toc4404 </w:instrText>
          </w:r>
          <w:r>
            <w:rPr>
              <w:rFonts w:ascii="Times New Roman" w:hAnsi="Times New Roman" w:eastAsia="仿宋_GB2312"/>
            </w:rPr>
            <w:fldChar w:fldCharType="separate"/>
          </w:r>
          <w:r>
            <w:rPr>
              <w:rFonts w:ascii="楷体_GB2312" w:hAnsi="楷体_GB2312" w:eastAsia="楷体_GB2312"/>
            </w:rPr>
            <w:t>（四）中间件适配改造方案</w:t>
          </w:r>
          <w:r>
            <w:tab/>
          </w:r>
          <w:r>
            <w:fldChar w:fldCharType="begin"/>
          </w:r>
          <w:r>
            <w:instrText xml:space="preserve"> PAGEREF _Toc4404 \h </w:instrText>
          </w:r>
          <w:r>
            <w:fldChar w:fldCharType="separate"/>
          </w:r>
          <w:r>
            <w:t>24</w:t>
          </w:r>
          <w:r>
            <w:fldChar w:fldCharType="end"/>
          </w:r>
          <w:r>
            <w:rPr>
              <w:rFonts w:ascii="Times New Roman" w:hAnsi="Times New Roman" w:eastAsia="仿宋_GB2312"/>
            </w:rPr>
            <w:fldChar w:fldCharType="end"/>
          </w:r>
        </w:p>
        <w:p w14:paraId="0FF37914">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_Toc10960 </w:instrText>
          </w:r>
          <w:r>
            <w:rPr>
              <w:rFonts w:ascii="Times New Roman" w:hAnsi="Times New Roman" w:eastAsia="仿宋_GB2312"/>
            </w:rPr>
            <w:fldChar w:fldCharType="separate"/>
          </w:r>
          <w:r>
            <w:rPr>
              <w:rFonts w:ascii="楷体_GB2312" w:hAnsi="楷体_GB2312" w:eastAsia="楷体_GB2312"/>
            </w:rPr>
            <w:t>（五）应用层代码改造方案</w:t>
          </w:r>
          <w:r>
            <w:tab/>
          </w:r>
          <w:r>
            <w:fldChar w:fldCharType="begin"/>
          </w:r>
          <w:r>
            <w:instrText xml:space="preserve"> PAGEREF _Toc10960 \h </w:instrText>
          </w:r>
          <w:r>
            <w:fldChar w:fldCharType="separate"/>
          </w:r>
          <w:r>
            <w:t>25</w:t>
          </w:r>
          <w:r>
            <w:fldChar w:fldCharType="end"/>
          </w:r>
          <w:r>
            <w:rPr>
              <w:rFonts w:ascii="Times New Roman" w:hAnsi="Times New Roman" w:eastAsia="仿宋_GB2312"/>
            </w:rPr>
            <w:fldChar w:fldCharType="end"/>
          </w:r>
        </w:p>
        <w:p w14:paraId="0019E9F4">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_Toc7713 </w:instrText>
          </w:r>
          <w:r>
            <w:rPr>
              <w:rFonts w:ascii="Times New Roman" w:hAnsi="Times New Roman" w:eastAsia="仿宋_GB2312"/>
            </w:rPr>
            <w:fldChar w:fldCharType="separate"/>
          </w:r>
          <w:r>
            <w:rPr>
              <w:rFonts w:ascii="黑体" w:hAnsi="黑体" w:eastAsia="黑体"/>
            </w:rPr>
            <w:t>六、预算明细</w:t>
          </w:r>
          <w:r>
            <w:tab/>
          </w:r>
          <w:r>
            <w:fldChar w:fldCharType="begin"/>
          </w:r>
          <w:r>
            <w:instrText xml:space="preserve"> PAGEREF _Toc7713 \h </w:instrText>
          </w:r>
          <w:r>
            <w:fldChar w:fldCharType="separate"/>
          </w:r>
          <w:r>
            <w:t>26</w:t>
          </w:r>
          <w:r>
            <w:fldChar w:fldCharType="end"/>
          </w:r>
          <w:r>
            <w:rPr>
              <w:rFonts w:ascii="Times New Roman" w:hAnsi="Times New Roman" w:eastAsia="仿宋_GB2312"/>
            </w:rPr>
            <w:fldChar w:fldCharType="end"/>
          </w:r>
        </w:p>
        <w:p w14:paraId="3424398F">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_Toc17077 </w:instrText>
          </w:r>
          <w:r>
            <w:rPr>
              <w:rFonts w:ascii="Times New Roman" w:hAnsi="Times New Roman" w:eastAsia="仿宋_GB2312"/>
            </w:rPr>
            <w:fldChar w:fldCharType="separate"/>
          </w:r>
          <w:r>
            <w:rPr>
              <w:rFonts w:ascii="黑体" w:hAnsi="黑体" w:eastAsia="黑体"/>
            </w:rPr>
            <w:t>七、实施计划与进度安排</w:t>
          </w:r>
          <w:r>
            <w:tab/>
          </w:r>
          <w:r>
            <w:fldChar w:fldCharType="begin"/>
          </w:r>
          <w:r>
            <w:instrText xml:space="preserve"> PAGEREF _Toc17077 \h </w:instrText>
          </w:r>
          <w:r>
            <w:fldChar w:fldCharType="separate"/>
          </w:r>
          <w:r>
            <w:t>28</w:t>
          </w:r>
          <w:r>
            <w:fldChar w:fldCharType="end"/>
          </w:r>
          <w:r>
            <w:rPr>
              <w:rFonts w:ascii="Times New Roman" w:hAnsi="Times New Roman" w:eastAsia="仿宋_GB2312"/>
            </w:rPr>
            <w:fldChar w:fldCharType="end"/>
          </w:r>
        </w:p>
        <w:p w14:paraId="3755199D">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_Toc23699 </w:instrText>
          </w:r>
          <w:r>
            <w:rPr>
              <w:rFonts w:ascii="Times New Roman" w:hAnsi="Times New Roman" w:eastAsia="仿宋_GB2312"/>
            </w:rPr>
            <w:fldChar w:fldCharType="separate"/>
          </w:r>
          <w:r>
            <w:rPr>
              <w:rFonts w:ascii="楷体_GB2312" w:hAnsi="楷体_GB2312" w:eastAsia="楷体_GB2312"/>
            </w:rPr>
            <w:t>（一）实施阶段划分</w:t>
          </w:r>
          <w:r>
            <w:tab/>
          </w:r>
          <w:r>
            <w:fldChar w:fldCharType="begin"/>
          </w:r>
          <w:r>
            <w:instrText xml:space="preserve"> PAGEREF _Toc23699 \h </w:instrText>
          </w:r>
          <w:r>
            <w:fldChar w:fldCharType="separate"/>
          </w:r>
          <w:r>
            <w:t>28</w:t>
          </w:r>
          <w:r>
            <w:fldChar w:fldCharType="end"/>
          </w:r>
          <w:r>
            <w:rPr>
              <w:rFonts w:ascii="Times New Roman" w:hAnsi="Times New Roman" w:eastAsia="仿宋_GB2312"/>
            </w:rPr>
            <w:fldChar w:fldCharType="end"/>
          </w:r>
        </w:p>
        <w:p w14:paraId="165A3C34">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_Toc11927 </w:instrText>
          </w:r>
          <w:r>
            <w:rPr>
              <w:rFonts w:ascii="Times New Roman" w:hAnsi="Times New Roman" w:eastAsia="仿宋_GB2312"/>
            </w:rPr>
            <w:fldChar w:fldCharType="separate"/>
          </w:r>
          <w:r>
            <w:rPr>
              <w:rFonts w:ascii="楷体_GB2312" w:hAnsi="楷体_GB2312" w:eastAsia="楷体_GB2312"/>
            </w:rPr>
            <w:t>（</w:t>
          </w:r>
          <w:r>
            <w:rPr>
              <w:rFonts w:hint="eastAsia" w:ascii="楷体_GB2312" w:hAnsi="楷体_GB2312" w:eastAsia="楷体_GB2312"/>
              <w:lang w:val="en-US" w:eastAsia="zh-CN"/>
            </w:rPr>
            <w:t>二</w:t>
          </w:r>
          <w:r>
            <w:rPr>
              <w:rFonts w:ascii="楷体_GB2312" w:hAnsi="楷体_GB2312" w:eastAsia="楷体_GB2312"/>
            </w:rPr>
            <w:t>）项目组织与管理</w:t>
          </w:r>
          <w:r>
            <w:tab/>
          </w:r>
          <w:r>
            <w:fldChar w:fldCharType="begin"/>
          </w:r>
          <w:r>
            <w:instrText xml:space="preserve"> PAGEREF _Toc11927 \h </w:instrText>
          </w:r>
          <w:r>
            <w:fldChar w:fldCharType="separate"/>
          </w:r>
          <w:r>
            <w:t>30</w:t>
          </w:r>
          <w:r>
            <w:fldChar w:fldCharType="end"/>
          </w:r>
          <w:r>
            <w:rPr>
              <w:rFonts w:ascii="Times New Roman" w:hAnsi="Times New Roman" w:eastAsia="仿宋_GB2312"/>
            </w:rPr>
            <w:fldChar w:fldCharType="end"/>
          </w:r>
        </w:p>
        <w:p w14:paraId="15FBD6F7">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_Toc30302 </w:instrText>
          </w:r>
          <w:r>
            <w:rPr>
              <w:rFonts w:ascii="Times New Roman" w:hAnsi="Times New Roman" w:eastAsia="仿宋_GB2312"/>
            </w:rPr>
            <w:fldChar w:fldCharType="separate"/>
          </w:r>
          <w:r>
            <w:rPr>
              <w:rFonts w:ascii="楷体_GB2312" w:hAnsi="楷体_GB2312" w:eastAsia="楷体_GB2312"/>
            </w:rPr>
            <w:t>（</w:t>
          </w:r>
          <w:r>
            <w:rPr>
              <w:rFonts w:hint="eastAsia" w:ascii="楷体_GB2312" w:hAnsi="楷体_GB2312" w:eastAsia="楷体_GB2312"/>
              <w:lang w:val="en-US" w:eastAsia="zh-CN"/>
            </w:rPr>
            <w:t>三</w:t>
          </w:r>
          <w:r>
            <w:rPr>
              <w:rFonts w:ascii="楷体_GB2312" w:hAnsi="楷体_GB2312" w:eastAsia="楷体_GB2312"/>
            </w:rPr>
            <w:t>）质量管理计划</w:t>
          </w:r>
          <w:r>
            <w:tab/>
          </w:r>
          <w:r>
            <w:fldChar w:fldCharType="begin"/>
          </w:r>
          <w:r>
            <w:instrText xml:space="preserve"> PAGEREF _Toc30302 \h </w:instrText>
          </w:r>
          <w:r>
            <w:fldChar w:fldCharType="separate"/>
          </w:r>
          <w:r>
            <w:t>31</w:t>
          </w:r>
          <w:r>
            <w:fldChar w:fldCharType="end"/>
          </w:r>
          <w:r>
            <w:rPr>
              <w:rFonts w:ascii="Times New Roman" w:hAnsi="Times New Roman" w:eastAsia="仿宋_GB2312"/>
            </w:rPr>
            <w:fldChar w:fldCharType="end"/>
          </w:r>
        </w:p>
        <w:p w14:paraId="6C62E22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_Toc20355 </w:instrText>
          </w:r>
          <w:r>
            <w:rPr>
              <w:rFonts w:ascii="Times New Roman" w:hAnsi="Times New Roman" w:eastAsia="仿宋_GB2312"/>
            </w:rPr>
            <w:fldChar w:fldCharType="separate"/>
          </w:r>
          <w:r>
            <w:rPr>
              <w:rFonts w:ascii="楷体_GB2312" w:hAnsi="楷体_GB2312" w:eastAsia="楷体_GB2312"/>
            </w:rPr>
            <w:t>（</w:t>
          </w:r>
          <w:r>
            <w:rPr>
              <w:rFonts w:hint="eastAsia" w:ascii="楷体_GB2312" w:hAnsi="楷体_GB2312" w:eastAsia="楷体_GB2312"/>
              <w:lang w:val="en-US" w:eastAsia="zh-CN"/>
            </w:rPr>
            <w:t>四</w:t>
          </w:r>
          <w:r>
            <w:rPr>
              <w:rFonts w:ascii="楷体_GB2312" w:hAnsi="楷体_GB2312" w:eastAsia="楷体_GB2312"/>
            </w:rPr>
            <w:t>）配置管理计划</w:t>
          </w:r>
          <w:r>
            <w:tab/>
          </w:r>
          <w:r>
            <w:fldChar w:fldCharType="begin"/>
          </w:r>
          <w:r>
            <w:instrText xml:space="preserve"> PAGEREF _Toc20355 \h </w:instrText>
          </w:r>
          <w:r>
            <w:fldChar w:fldCharType="separate"/>
          </w:r>
          <w:r>
            <w:t>32</w:t>
          </w:r>
          <w:r>
            <w:fldChar w:fldCharType="end"/>
          </w:r>
          <w:r>
            <w:rPr>
              <w:rFonts w:ascii="Times New Roman" w:hAnsi="Times New Roman" w:eastAsia="仿宋_GB2312"/>
            </w:rPr>
            <w:fldChar w:fldCharType="end"/>
          </w:r>
        </w:p>
        <w:p w14:paraId="50E364CD">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_Toc13525 </w:instrText>
          </w:r>
          <w:r>
            <w:rPr>
              <w:rFonts w:ascii="Times New Roman" w:hAnsi="Times New Roman" w:eastAsia="仿宋_GB2312"/>
            </w:rPr>
            <w:fldChar w:fldCharType="separate"/>
          </w:r>
          <w:r>
            <w:rPr>
              <w:rFonts w:ascii="黑体" w:hAnsi="黑体" w:eastAsia="黑体"/>
            </w:rPr>
            <w:t>八、风险评估与应对措施</w:t>
          </w:r>
          <w:r>
            <w:tab/>
          </w:r>
          <w:r>
            <w:fldChar w:fldCharType="begin"/>
          </w:r>
          <w:r>
            <w:instrText xml:space="preserve"> PAGEREF _Toc13525 \h </w:instrText>
          </w:r>
          <w:r>
            <w:fldChar w:fldCharType="separate"/>
          </w:r>
          <w:r>
            <w:t>33</w:t>
          </w:r>
          <w:r>
            <w:fldChar w:fldCharType="end"/>
          </w:r>
          <w:r>
            <w:rPr>
              <w:rFonts w:ascii="Times New Roman" w:hAnsi="Times New Roman" w:eastAsia="仿宋_GB2312"/>
            </w:rPr>
            <w:fldChar w:fldCharType="end"/>
          </w:r>
        </w:p>
        <w:p w14:paraId="58EF4563">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_Toc27664 </w:instrText>
          </w:r>
          <w:r>
            <w:rPr>
              <w:rFonts w:ascii="Times New Roman" w:hAnsi="Times New Roman" w:eastAsia="仿宋_GB2312"/>
            </w:rPr>
            <w:fldChar w:fldCharType="separate"/>
          </w:r>
          <w:r>
            <w:rPr>
              <w:rFonts w:ascii="楷体_GB2312" w:hAnsi="楷体_GB2312" w:eastAsia="楷体_GB2312"/>
            </w:rPr>
            <w:t>（一）技术风险</w:t>
          </w:r>
          <w:r>
            <w:tab/>
          </w:r>
          <w:r>
            <w:fldChar w:fldCharType="begin"/>
          </w:r>
          <w:r>
            <w:instrText xml:space="preserve"> PAGEREF _Toc27664 \h </w:instrText>
          </w:r>
          <w:r>
            <w:fldChar w:fldCharType="separate"/>
          </w:r>
          <w:r>
            <w:t>33</w:t>
          </w:r>
          <w:r>
            <w:fldChar w:fldCharType="end"/>
          </w:r>
          <w:r>
            <w:rPr>
              <w:rFonts w:ascii="Times New Roman" w:hAnsi="Times New Roman" w:eastAsia="仿宋_GB2312"/>
            </w:rPr>
            <w:fldChar w:fldCharType="end"/>
          </w:r>
        </w:p>
        <w:p w14:paraId="0343FA7F">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_Toc9338 </w:instrText>
          </w:r>
          <w:r>
            <w:rPr>
              <w:rFonts w:ascii="Times New Roman" w:hAnsi="Times New Roman" w:eastAsia="仿宋_GB2312"/>
            </w:rPr>
            <w:fldChar w:fldCharType="separate"/>
          </w:r>
          <w:r>
            <w:rPr>
              <w:rFonts w:ascii="楷体_GB2312" w:hAnsi="楷体_GB2312" w:eastAsia="楷体_GB2312"/>
            </w:rPr>
            <w:t>（二）进度风险</w:t>
          </w:r>
          <w:r>
            <w:tab/>
          </w:r>
          <w:r>
            <w:fldChar w:fldCharType="begin"/>
          </w:r>
          <w:r>
            <w:instrText xml:space="preserve"> PAGEREF _Toc9338 \h </w:instrText>
          </w:r>
          <w:r>
            <w:fldChar w:fldCharType="separate"/>
          </w:r>
          <w:r>
            <w:t>33</w:t>
          </w:r>
          <w:r>
            <w:fldChar w:fldCharType="end"/>
          </w:r>
          <w:r>
            <w:rPr>
              <w:rFonts w:ascii="Times New Roman" w:hAnsi="Times New Roman" w:eastAsia="仿宋_GB2312"/>
            </w:rPr>
            <w:fldChar w:fldCharType="end"/>
          </w:r>
        </w:p>
        <w:p w14:paraId="568962F5">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_Toc26071 </w:instrText>
          </w:r>
          <w:r>
            <w:rPr>
              <w:rFonts w:ascii="Times New Roman" w:hAnsi="Times New Roman" w:eastAsia="仿宋_GB2312"/>
            </w:rPr>
            <w:fldChar w:fldCharType="separate"/>
          </w:r>
          <w:r>
            <w:rPr>
              <w:rFonts w:ascii="楷体_GB2312" w:hAnsi="楷体_GB2312" w:eastAsia="楷体_GB2312"/>
            </w:rPr>
            <w:t>（三）数据安全风险</w:t>
          </w:r>
          <w:r>
            <w:tab/>
          </w:r>
          <w:r>
            <w:fldChar w:fldCharType="begin"/>
          </w:r>
          <w:r>
            <w:instrText xml:space="preserve"> PAGEREF _Toc26071 \h </w:instrText>
          </w:r>
          <w:r>
            <w:fldChar w:fldCharType="separate"/>
          </w:r>
          <w:r>
            <w:t>34</w:t>
          </w:r>
          <w:r>
            <w:fldChar w:fldCharType="end"/>
          </w:r>
          <w:r>
            <w:rPr>
              <w:rFonts w:ascii="Times New Roman" w:hAnsi="Times New Roman" w:eastAsia="仿宋_GB2312"/>
            </w:rPr>
            <w:fldChar w:fldCharType="end"/>
          </w:r>
        </w:p>
        <w:p w14:paraId="13FC91F7">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_Toc4897 </w:instrText>
          </w:r>
          <w:r>
            <w:rPr>
              <w:rFonts w:ascii="Times New Roman" w:hAnsi="Times New Roman" w:eastAsia="仿宋_GB2312"/>
            </w:rPr>
            <w:fldChar w:fldCharType="separate"/>
          </w:r>
          <w:r>
            <w:rPr>
              <w:rFonts w:ascii="楷体_GB2312" w:hAnsi="楷体_GB2312" w:eastAsia="楷体_GB2312"/>
            </w:rPr>
            <w:t>（四）业务中断风险</w:t>
          </w:r>
          <w:r>
            <w:tab/>
          </w:r>
          <w:r>
            <w:fldChar w:fldCharType="begin"/>
          </w:r>
          <w:r>
            <w:instrText xml:space="preserve"> PAGEREF _Toc4897 \h </w:instrText>
          </w:r>
          <w:r>
            <w:fldChar w:fldCharType="separate"/>
          </w:r>
          <w:r>
            <w:t>35</w:t>
          </w:r>
          <w:r>
            <w:fldChar w:fldCharType="end"/>
          </w:r>
          <w:r>
            <w:rPr>
              <w:rFonts w:ascii="Times New Roman" w:hAnsi="Times New Roman" w:eastAsia="仿宋_GB2312"/>
            </w:rPr>
            <w:fldChar w:fldCharType="end"/>
          </w:r>
        </w:p>
        <w:p w14:paraId="42088E19">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_Toc25490 </w:instrText>
          </w:r>
          <w:r>
            <w:rPr>
              <w:rFonts w:ascii="Times New Roman" w:hAnsi="Times New Roman" w:eastAsia="仿宋_GB2312"/>
            </w:rPr>
            <w:fldChar w:fldCharType="separate"/>
          </w:r>
          <w:r>
            <w:rPr>
              <w:rFonts w:ascii="楷体_GB2312" w:hAnsi="楷体_GB2312" w:eastAsia="楷体_GB2312"/>
            </w:rPr>
            <w:t>（五）人员风险</w:t>
          </w:r>
          <w:r>
            <w:tab/>
          </w:r>
          <w:r>
            <w:fldChar w:fldCharType="begin"/>
          </w:r>
          <w:r>
            <w:instrText xml:space="preserve"> PAGEREF _Toc25490 \h </w:instrText>
          </w:r>
          <w:r>
            <w:fldChar w:fldCharType="separate"/>
          </w:r>
          <w:r>
            <w:t>36</w:t>
          </w:r>
          <w:r>
            <w:fldChar w:fldCharType="end"/>
          </w:r>
          <w:r>
            <w:rPr>
              <w:rFonts w:ascii="Times New Roman" w:hAnsi="Times New Roman" w:eastAsia="仿宋_GB2312"/>
            </w:rPr>
            <w:fldChar w:fldCharType="end"/>
          </w:r>
        </w:p>
        <w:p w14:paraId="7B15EB59">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_Toc9219 </w:instrText>
          </w:r>
          <w:r>
            <w:rPr>
              <w:rFonts w:ascii="Times New Roman" w:hAnsi="Times New Roman" w:eastAsia="仿宋_GB2312"/>
            </w:rPr>
            <w:fldChar w:fldCharType="separate"/>
          </w:r>
          <w:r>
            <w:rPr>
              <w:rFonts w:ascii="楷体_GB2312" w:hAnsi="楷体_GB2312" w:eastAsia="楷体_GB2312"/>
            </w:rPr>
            <w:t>（六）兼容性风险</w:t>
          </w:r>
          <w:r>
            <w:tab/>
          </w:r>
          <w:r>
            <w:fldChar w:fldCharType="begin"/>
          </w:r>
          <w:r>
            <w:instrText xml:space="preserve"> PAGEREF _Toc9219 \h </w:instrText>
          </w:r>
          <w:r>
            <w:fldChar w:fldCharType="separate"/>
          </w:r>
          <w:r>
            <w:t>36</w:t>
          </w:r>
          <w:r>
            <w:fldChar w:fldCharType="end"/>
          </w:r>
          <w:r>
            <w:rPr>
              <w:rFonts w:ascii="Times New Roman" w:hAnsi="Times New Roman" w:eastAsia="仿宋_GB2312"/>
            </w:rPr>
            <w:fldChar w:fldCharType="end"/>
          </w:r>
        </w:p>
        <w:p w14:paraId="58D932AB">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_Toc23894 </w:instrText>
          </w:r>
          <w:r>
            <w:rPr>
              <w:rFonts w:ascii="Times New Roman" w:hAnsi="Times New Roman" w:eastAsia="仿宋_GB2312"/>
            </w:rPr>
            <w:fldChar w:fldCharType="separate"/>
          </w:r>
          <w:r>
            <w:rPr>
              <w:rFonts w:ascii="楷体_GB2312" w:hAnsi="楷体_GB2312" w:eastAsia="楷体_GB2312"/>
            </w:rPr>
            <w:t>（七）风险矩阵与优先级</w:t>
          </w:r>
          <w:r>
            <w:tab/>
          </w:r>
          <w:r>
            <w:fldChar w:fldCharType="begin"/>
          </w:r>
          <w:r>
            <w:instrText xml:space="preserve"> PAGEREF _Toc23894 \h </w:instrText>
          </w:r>
          <w:r>
            <w:fldChar w:fldCharType="separate"/>
          </w:r>
          <w:r>
            <w:t>37</w:t>
          </w:r>
          <w:r>
            <w:fldChar w:fldCharType="end"/>
          </w:r>
          <w:r>
            <w:rPr>
              <w:rFonts w:ascii="Times New Roman" w:hAnsi="Times New Roman" w:eastAsia="仿宋_GB2312"/>
            </w:rPr>
            <w:fldChar w:fldCharType="end"/>
          </w:r>
        </w:p>
        <w:p w14:paraId="73CAE26F">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_Toc20889 </w:instrText>
          </w:r>
          <w:r>
            <w:rPr>
              <w:rFonts w:ascii="Times New Roman" w:hAnsi="Times New Roman" w:eastAsia="仿宋_GB2312"/>
            </w:rPr>
            <w:fldChar w:fldCharType="separate"/>
          </w:r>
          <w:r>
            <w:rPr>
              <w:rFonts w:ascii="黑体" w:hAnsi="黑体" w:eastAsia="黑体"/>
            </w:rPr>
            <w:t>九、培训与技术支持</w:t>
          </w:r>
          <w:r>
            <w:tab/>
          </w:r>
          <w:r>
            <w:fldChar w:fldCharType="begin"/>
          </w:r>
          <w:r>
            <w:instrText xml:space="preserve"> PAGEREF _Toc20889 \h </w:instrText>
          </w:r>
          <w:r>
            <w:fldChar w:fldCharType="separate"/>
          </w:r>
          <w:r>
            <w:t>38</w:t>
          </w:r>
          <w:r>
            <w:fldChar w:fldCharType="end"/>
          </w:r>
          <w:r>
            <w:rPr>
              <w:rFonts w:ascii="Times New Roman" w:hAnsi="Times New Roman" w:eastAsia="仿宋_GB2312"/>
            </w:rPr>
            <w:fldChar w:fldCharType="end"/>
          </w:r>
        </w:p>
        <w:p w14:paraId="2FC6F62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_Toc9097 </w:instrText>
          </w:r>
          <w:r>
            <w:rPr>
              <w:rFonts w:ascii="Times New Roman" w:hAnsi="Times New Roman" w:eastAsia="仿宋_GB2312"/>
            </w:rPr>
            <w:fldChar w:fldCharType="separate"/>
          </w:r>
          <w:r>
            <w:rPr>
              <w:rFonts w:ascii="楷体_GB2312" w:hAnsi="楷体_GB2312" w:eastAsia="楷体_GB2312"/>
            </w:rPr>
            <w:t>（一）培训计划</w:t>
          </w:r>
          <w:r>
            <w:tab/>
          </w:r>
          <w:r>
            <w:fldChar w:fldCharType="begin"/>
          </w:r>
          <w:r>
            <w:instrText xml:space="preserve"> PAGEREF _Toc9097 \h </w:instrText>
          </w:r>
          <w:r>
            <w:fldChar w:fldCharType="separate"/>
          </w:r>
          <w:r>
            <w:t>38</w:t>
          </w:r>
          <w:r>
            <w:fldChar w:fldCharType="end"/>
          </w:r>
          <w:r>
            <w:rPr>
              <w:rFonts w:ascii="Times New Roman" w:hAnsi="Times New Roman" w:eastAsia="仿宋_GB2312"/>
            </w:rPr>
            <w:fldChar w:fldCharType="end"/>
          </w:r>
        </w:p>
        <w:p w14:paraId="382F58BF">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_Toc13121 </w:instrText>
          </w:r>
          <w:r>
            <w:rPr>
              <w:rFonts w:ascii="Times New Roman" w:hAnsi="Times New Roman" w:eastAsia="仿宋_GB2312"/>
            </w:rPr>
            <w:fldChar w:fldCharType="separate"/>
          </w:r>
          <w:r>
            <w:rPr>
              <w:rFonts w:ascii="楷体_GB2312" w:hAnsi="楷体_GB2312" w:eastAsia="楷体_GB2312"/>
            </w:rPr>
            <w:t>（二）技术支持</w:t>
          </w:r>
          <w:r>
            <w:tab/>
          </w:r>
          <w:r>
            <w:fldChar w:fldCharType="begin"/>
          </w:r>
          <w:r>
            <w:instrText xml:space="preserve"> PAGEREF _Toc13121 \h </w:instrText>
          </w:r>
          <w:r>
            <w:fldChar w:fldCharType="separate"/>
          </w:r>
          <w:r>
            <w:t>41</w:t>
          </w:r>
          <w:r>
            <w:fldChar w:fldCharType="end"/>
          </w:r>
          <w:r>
            <w:rPr>
              <w:rFonts w:ascii="Times New Roman" w:hAnsi="Times New Roman" w:eastAsia="仿宋_GB2312"/>
            </w:rPr>
            <w:fldChar w:fldCharType="end"/>
          </w:r>
        </w:p>
        <w:p w14:paraId="64E30C1F">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_Toc32375 </w:instrText>
          </w:r>
          <w:r>
            <w:rPr>
              <w:rFonts w:ascii="Times New Roman" w:hAnsi="Times New Roman" w:eastAsia="仿宋_GB2312"/>
            </w:rPr>
            <w:fldChar w:fldCharType="separate"/>
          </w:r>
          <w:r>
            <w:rPr>
              <w:rFonts w:ascii="楷体_GB2312" w:hAnsi="楷体_GB2312" w:eastAsia="楷体_GB2312"/>
            </w:rPr>
            <w:t>（三）知识转移</w:t>
          </w:r>
          <w:r>
            <w:tab/>
          </w:r>
          <w:r>
            <w:fldChar w:fldCharType="begin"/>
          </w:r>
          <w:r>
            <w:instrText xml:space="preserve"> PAGEREF _Toc32375 \h </w:instrText>
          </w:r>
          <w:r>
            <w:fldChar w:fldCharType="separate"/>
          </w:r>
          <w:r>
            <w:t>43</w:t>
          </w:r>
          <w:r>
            <w:fldChar w:fldCharType="end"/>
          </w:r>
          <w:r>
            <w:rPr>
              <w:rFonts w:ascii="Times New Roman" w:hAnsi="Times New Roman" w:eastAsia="仿宋_GB2312"/>
            </w:rPr>
            <w:fldChar w:fldCharType="end"/>
          </w:r>
        </w:p>
        <w:p w14:paraId="28E2AB5D">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_Toc19691 </w:instrText>
          </w:r>
          <w:r>
            <w:rPr>
              <w:rFonts w:ascii="Times New Roman" w:hAnsi="Times New Roman" w:eastAsia="仿宋_GB2312"/>
            </w:rPr>
            <w:fldChar w:fldCharType="separate"/>
          </w:r>
          <w:r>
            <w:rPr>
              <w:rFonts w:ascii="黑体" w:hAnsi="黑体" w:eastAsia="黑体"/>
            </w:rPr>
            <w:t>十、验收标准</w:t>
          </w:r>
          <w:r>
            <w:tab/>
          </w:r>
          <w:r>
            <w:fldChar w:fldCharType="begin"/>
          </w:r>
          <w:r>
            <w:instrText xml:space="preserve"> PAGEREF _Toc19691 \h </w:instrText>
          </w:r>
          <w:r>
            <w:fldChar w:fldCharType="separate"/>
          </w:r>
          <w:r>
            <w:t>44</w:t>
          </w:r>
          <w:r>
            <w:fldChar w:fldCharType="end"/>
          </w:r>
          <w:r>
            <w:rPr>
              <w:rFonts w:ascii="Times New Roman" w:hAnsi="Times New Roman" w:eastAsia="仿宋_GB2312"/>
            </w:rPr>
            <w:fldChar w:fldCharType="end"/>
          </w:r>
        </w:p>
        <w:p w14:paraId="42C6471C">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_Toc13245 </w:instrText>
          </w:r>
          <w:r>
            <w:rPr>
              <w:rFonts w:ascii="Times New Roman" w:hAnsi="Times New Roman" w:eastAsia="仿宋_GB2312"/>
            </w:rPr>
            <w:fldChar w:fldCharType="separate"/>
          </w:r>
          <w:r>
            <w:rPr>
              <w:rFonts w:ascii="楷体_GB2312" w:hAnsi="楷体_GB2312" w:eastAsia="楷体_GB2312"/>
            </w:rPr>
            <w:t>（一）功能验收标准</w:t>
          </w:r>
          <w:r>
            <w:tab/>
          </w:r>
          <w:r>
            <w:fldChar w:fldCharType="begin"/>
          </w:r>
          <w:r>
            <w:instrText xml:space="preserve"> PAGEREF _Toc13245 \h </w:instrText>
          </w:r>
          <w:r>
            <w:fldChar w:fldCharType="separate"/>
          </w:r>
          <w:r>
            <w:t>44</w:t>
          </w:r>
          <w:r>
            <w:fldChar w:fldCharType="end"/>
          </w:r>
          <w:r>
            <w:rPr>
              <w:rFonts w:ascii="Times New Roman" w:hAnsi="Times New Roman" w:eastAsia="仿宋_GB2312"/>
            </w:rPr>
            <w:fldChar w:fldCharType="end"/>
          </w:r>
        </w:p>
        <w:p w14:paraId="7429B043">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_Toc8554 </w:instrText>
          </w:r>
          <w:r>
            <w:rPr>
              <w:rFonts w:ascii="Times New Roman" w:hAnsi="Times New Roman" w:eastAsia="仿宋_GB2312"/>
            </w:rPr>
            <w:fldChar w:fldCharType="separate"/>
          </w:r>
          <w:r>
            <w:rPr>
              <w:rFonts w:ascii="楷体_GB2312" w:hAnsi="楷体_GB2312" w:eastAsia="楷体_GB2312"/>
            </w:rPr>
            <w:t>（二）性能验收标准</w:t>
          </w:r>
          <w:r>
            <w:tab/>
          </w:r>
          <w:r>
            <w:fldChar w:fldCharType="begin"/>
          </w:r>
          <w:r>
            <w:instrText xml:space="preserve"> PAGEREF _Toc8554 \h </w:instrText>
          </w:r>
          <w:r>
            <w:fldChar w:fldCharType="separate"/>
          </w:r>
          <w:r>
            <w:t>45</w:t>
          </w:r>
          <w:r>
            <w:fldChar w:fldCharType="end"/>
          </w:r>
          <w:r>
            <w:rPr>
              <w:rFonts w:ascii="Times New Roman" w:hAnsi="Times New Roman" w:eastAsia="仿宋_GB2312"/>
            </w:rPr>
            <w:fldChar w:fldCharType="end"/>
          </w:r>
        </w:p>
        <w:p w14:paraId="4D6C9E7D">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_Toc26596 </w:instrText>
          </w:r>
          <w:r>
            <w:rPr>
              <w:rFonts w:ascii="Times New Roman" w:hAnsi="Times New Roman" w:eastAsia="仿宋_GB2312"/>
            </w:rPr>
            <w:fldChar w:fldCharType="separate"/>
          </w:r>
          <w:r>
            <w:rPr>
              <w:rFonts w:ascii="楷体_GB2312" w:hAnsi="楷体_GB2312" w:eastAsia="楷体_GB2312"/>
            </w:rPr>
            <w:t>（三）安全验收标准</w:t>
          </w:r>
          <w:r>
            <w:tab/>
          </w:r>
          <w:r>
            <w:fldChar w:fldCharType="begin"/>
          </w:r>
          <w:r>
            <w:instrText xml:space="preserve"> PAGEREF _Toc26596 \h </w:instrText>
          </w:r>
          <w:r>
            <w:fldChar w:fldCharType="separate"/>
          </w:r>
          <w:r>
            <w:t>46</w:t>
          </w:r>
          <w:r>
            <w:fldChar w:fldCharType="end"/>
          </w:r>
          <w:r>
            <w:rPr>
              <w:rFonts w:ascii="Times New Roman" w:hAnsi="Times New Roman" w:eastAsia="仿宋_GB2312"/>
            </w:rPr>
            <w:fldChar w:fldCharType="end"/>
          </w:r>
        </w:p>
        <w:p w14:paraId="0AC603D3">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_Toc17442 </w:instrText>
          </w:r>
          <w:r>
            <w:rPr>
              <w:rFonts w:ascii="Times New Roman" w:hAnsi="Times New Roman" w:eastAsia="仿宋_GB2312"/>
            </w:rPr>
            <w:fldChar w:fldCharType="separate"/>
          </w:r>
          <w:r>
            <w:rPr>
              <w:rFonts w:ascii="楷体_GB2312" w:hAnsi="楷体_GB2312" w:eastAsia="楷体_GB2312"/>
            </w:rPr>
            <w:t>（四）文档验收标准</w:t>
          </w:r>
          <w:r>
            <w:tab/>
          </w:r>
          <w:r>
            <w:fldChar w:fldCharType="begin"/>
          </w:r>
          <w:r>
            <w:instrText xml:space="preserve"> PAGEREF _Toc17442 \h </w:instrText>
          </w:r>
          <w:r>
            <w:fldChar w:fldCharType="separate"/>
          </w:r>
          <w:r>
            <w:t>46</w:t>
          </w:r>
          <w:r>
            <w:fldChar w:fldCharType="end"/>
          </w:r>
          <w:r>
            <w:rPr>
              <w:rFonts w:ascii="Times New Roman" w:hAnsi="Times New Roman" w:eastAsia="仿宋_GB2312"/>
            </w:rPr>
            <w:fldChar w:fldCharType="end"/>
          </w:r>
        </w:p>
        <w:p w14:paraId="7659DAE8">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_Toc17879 </w:instrText>
          </w:r>
          <w:r>
            <w:rPr>
              <w:rFonts w:ascii="Times New Roman" w:hAnsi="Times New Roman" w:eastAsia="仿宋_GB2312"/>
            </w:rPr>
            <w:fldChar w:fldCharType="separate"/>
          </w:r>
          <w:r>
            <w:rPr>
              <w:rFonts w:ascii="楷体_GB2312" w:hAnsi="楷体_GB2312" w:eastAsia="楷体_GB2312"/>
            </w:rPr>
            <w:t>（五）验收流程</w:t>
          </w:r>
          <w:r>
            <w:tab/>
          </w:r>
          <w:r>
            <w:fldChar w:fldCharType="begin"/>
          </w:r>
          <w:r>
            <w:instrText xml:space="preserve"> PAGEREF _Toc17879 \h </w:instrText>
          </w:r>
          <w:r>
            <w:fldChar w:fldCharType="separate"/>
          </w:r>
          <w:r>
            <w:t>47</w:t>
          </w:r>
          <w:r>
            <w:fldChar w:fldCharType="end"/>
          </w:r>
          <w:r>
            <w:rPr>
              <w:rFonts w:ascii="Times New Roman" w:hAnsi="Times New Roman" w:eastAsia="仿宋_GB2312"/>
            </w:rPr>
            <w:fldChar w:fldCharType="end"/>
          </w:r>
        </w:p>
        <w:p w14:paraId="05465C3D">
          <w:pPr>
            <w:spacing w:line="600" w:lineRule="exact"/>
            <w:jc w:val="center"/>
            <w:rPr>
              <w:rFonts w:ascii="Times New Roman" w:hAnsi="Times New Roman" w:eastAsia="仿宋_GB2312" w:cstheme="minorBidi"/>
              <w:sz w:val="22"/>
              <w:szCs w:val="22"/>
              <w:lang w:val="en-US" w:eastAsia="en-US" w:bidi="ar-SA"/>
            </w:rPr>
          </w:pPr>
          <w:r>
            <w:rPr>
              <w:rFonts w:ascii="Times New Roman" w:hAnsi="Times New Roman" w:eastAsia="仿宋_GB2312"/>
            </w:rPr>
            <w:fldChar w:fldCharType="end"/>
          </w:r>
        </w:p>
      </w:sdtContent>
    </w:sdt>
    <w:p w14:paraId="074CA48A">
      <w:pPr>
        <w:spacing w:before="240" w:after="240" w:line="600" w:lineRule="exact"/>
        <w:jc w:val="center"/>
        <w:outlineLvl w:val="0"/>
      </w:pPr>
      <w:bookmarkStart w:id="0" w:name="_Toc16034"/>
      <w:r>
        <w:rPr>
          <w:rFonts w:ascii="黑体" w:hAnsi="黑体" w:eastAsia="黑体"/>
          <w:b/>
          <w:sz w:val="32"/>
        </w:rPr>
        <w:t>一、项目概述</w:t>
      </w:r>
      <w:bookmarkEnd w:id="0"/>
    </w:p>
    <w:p w14:paraId="30C7E7A3">
      <w:pPr>
        <w:spacing w:before="120" w:after="120" w:line="600" w:lineRule="exact"/>
        <w:jc w:val="left"/>
        <w:outlineLvl w:val="1"/>
      </w:pPr>
      <w:bookmarkStart w:id="1" w:name="_Toc28411"/>
      <w:r>
        <w:rPr>
          <w:rFonts w:ascii="楷体_GB2312" w:hAnsi="楷体_GB2312" w:eastAsia="楷体_GB2312"/>
          <w:b/>
          <w:sz w:val="32"/>
        </w:rPr>
        <w:t>（一）项目背景</w:t>
      </w:r>
      <w:bookmarkEnd w:id="1"/>
    </w:p>
    <w:p w14:paraId="5680F5E0">
      <w:pPr>
        <w:spacing w:before="0" w:after="0" w:line="600" w:lineRule="exact"/>
        <w:ind w:firstLine="640"/>
      </w:pPr>
      <w:r>
        <w:rPr>
          <w:rFonts w:ascii="Times New Roman" w:hAnsi="Times New Roman" w:eastAsia="仿宋_GB2312"/>
          <w:b w:val="0"/>
          <w:sz w:val="32"/>
        </w:rPr>
        <w:t>数字荣成平台是荣成市新型智慧城市建设的重点项目，分为大屏端和移动端。大屏端即荣成市数字融合治理平台，以天地图·山东为基础，以GIS应用为核心，融合数字慧民、经济运行、城市管理、民生诉求、物联感知、数字底座等模块数据，通过数据可视化技术展示城市运行状态；移动端为移动大数据分析可视化平台，覆盖人、产、城、境、管、信六大领域211项数据指标，支持手机、平板等移动智能设备进行数据查询和预警分析。</w:t>
      </w:r>
    </w:p>
    <w:p w14:paraId="436E7067">
      <w:pPr>
        <w:spacing w:before="0" w:after="0" w:line="600" w:lineRule="exact"/>
        <w:ind w:firstLine="640"/>
      </w:pPr>
      <w:r>
        <w:rPr>
          <w:rFonts w:ascii="Times New Roman" w:hAnsi="Times New Roman" w:eastAsia="仿宋_GB2312"/>
          <w:b w:val="0"/>
          <w:sz w:val="32"/>
        </w:rPr>
        <w:t>大屏端涵盖六大核心模块：数字慧民（含人口概况、智慧医疗、智慧社区、志愿者服务、信用建设、便民出行、爱山东APP应用情况等子模块）、经济运行（含GDP、固定资产投资、市场主体、金融融资、科技创新等十余个经济指标子模块）、城市管理（含垃圾分类、公厕管理、共享单车、环卫车、空气质量监测等子模块）、民生诉求（含案件分析、实时案件、工单类型分析等子模块）、物联感知（含动环监控、虚拟/物理资源、监控设备管理等子模块）和数字底座（含数据使用情况、资源属性分类、数据交换等子模块）。移动端覆盖人、产、城、境、管、信六大领域211项数据指标。本项目通过国产化适配改造，全面提升平台在国产化环境下的运行能力。</w:t>
      </w:r>
    </w:p>
    <w:p w14:paraId="2C031FFB">
      <w:pPr>
        <w:spacing w:before="120" w:after="120" w:line="600" w:lineRule="exact"/>
        <w:jc w:val="left"/>
        <w:outlineLvl w:val="1"/>
      </w:pPr>
      <w:bookmarkStart w:id="2" w:name="_Toc24773"/>
      <w:r>
        <w:rPr>
          <w:rFonts w:ascii="楷体_GB2312" w:hAnsi="楷体_GB2312" w:eastAsia="楷体_GB2312"/>
          <w:b/>
          <w:sz w:val="32"/>
        </w:rPr>
        <w:t>（二）国产化改造范围</w:t>
      </w:r>
      <w:bookmarkEnd w:id="2"/>
    </w:p>
    <w:p w14:paraId="51F2D547">
      <w:pPr>
        <w:spacing w:before="0" w:after="0" w:line="600" w:lineRule="exact"/>
        <w:ind w:firstLine="640"/>
      </w:pPr>
      <w:r>
        <w:rPr>
          <w:rFonts w:ascii="Times New Roman" w:hAnsi="Times New Roman" w:eastAsia="仿宋_GB2312"/>
          <w:b w:val="0"/>
          <w:sz w:val="32"/>
        </w:rPr>
        <w:t>本次国产化适配改造是在原有项目基础上，响应国家信创战略要求，对平台涉及的软硬件系统进行全面国产化替代和适配优化。改造范围涵盖数据库、操作系统、中间件、应用软件等各个层面。改造对象包括以下两大部分：</w:t>
      </w:r>
    </w:p>
    <w:p w14:paraId="7502CFA2">
      <w:pPr>
        <w:spacing w:before="0" w:after="0" w:line="600" w:lineRule="exact"/>
        <w:ind w:firstLine="640"/>
      </w:pPr>
      <w:r>
        <w:rPr>
          <w:rFonts w:ascii="Times New Roman" w:hAnsi="Times New Roman" w:eastAsia="仿宋_GB2312"/>
          <w:b w:val="0"/>
          <w:sz w:val="32"/>
        </w:rPr>
        <w:t>大屏端改造范围包括：数据库国产化替代、操作系统适配、中间件替代、GIS组件适配、应用代码改造及全模块功能回归测试。</w:t>
      </w:r>
    </w:p>
    <w:p w14:paraId="55A0027E">
      <w:pPr>
        <w:spacing w:before="0" w:after="0" w:line="600" w:lineRule="exact"/>
        <w:ind w:firstLine="640"/>
      </w:pPr>
      <w:r>
        <w:rPr>
          <w:rFonts w:ascii="Times New Roman" w:hAnsi="Times New Roman" w:eastAsia="仿宋_GB2312"/>
          <w:b w:val="0"/>
          <w:sz w:val="32"/>
        </w:rPr>
        <w:t>第二，数字荣成平台（移动端）。该平台为移动大数据分析可视化平台，覆盖人、产、城、境、管、信六大领域211项数据指标，支持手机、平板等移动智能设备进行数据查询和预警分析。需要完成数据层改造、移动端框架适配、接口对接及全量数据指标功能验证修复等工作。</w:t>
      </w:r>
    </w:p>
    <w:p w14:paraId="1C2DACD8">
      <w:pPr>
        <w:spacing w:before="120" w:after="120" w:line="600" w:lineRule="exact"/>
        <w:jc w:val="left"/>
        <w:outlineLvl w:val="1"/>
      </w:pPr>
      <w:bookmarkStart w:id="3" w:name="_Toc28627"/>
      <w:r>
        <w:rPr>
          <w:rFonts w:ascii="楷体_GB2312" w:hAnsi="楷体_GB2312" w:eastAsia="楷体_GB2312"/>
          <w:b/>
          <w:sz w:val="32"/>
        </w:rPr>
        <w:t>（三）项目意义</w:t>
      </w:r>
      <w:bookmarkEnd w:id="3"/>
    </w:p>
    <w:p w14:paraId="2975A43A">
      <w:pPr>
        <w:spacing w:before="0" w:after="0" w:line="600" w:lineRule="exact"/>
        <w:ind w:firstLine="640"/>
      </w:pPr>
      <w:r>
        <w:rPr>
          <w:rFonts w:ascii="Times New Roman" w:hAnsi="Times New Roman" w:eastAsia="仿宋_GB2312"/>
          <w:b w:val="0"/>
          <w:sz w:val="32"/>
        </w:rPr>
        <w:t>本次国产化改造项目的实施，从国家安全层面，改造项目响应国家信创战略部署，确保核心技术自主可控，防范供应链断供风险，提升数据安全保护水平。从城市发展层面，改造项目将建立自主可控、安全可信的城市管理体系，为荣成市数字化转型提供坚实支撑。从民生服务层面，改造后的系统将更加安全稳定，为市民提供更加便捷、高效、安全的公共服务。</w:t>
      </w:r>
    </w:p>
    <w:p w14:paraId="32F6C9A9">
      <w:pPr>
        <w:spacing w:before="0" w:after="0" w:line="600" w:lineRule="exact"/>
        <w:ind w:firstLine="640"/>
      </w:pPr>
      <w:r>
        <w:rPr>
          <w:rFonts w:ascii="Times New Roman" w:hAnsi="Times New Roman" w:eastAsia="仿宋_GB2312"/>
          <w:b w:val="0"/>
          <w:sz w:val="32"/>
        </w:rPr>
        <w:t>此外，本项目也将为荣成市政务信息系统国产化改造积累宝贵经验，为其他政务系统的国产化改造提供可复制、可推广的解决方案和实践参考。通过本项目的实施，将形成一套完整的政务信息系统国产化改造方法论和标准化流程，为全省乃至全国的政务信息系统国产化改造提供有益借鉴。</w:t>
      </w:r>
    </w:p>
    <w:p w14:paraId="433C46E2">
      <w:pPr>
        <w:spacing w:before="0" w:after="0" w:line="600" w:lineRule="exact"/>
        <w:ind w:firstLine="640"/>
      </w:pPr>
      <w:r>
        <w:rPr>
          <w:rFonts w:ascii="Times New Roman" w:hAnsi="Times New Roman" w:eastAsia="仿宋_GB2312"/>
          <w:b w:val="0"/>
          <w:sz w:val="32"/>
        </w:rPr>
        <w:t>通过本项目的实施，将形成政务信息系统国产化改造的方法论和标准化流程，项目建成后可作为山东省政务信息系统国产化改造的示范工程，为同类项目提供参考借鉴。</w:t>
      </w:r>
    </w:p>
    <w:p w14:paraId="63B16F5E">
      <w:pPr>
        <w:spacing w:before="120" w:after="120" w:line="600" w:lineRule="exact"/>
        <w:jc w:val="left"/>
        <w:outlineLvl w:val="1"/>
      </w:pPr>
      <w:bookmarkStart w:id="4" w:name="_Toc3732"/>
      <w:r>
        <w:rPr>
          <w:rFonts w:ascii="楷体_GB2312" w:hAnsi="楷体_GB2312" w:eastAsia="楷体_GB2312"/>
          <w:b/>
          <w:sz w:val="32"/>
        </w:rPr>
        <w:t>（四）技术架构概述</w:t>
      </w:r>
      <w:bookmarkEnd w:id="4"/>
    </w:p>
    <w:p w14:paraId="6247BC82">
      <w:pPr>
        <w:spacing w:before="0" w:after="0" w:line="600" w:lineRule="exact"/>
        <w:ind w:firstLine="640"/>
      </w:pPr>
      <w:r>
        <w:rPr>
          <w:rFonts w:ascii="Times New Roman" w:hAnsi="Times New Roman" w:eastAsia="仿宋_GB2312"/>
          <w:b w:val="0"/>
          <w:sz w:val="32"/>
        </w:rPr>
        <w:t>数字荣成平台采用B/S架构，前端使用Vue.js框架构建，后端采用Java语言开发，基于Spring Boot/Spring Cloud微服务架构。平台分为数据采集层、数据处理层、数据服务层、业务应用层和展示层五个层次。数据采集层负责从各业务系统和外部数据源采集数据；数据处理层负责数据清洗、转换和标准化处理；数据服务层提供统一的数据访问接口；业务应用层实现各项业务功能；展示层通过数据可视化技术展示城市运行状态。</w:t>
      </w:r>
    </w:p>
    <w:p w14:paraId="1839A996">
      <w:pPr>
        <w:spacing w:before="0" w:after="0" w:line="600" w:lineRule="exact"/>
        <w:ind w:firstLine="640"/>
      </w:pPr>
      <w:r>
        <w:rPr>
          <w:rFonts w:ascii="Times New Roman" w:hAnsi="Times New Roman" w:eastAsia="仿宋_GB2312"/>
          <w:b w:val="0"/>
          <w:sz w:val="32"/>
        </w:rPr>
        <w:t>平台现有技术栈主要包括：前端采用Vue.js 2.x + Element UI组件库；后端采用Spring Boot 2.x + MyBatis持久层框架；数据库采用国外主流关系型数据库；应用服务器采用国外应用服务器；操作系统采用国外操作系统。本次国产化改造需要将数据库替换为国产数据库管理系统，操作系统替换为国产服务器操作系统，中间件替换为国产应用中间件，同时进行应用代码适配和优化。</w:t>
      </w:r>
    </w:p>
    <w:p w14:paraId="3DDCD64E">
      <w:pPr>
        <w:spacing w:before="0" w:after="0" w:line="600" w:lineRule="exact"/>
        <w:ind w:firstLine="640"/>
      </w:pPr>
      <w:r>
        <w:rPr>
          <w:rFonts w:ascii="Times New Roman" w:hAnsi="Times New Roman" w:eastAsia="仿宋_GB2312"/>
          <w:b w:val="0"/>
          <w:sz w:val="32"/>
        </w:rPr>
        <w:t>平台涉及的子系统包括：大屏端数字慧民模块（人口概况、智慧医疗、智慧社区、志愿者服务、信用建设、便民出行、爱山东APP应用情况等）、大屏端经济运行模块（GDP、固定资产投资、市场主体、金融融资、科技创新、社会消费品零售总额等）、大屏端城市管理模块（垃圾分类、公厕管理、共享单车、环卫车、空气质量实况等）、大屏端民生诉求模块（案件分析、实时案件、工单类型分析等）、大屏端物联感知模块（动环监控、虚拟/物理资源、监控设备管理等）、大屏端数字底座模块（数据使用情况、资源属性分类、实时对接系统分析等）、移动端（人产城境管信六大领域211项数据指标）。每部分都需要做功能适配测试，确保在国产化环境下正常运行。</w:t>
      </w:r>
    </w:p>
    <w:p w14:paraId="1EBCD2CA">
      <w:pPr>
        <w:spacing w:before="120" w:after="120" w:line="600" w:lineRule="exact"/>
        <w:jc w:val="left"/>
        <w:outlineLvl w:val="1"/>
      </w:pPr>
      <w:bookmarkStart w:id="5" w:name="_Toc8963"/>
      <w:r>
        <w:rPr>
          <w:rFonts w:ascii="楷体_GB2312" w:hAnsi="楷体_GB2312" w:eastAsia="楷体_GB2312"/>
          <w:b/>
          <w:sz w:val="32"/>
        </w:rPr>
        <w:t>（五）现有系统数据规模</w:t>
      </w:r>
      <w:bookmarkEnd w:id="5"/>
    </w:p>
    <w:p w14:paraId="2F72FC93">
      <w:pPr>
        <w:spacing w:before="0" w:after="0" w:line="600" w:lineRule="exact"/>
        <w:ind w:firstLine="640"/>
      </w:pPr>
      <w:r>
        <w:rPr>
          <w:rFonts w:ascii="Times New Roman" w:hAnsi="Times New Roman" w:eastAsia="仿宋_GB2312"/>
          <w:b w:val="0"/>
          <w:sz w:val="32"/>
        </w:rPr>
        <w:t>大屏端数据库约200余张数据表，涵盖数字慧民、经济运行、城市管理、民生诉求、物联感知、数字底座六大模块业务数据；移动端数据库约120余张数据表，涵盖人、产、城、境、管、信六大领域数据指标</w:t>
      </w:r>
    </w:p>
    <w:p w14:paraId="28174904">
      <w:pPr>
        <w:spacing w:before="0" w:after="0" w:line="600" w:lineRule="exact"/>
        <w:ind w:firstLine="640"/>
      </w:pPr>
      <w:r>
        <w:rPr>
          <w:rFonts w:ascii="Times New Roman" w:hAnsi="Times New Roman" w:eastAsia="仿宋_GB2312"/>
          <w:b w:val="0"/>
          <w:sz w:val="32"/>
        </w:rPr>
        <w:t>从数据类型来看，平台数据主要包括：结构化数据（人口信息、经济指标、民生数据等）、半结构化数据（XML配置文件、JSON接口数据等）和非结构化数据（图片资料、文档附件等）。不同类型的数据需要采用不同的迁移策略，确保数据完整性和一致性。</w:t>
      </w:r>
    </w:p>
    <w:p w14:paraId="747E6926">
      <w:pPr>
        <w:spacing w:before="240" w:after="240" w:line="600" w:lineRule="exact"/>
        <w:jc w:val="center"/>
        <w:outlineLvl w:val="0"/>
      </w:pPr>
      <w:bookmarkStart w:id="6" w:name="_Toc22100"/>
      <w:r>
        <w:rPr>
          <w:rFonts w:ascii="黑体" w:hAnsi="黑体" w:eastAsia="黑体"/>
          <w:b/>
          <w:sz w:val="32"/>
        </w:rPr>
        <w:t>二、改造背景与必要性</w:t>
      </w:r>
      <w:bookmarkEnd w:id="6"/>
    </w:p>
    <w:p w14:paraId="65C5661A">
      <w:pPr>
        <w:spacing w:before="120" w:after="120" w:line="600" w:lineRule="exact"/>
        <w:jc w:val="left"/>
        <w:outlineLvl w:val="1"/>
      </w:pPr>
      <w:bookmarkStart w:id="7" w:name="_Toc25209"/>
      <w:r>
        <w:rPr>
          <w:rFonts w:ascii="楷体_GB2312" w:hAnsi="楷体_GB2312" w:eastAsia="楷体_GB2312"/>
          <w:b/>
          <w:sz w:val="32"/>
        </w:rPr>
        <w:t>（一）国家安全要求</w:t>
      </w:r>
      <w:bookmarkEnd w:id="7"/>
    </w:p>
    <w:p w14:paraId="6C0EFE0D">
      <w:pPr>
        <w:spacing w:before="0" w:after="0" w:line="600" w:lineRule="exact"/>
        <w:ind w:firstLine="640"/>
      </w:pPr>
      <w:r>
        <w:rPr>
          <w:rFonts w:ascii="Times New Roman" w:hAnsi="Times New Roman" w:eastAsia="仿宋_GB2312"/>
          <w:b w:val="0"/>
          <w:sz w:val="32"/>
        </w:rPr>
        <w:t>为响应国家信创战略，实现核心技术自主可控，防范供应链安全风险，根据《国家信息化发展战略纲要》国家信创工作相关部署要求，关键信息基础设施和重要信息系统应当优先采用国产化技术和产品。数字荣成平台作为荣成市城市管理的重要信息系统，涉及大量政务数据和民生数据，其安全稳定运行直接关系到城市正常运行和市民切身利益，必须加快推进国产化改造进程。</w:t>
      </w:r>
    </w:p>
    <w:p w14:paraId="027C51EB">
      <w:pPr>
        <w:spacing w:before="0" w:after="0" w:line="600" w:lineRule="exact"/>
        <w:ind w:firstLine="640"/>
      </w:pPr>
      <w:r>
        <w:rPr>
          <w:rFonts w:ascii="Times New Roman" w:hAnsi="Times New Roman" w:eastAsia="仿宋_GB2312"/>
          <w:b w:val="0"/>
          <w:sz w:val="32"/>
        </w:rPr>
        <w:t>近年来，国际形势复杂多变，技术封锁和供应链断供风险日益增加。据统计，我国关键信息基础设施中，国外技术产品占比仍然较高，存在较大安全隐患。推进国产化改造，是维护国家信息安全、保障经济社会稳定运行的战略举措，也是践行总体国家安全观的必然要求。</w:t>
      </w:r>
    </w:p>
    <w:p w14:paraId="6EEA0E37">
      <w:pPr>
        <w:spacing w:before="0" w:after="0" w:line="600" w:lineRule="exact"/>
        <w:ind w:firstLine="640"/>
      </w:pPr>
      <w:r>
        <w:rPr>
          <w:rFonts w:ascii="Times New Roman" w:hAnsi="Times New Roman" w:eastAsia="仿宋_GB2312"/>
          <w:b w:val="0"/>
          <w:sz w:val="32"/>
        </w:rPr>
        <w:t>目前平台使用的国外开源关系型数据库、国外操作系统、国外开源应用服务器中间件等均为国外产品，核心技术受制于人，存在供应链中断风险。一旦国际形势发生重大变化，这些产品可能无法正常获取技术支持和安全更新，直接影响平台的正常运行和数据安全。因此，推进国产化改造是保障平台长期稳定运行的必然选择。</w:t>
      </w:r>
    </w:p>
    <w:p w14:paraId="7DD2E479">
      <w:pPr>
        <w:spacing w:before="120" w:after="120" w:line="600" w:lineRule="exact"/>
        <w:jc w:val="left"/>
        <w:outlineLvl w:val="1"/>
      </w:pPr>
      <w:bookmarkStart w:id="8" w:name="_Toc9202"/>
      <w:r>
        <w:rPr>
          <w:rFonts w:ascii="楷体_GB2312" w:hAnsi="楷体_GB2312" w:eastAsia="楷体_GB2312"/>
          <w:b/>
          <w:sz w:val="32"/>
        </w:rPr>
        <w:t>（二）数据安全防护</w:t>
      </w:r>
      <w:bookmarkEnd w:id="8"/>
    </w:p>
    <w:p w14:paraId="7FF308FF">
      <w:pPr>
        <w:spacing w:before="0" w:after="0" w:line="600" w:lineRule="exact"/>
        <w:ind w:firstLine="640"/>
      </w:pPr>
      <w:r>
        <w:rPr>
          <w:rFonts w:ascii="Times New Roman" w:hAnsi="Times New Roman" w:eastAsia="仿宋_GB2312"/>
          <w:b w:val="0"/>
          <w:sz w:val="32"/>
        </w:rPr>
        <w:t>平台涉及人口信息、信用数据、人口、企业、信用等敏感数据。国产化改造通过全链路加密、权限隔离和合规脱敏，杜绝数据泄露隐患，符合《个人信息保护法》《数据安全法》《网络安全法》等法律法规要求。采用国产密码算法和自主可控的加密技术，能够有效防范境外势力通过技术手段窃取敏感数据的风险。</w:t>
      </w:r>
    </w:p>
    <w:p w14:paraId="3B70FE09">
      <w:pPr>
        <w:spacing w:before="0" w:after="0" w:line="600" w:lineRule="exact"/>
        <w:ind w:firstLine="640"/>
      </w:pPr>
      <w:r>
        <w:rPr>
          <w:rFonts w:ascii="Times New Roman" w:hAnsi="Times New Roman" w:eastAsia="仿宋_GB2312"/>
          <w:b w:val="0"/>
          <w:sz w:val="32"/>
        </w:rPr>
        <w:t>数字荣成平台汇聚了全市人口、经济、民生、信用等各类敏感数据，一旦泄露或被恶意利用，将造成严重后果。通过国产化改造，采用国密算法、国产安全芯片、国产防火墙等自主可控的安全产品，能够构建全方位、多层次的数据安全防护体系，保障数据全生命周期安全。</w:t>
      </w:r>
    </w:p>
    <w:p w14:paraId="0F754517">
      <w:pPr>
        <w:spacing w:before="0" w:after="0" w:line="600" w:lineRule="exact"/>
        <w:ind w:firstLine="640"/>
      </w:pPr>
      <w:r>
        <w:rPr>
          <w:rFonts w:ascii="Times New Roman" w:hAnsi="Times New Roman" w:eastAsia="仿宋_GB2312"/>
          <w:b w:val="0"/>
          <w:sz w:val="32"/>
        </w:rPr>
        <w:t>从数据采集、传输、存储、处理到销毁的全生命周期，国产化改造将提供完整的安全保障。特别是在数据传输环节，采用国密SM2/SM3/SM4算法进行加密传输，使数据在传输过程中不被窃取或篡改。在数据存储环节，采用国产数据库的内置加密功能，对敏感字段进行加密存储，即使数据库文件被盗取，也无法直接获取明文数据。</w:t>
      </w:r>
    </w:p>
    <w:p w14:paraId="39CCBA82">
      <w:pPr>
        <w:spacing w:before="120" w:after="120" w:line="600" w:lineRule="exact"/>
        <w:jc w:val="left"/>
        <w:outlineLvl w:val="1"/>
      </w:pPr>
      <w:bookmarkStart w:id="9" w:name="_Toc25921"/>
      <w:r>
        <w:rPr>
          <w:rFonts w:ascii="楷体_GB2312" w:hAnsi="楷体_GB2312" w:eastAsia="楷体_GB2312"/>
          <w:b/>
          <w:sz w:val="32"/>
        </w:rPr>
        <w:t>（三）业务持续保障</w:t>
      </w:r>
      <w:bookmarkEnd w:id="9"/>
    </w:p>
    <w:p w14:paraId="02B9503B">
      <w:pPr>
        <w:spacing w:before="0" w:after="0" w:line="600" w:lineRule="exact"/>
        <w:ind w:firstLine="640"/>
      </w:pPr>
      <w:r>
        <w:rPr>
          <w:rFonts w:ascii="Times New Roman" w:hAnsi="Times New Roman" w:eastAsia="仿宋_GB2312"/>
          <w:b w:val="0"/>
          <w:sz w:val="32"/>
        </w:rPr>
        <w:t>现有非国产系统面临漏洞威胁及兼容性风险。国产化改造确保平台与政务云无缝对接，支撑城市管理全天候稳定运行。国产软硬件产品具备完整的技术支持和服务保障体系，能够及时发现和修复安全漏洞，使系统稳定可靠。</w:t>
      </w:r>
    </w:p>
    <w:p w14:paraId="3697A779">
      <w:pPr>
        <w:spacing w:before="0" w:after="0" w:line="600" w:lineRule="exact"/>
        <w:ind w:firstLine="640"/>
      </w:pPr>
      <w:r>
        <w:rPr>
          <w:rFonts w:ascii="Times New Roman" w:hAnsi="Times New Roman" w:eastAsia="仿宋_GB2312"/>
          <w:b w:val="0"/>
          <w:sz w:val="32"/>
        </w:rPr>
        <w:t>随着技术迭代加速，国外厂商对老旧版本产品的技术支持逐步缩减，甚至出现强制升级、停止服务等情况，给系统持续运行带来风险。国产化改造后，可采用国产软硬件产品和服务，建立本地化技术支持体系，保证系统问题能够及时解决，业务不中断。并且，国产产品兼容性更好，能够适应未来技术发展和业务扩展需要。</w:t>
      </w:r>
    </w:p>
    <w:p w14:paraId="485E1689">
      <w:pPr>
        <w:spacing w:before="0" w:after="0" w:line="600" w:lineRule="exact"/>
        <w:ind w:firstLine="640"/>
      </w:pPr>
      <w:r>
        <w:rPr>
          <w:rFonts w:ascii="Times New Roman" w:hAnsi="Times New Roman" w:eastAsia="仿宋_GB2312"/>
          <w:b w:val="0"/>
          <w:sz w:val="32"/>
        </w:rPr>
        <w:t>从业务运维的角度看，国产化改造能够显著提升系统的可维护性和可扩展性。国产软硬件产品提供本地化、全方位的技术支持服务，包括安装部署、配置调优、故障排查、版本升级等全流程服务，保障系统在整个生命周期内得到充分的技术保障。</w:t>
      </w:r>
    </w:p>
    <w:p w14:paraId="66C310A8">
      <w:pPr>
        <w:spacing w:before="120" w:after="120" w:line="600" w:lineRule="exact"/>
        <w:jc w:val="left"/>
        <w:outlineLvl w:val="1"/>
      </w:pPr>
      <w:bookmarkStart w:id="10" w:name="_Toc10706"/>
      <w:r>
        <w:rPr>
          <w:rFonts w:ascii="楷体_GB2312" w:hAnsi="楷体_GB2312" w:eastAsia="楷体_GB2312"/>
          <w:b/>
          <w:sz w:val="32"/>
        </w:rPr>
        <w:t>（四）降本提效</w:t>
      </w:r>
      <w:bookmarkEnd w:id="10"/>
    </w:p>
    <w:p w14:paraId="603654F5">
      <w:pPr>
        <w:spacing w:before="0" w:after="0" w:line="600" w:lineRule="exact"/>
        <w:ind w:firstLine="640"/>
      </w:pPr>
      <w:r>
        <w:rPr>
          <w:rFonts w:ascii="Times New Roman" w:hAnsi="Times New Roman" w:eastAsia="仿宋_GB2312"/>
          <w:b w:val="0"/>
          <w:sz w:val="32"/>
        </w:rPr>
        <w:t>国产软硬件许可及运维成本低于国外产品，适配本地技术生态，降低长期维护成本。国产数据库、中间件等产品在保证性能的前提下，许可费用较国外同类产品降低30%-50%，且本地化服务响应速度更快，能够有效降低系统运维成本。</w:t>
      </w:r>
    </w:p>
    <w:p w14:paraId="6B61ACCE">
      <w:pPr>
        <w:spacing w:before="0" w:after="0" w:line="600" w:lineRule="exact"/>
        <w:ind w:firstLine="640"/>
      </w:pPr>
      <w:r>
        <w:rPr>
          <w:rFonts w:ascii="Times New Roman" w:hAnsi="Times New Roman" w:eastAsia="仿宋_GB2312"/>
          <w:b w:val="0"/>
          <w:sz w:val="32"/>
        </w:rPr>
        <w:t>此外，国产软硬件产品针对国内用户需求进行了深度优化，操作界面友好、管理工具完善、技术支持到位，能够显著降低系统管理和运维难度，减少专业人员培养成本。</w:t>
      </w:r>
    </w:p>
    <w:p w14:paraId="32B91228">
      <w:pPr>
        <w:spacing w:before="0" w:after="0" w:line="600" w:lineRule="exact"/>
        <w:ind w:firstLine="640"/>
      </w:pPr>
      <w:r>
        <w:rPr>
          <w:rFonts w:ascii="Times New Roman" w:hAnsi="Times New Roman" w:eastAsia="仿宋_GB2312"/>
          <w:b w:val="0"/>
          <w:sz w:val="32"/>
        </w:rPr>
        <w:t>以数据库为例，国外商业数据库企业版数据库每年许可费用高达数十万元，而国产数据库管理系统企业版的许可费用仅为国外主流商业数据库的50%左右，且包含更多功能特性。同时，国产数据库提供免费的本地化技术支持，响应速度更快，问题解决更及时，能够显著降低系统的运维成本和管理难度。</w:t>
      </w:r>
    </w:p>
    <w:p w14:paraId="1F34FAB3">
      <w:pPr>
        <w:spacing w:before="120" w:after="120" w:line="600" w:lineRule="exact"/>
        <w:jc w:val="left"/>
        <w:outlineLvl w:val="1"/>
      </w:pPr>
      <w:bookmarkStart w:id="11" w:name="_Toc13712"/>
      <w:r>
        <w:rPr>
          <w:rFonts w:ascii="楷体_GB2312" w:hAnsi="楷体_GB2312" w:eastAsia="楷体_GB2312"/>
          <w:b/>
          <w:sz w:val="32"/>
        </w:rPr>
        <w:t>（五）政策合规性</w:t>
      </w:r>
      <w:bookmarkEnd w:id="11"/>
    </w:p>
    <w:p w14:paraId="2C2FFA22">
      <w:pPr>
        <w:spacing w:before="0" w:after="0" w:line="600" w:lineRule="exact"/>
        <w:ind w:firstLine="640"/>
      </w:pPr>
      <w:r>
        <w:rPr>
          <w:rFonts w:ascii="Times New Roman" w:hAnsi="Times New Roman" w:eastAsia="仿宋_GB2312"/>
          <w:b w:val="0"/>
          <w:sz w:val="32"/>
        </w:rPr>
        <w:t>满足《数字中国建设整体布局规划》《山东省新型智慧城市试点方案》对关键系统国产化的强制要求。根据山东省大数据局《关于加快推进政务信息系统国产化改造的通知》要求，2026年底前，各级政务部门关键信息基础设施国产化率达到80%以上，本项目改造是落实这一要求的必要举措。</w:t>
      </w:r>
    </w:p>
    <w:p w14:paraId="6CC458E5">
      <w:pPr>
        <w:spacing w:before="0" w:after="0" w:line="600" w:lineRule="exact"/>
        <w:ind w:firstLine="640"/>
      </w:pPr>
      <w:r>
        <w:rPr>
          <w:rFonts w:ascii="Times New Roman" w:hAnsi="Times New Roman" w:eastAsia="仿宋_GB2312"/>
          <w:b w:val="0"/>
          <w:sz w:val="32"/>
        </w:rPr>
        <w:t>国产化改造也是落实《网络安全法》《数据安全法》《个人信息保护法》等法律法规要求的具体行动，是落实相关法律法规要求的具体行动。通过本项目改造，将为荣成市政务信息系统国产化改造积累经验、树立标杆，为全省乃至全国提供可复制、可推广的解决方案。</w:t>
      </w:r>
    </w:p>
    <w:p w14:paraId="3A8A0994">
      <w:pPr>
        <w:spacing w:before="0" w:after="0" w:line="600" w:lineRule="exact"/>
        <w:ind w:firstLine="640"/>
      </w:pPr>
      <w:r>
        <w:rPr>
          <w:rFonts w:ascii="Times New Roman" w:hAnsi="Times New Roman" w:eastAsia="仿宋_GB2312"/>
          <w:b w:val="0"/>
          <w:sz w:val="32"/>
        </w:rPr>
        <w:t>国家和地方各级政府均将信创工作作为重点任务推进。山东省先后出台了多项政策文件，要求各级政务部门加快国产化改造进度，力争在"十四五"期间基本完成关键信息基础设施的国产化替代。本项目作为荣成市政务信息系统国产化改造的重点项目，具有强烈的政策要求和时代背景。</w:t>
      </w:r>
    </w:p>
    <w:p w14:paraId="0CF6D4CA">
      <w:pPr>
        <w:spacing w:before="0" w:after="0" w:line="600" w:lineRule="exact"/>
        <w:ind w:firstLine="640"/>
      </w:pPr>
      <w:r>
        <w:rPr>
          <w:rFonts w:ascii="Times New Roman" w:hAnsi="Times New Roman" w:eastAsia="仿宋_GB2312"/>
          <w:b w:val="0"/>
          <w:sz w:val="32"/>
        </w:rPr>
        <w:t>国产软硬件产品经过多年的技术积累和应用实践，在功能、性能、稳定性等方面已经达到或接近国外同类产品的水平，具备了大规模替代的条件。特别是在政务领域，国产数据库、操作系统、中间件等产品已经在全国范围内广泛部署和应用，积累了大量成功案例和实战经验，为本项目的顺利实施提供了有力保障。</w:t>
      </w:r>
    </w:p>
    <w:p w14:paraId="74A0466E">
      <w:pPr>
        <w:spacing w:before="0" w:after="0" w:line="600" w:lineRule="exact"/>
        <w:ind w:firstLine="640"/>
      </w:pPr>
      <w:r>
        <w:rPr>
          <w:rFonts w:ascii="Times New Roman" w:hAnsi="Times New Roman" w:eastAsia="仿宋_GB2312"/>
          <w:b w:val="0"/>
          <w:sz w:val="32"/>
        </w:rPr>
        <w:t>云计算、大数据、人工智能等新一代信息技术快速发展，国产软硬件产品正积极拥抱新技术，不断提升技术竞争力。国产服务器操作系统、国产数据库管理系统、国产应用中间件等国产产品已经全面支持容器化部署、微服务架构、分布式计算等新技术，能够满足智慧城市建设的多样化需求。</w:t>
      </w:r>
    </w:p>
    <w:p w14:paraId="39BC8DEF">
      <w:pPr>
        <w:spacing w:before="240" w:after="240" w:line="600" w:lineRule="exact"/>
        <w:jc w:val="center"/>
        <w:outlineLvl w:val="0"/>
      </w:pPr>
      <w:bookmarkStart w:id="12" w:name="_Toc27958"/>
      <w:r>
        <w:rPr>
          <w:rFonts w:ascii="黑体" w:hAnsi="黑体" w:eastAsia="黑体"/>
          <w:b/>
          <w:sz w:val="32"/>
        </w:rPr>
        <w:t>三、改造目标与原则</w:t>
      </w:r>
      <w:bookmarkEnd w:id="12"/>
    </w:p>
    <w:p w14:paraId="07AF1203">
      <w:pPr>
        <w:spacing w:before="120" w:after="120" w:line="600" w:lineRule="exact"/>
        <w:jc w:val="left"/>
        <w:outlineLvl w:val="1"/>
      </w:pPr>
      <w:bookmarkStart w:id="13" w:name="_Toc16405"/>
      <w:r>
        <w:rPr>
          <w:rFonts w:ascii="楷体_GB2312" w:hAnsi="楷体_GB2312" w:eastAsia="楷体_GB2312"/>
          <w:b/>
          <w:sz w:val="32"/>
        </w:rPr>
        <w:t>（一）改造目标</w:t>
      </w:r>
      <w:bookmarkEnd w:id="13"/>
    </w:p>
    <w:p w14:paraId="08CDB3DE">
      <w:pPr>
        <w:spacing w:before="0" w:after="0" w:line="600" w:lineRule="exact"/>
        <w:ind w:firstLine="640"/>
      </w:pPr>
      <w:r>
        <w:rPr>
          <w:rFonts w:ascii="Times New Roman" w:hAnsi="Times New Roman" w:eastAsia="仿宋_GB2312"/>
          <w:b w:val="0"/>
          <w:sz w:val="32"/>
        </w:rPr>
        <w:t>本次国产化适配改造的总体目标是：实现数字荣成平台全部组件国产化，建立自主可控、安全可信的城市管理体系，使系统功能完整、性能达标、安全可靠。具体包括：</w:t>
      </w:r>
    </w:p>
    <w:p w14:paraId="2DCE052C">
      <w:pPr>
        <w:spacing w:before="0" w:after="0" w:line="600" w:lineRule="exact"/>
        <w:ind w:firstLine="640"/>
      </w:pPr>
      <w:r>
        <w:rPr>
          <w:rFonts w:ascii="Times New Roman" w:hAnsi="Times New Roman" w:eastAsia="仿宋_GB2312"/>
          <w:b w:val="0"/>
          <w:sz w:val="32"/>
        </w:rPr>
        <w:t>1. 实现平台数据库国产化替代。采用国产数据库管理系统国产数据库，完成数据迁移和应用适配，保障数据完整性、一致性和安全性。数据迁移过程中实现最大限度避免丢失和损坏，迁移后数据一致性校验通过率100%。</w:t>
      </w:r>
    </w:p>
    <w:p w14:paraId="6BC038DB">
      <w:pPr>
        <w:spacing w:before="0" w:after="0" w:line="600" w:lineRule="exact"/>
        <w:ind w:firstLine="640"/>
      </w:pPr>
      <w:r>
        <w:rPr>
          <w:rFonts w:ascii="Times New Roman" w:hAnsi="Times New Roman" w:eastAsia="仿宋_GB2312"/>
          <w:b w:val="0"/>
          <w:sz w:val="32"/>
        </w:rPr>
        <w:t>2. 完成操作系统国产化改造。适配</w:t>
      </w:r>
      <w:r>
        <w:rPr>
          <w:rFonts w:hint="eastAsia" w:ascii="Times New Roman" w:hAnsi="Times New Roman" w:eastAsia="仿宋_GB2312"/>
          <w:b w:val="0"/>
          <w:sz w:val="32"/>
          <w:lang w:eastAsia="zh-CN"/>
        </w:rPr>
        <w:t>国产服务器操作系统</w:t>
      </w:r>
      <w:r>
        <w:rPr>
          <w:rFonts w:ascii="Times New Roman" w:hAnsi="Times New Roman" w:eastAsia="仿宋_GB2312"/>
          <w:b w:val="0"/>
          <w:sz w:val="32"/>
        </w:rPr>
        <w:t>，使系统稳定可靠、性能优良。操作系统适配完成后，所有应用程序能够在国产操作系统上正常运行，性能不低于改造前水平。</w:t>
      </w:r>
    </w:p>
    <w:p w14:paraId="2A6406D8">
      <w:pPr>
        <w:spacing w:before="0" w:after="0" w:line="600" w:lineRule="exact"/>
        <w:ind w:firstLine="640"/>
      </w:pPr>
      <w:r>
        <w:rPr>
          <w:rFonts w:ascii="Times New Roman" w:hAnsi="Times New Roman" w:eastAsia="仿宋_GB2312"/>
          <w:b w:val="0"/>
          <w:sz w:val="32"/>
        </w:rPr>
        <w:t>3. 实现中间件国产化替代。采用国产应用中间件国产中间件产品，确保应用服务器、Web服务器、消息队列等组件运行稳定。中间件替代后，系统支持高并发访问，响应时间满足业务需求。</w:t>
      </w:r>
    </w:p>
    <w:p w14:paraId="356813B3">
      <w:pPr>
        <w:spacing w:before="0" w:after="0" w:line="600" w:lineRule="exact"/>
        <w:ind w:firstLine="640"/>
      </w:pPr>
      <w:r>
        <w:rPr>
          <w:rFonts w:ascii="Times New Roman" w:hAnsi="Times New Roman" w:eastAsia="仿宋_GB2312"/>
          <w:b w:val="0"/>
          <w:sz w:val="32"/>
        </w:rPr>
        <w:t>4. 完成应用软件与国产软硬件环境的兼容性适配和优化。使系统功能完整、性能达标、用户体验良好。所有业务功能均正常运行，无功能丢失或降级，用户界面友好，操作流畅。</w:t>
      </w:r>
    </w:p>
    <w:p w14:paraId="0E67D3AD">
      <w:pPr>
        <w:spacing w:before="0" w:after="0" w:line="600" w:lineRule="exact"/>
        <w:ind w:firstLine="640"/>
      </w:pPr>
      <w:r>
        <w:rPr>
          <w:rFonts w:ascii="Times New Roman" w:hAnsi="Times New Roman" w:eastAsia="仿宋_GB2312"/>
          <w:b w:val="0"/>
          <w:sz w:val="32"/>
        </w:rPr>
        <w:t>5. 建立国产化环境下的系统运维和安全保障体系。制定运维规范、应急预案、安全策略，保障系统长期稳定运行。运维体系包括日常巡检、性能监控、安全审计、应急响应等多个方面，保障系统全天候稳定运行。</w:t>
      </w:r>
    </w:p>
    <w:p w14:paraId="23E29233">
      <w:pPr>
        <w:spacing w:before="120" w:after="120" w:line="600" w:lineRule="exact"/>
        <w:jc w:val="left"/>
        <w:outlineLvl w:val="1"/>
      </w:pPr>
      <w:bookmarkStart w:id="14" w:name="_Toc31412"/>
      <w:r>
        <w:rPr>
          <w:rFonts w:ascii="楷体_GB2312" w:hAnsi="楷体_GB2312" w:eastAsia="楷体_GB2312"/>
          <w:b/>
          <w:sz w:val="32"/>
        </w:rPr>
        <w:t>（二）改造原则</w:t>
      </w:r>
      <w:bookmarkEnd w:id="14"/>
    </w:p>
    <w:p w14:paraId="0CBE3987">
      <w:pPr>
        <w:spacing w:before="0" w:after="0" w:line="600" w:lineRule="exact"/>
        <w:ind w:firstLine="640"/>
      </w:pPr>
      <w:r>
        <w:rPr>
          <w:rFonts w:ascii="Times New Roman" w:hAnsi="Times New Roman" w:eastAsia="仿宋_GB2312"/>
          <w:b w:val="0"/>
          <w:sz w:val="32"/>
        </w:rPr>
        <w:t>1. 自主可控原则。优先选用技术自主可控的国产软硬件产品，确保核心技术不受制于人，防范供应链断供风险。所有选型产品均须拥有自主知识产权，核心技术自主可控，源代码可审计、可检测。</w:t>
      </w:r>
    </w:p>
    <w:p w14:paraId="05EB8CB7">
      <w:pPr>
        <w:spacing w:before="0" w:after="0" w:line="600" w:lineRule="exact"/>
        <w:ind w:firstLine="640"/>
      </w:pPr>
      <w:r>
        <w:rPr>
          <w:rFonts w:ascii="Times New Roman" w:hAnsi="Times New Roman" w:eastAsia="仿宋_GB2312"/>
          <w:b w:val="0"/>
          <w:sz w:val="32"/>
        </w:rPr>
        <w:t>2. 安全可信原则。采用符合国家密码管理局要求的国产密码算法和安全技术，确保数据传输、存储、处理全过程安全可信。建立多层次安全防护体系，从网络安全、主机安全、应用安全、数据安全等多个维度全面保障系统安全。</w:t>
      </w:r>
    </w:p>
    <w:p w14:paraId="5998C37B">
      <w:pPr>
        <w:spacing w:before="0" w:after="0" w:line="600" w:lineRule="exact"/>
        <w:ind w:firstLine="640"/>
      </w:pPr>
      <w:r>
        <w:rPr>
          <w:rFonts w:ascii="Times New Roman" w:hAnsi="Times New Roman" w:eastAsia="仿宋_GB2312"/>
          <w:b w:val="0"/>
          <w:sz w:val="32"/>
        </w:rPr>
        <w:t>3. 平滑过渡原则。采用渐进式改造策略，做到业务不中断、数据不丢失、用户无感知，实现新旧系统平稳切换。改造过程中采用双轨运行、分批次逐步切换等策略，逐步切换流量，最终实现全量切换。</w:t>
      </w:r>
    </w:p>
    <w:p w14:paraId="623F8D38">
      <w:pPr>
        <w:spacing w:before="0" w:after="0" w:line="600" w:lineRule="exact"/>
        <w:ind w:firstLine="640"/>
      </w:pPr>
      <w:r>
        <w:rPr>
          <w:rFonts w:ascii="Times New Roman" w:hAnsi="Times New Roman" w:eastAsia="仿宋_GB2312"/>
          <w:b w:val="0"/>
          <w:sz w:val="32"/>
        </w:rPr>
        <w:t>4. 性能优先原则。改造后的系统性能应达到或超过改造前水平，不得因国产化改造降低系统性能，影响用户体验。通过性能测试、调优、容量规划等手段，使改造后系统性能达标。</w:t>
      </w:r>
    </w:p>
    <w:p w14:paraId="2AE0CBBB">
      <w:pPr>
        <w:spacing w:before="0" w:after="0" w:line="600" w:lineRule="exact"/>
        <w:ind w:firstLine="640"/>
      </w:pPr>
      <w:r>
        <w:rPr>
          <w:rFonts w:ascii="Times New Roman" w:hAnsi="Times New Roman" w:eastAsia="仿宋_GB2312"/>
          <w:b w:val="0"/>
          <w:sz w:val="32"/>
        </w:rPr>
        <w:t>5. 标准规范原则。严格遵循国家、行业相关标准和规范，保证系统互联互通和可持续发展，避免形成新的技术孤岛。包括数据标准、接口规范、安全规范、运维规范等，确保系统建设有章可循。</w:t>
      </w:r>
    </w:p>
    <w:p w14:paraId="37FF77AB">
      <w:pPr>
        <w:spacing w:before="0" w:after="0" w:line="600" w:lineRule="exact"/>
        <w:ind w:firstLine="640"/>
      </w:pPr>
      <w:r>
        <w:rPr>
          <w:rFonts w:ascii="Times New Roman" w:hAnsi="Times New Roman" w:eastAsia="仿宋_GB2312"/>
          <w:b w:val="0"/>
          <w:sz w:val="32"/>
        </w:rPr>
        <w:t>6. 经济合理原则。在满足技术要求和安全要求的前提下，优先选用性价比高的国产产品，合理控制项目成本。充分考虑产品的全生命周期成本，包括采购成本、部署成本、运维成本、升级成本等，实现经济效益最大化。</w:t>
      </w:r>
    </w:p>
    <w:p w14:paraId="44319204">
      <w:pPr>
        <w:spacing w:before="0" w:after="0" w:line="600" w:lineRule="exact"/>
        <w:ind w:firstLine="640"/>
      </w:pPr>
      <w:r>
        <w:rPr>
          <w:rFonts w:ascii="Times New Roman" w:hAnsi="Times New Roman" w:eastAsia="仿宋_GB2312"/>
          <w:b w:val="0"/>
          <w:sz w:val="32"/>
        </w:rPr>
        <w:t>7. 可持续发展原则。选用的国产软硬件产品应具备良好的技术发展前景和长期服务保障能力，能够适应未来业务发展和技术演进的需要。同时，应关注产品的社区活跃度、技术文档完善程度、人才储备等因素，确保系统具备良好的可持续发展能力。</w:t>
      </w:r>
    </w:p>
    <w:p w14:paraId="2D8ECDA3">
      <w:pPr>
        <w:spacing w:before="0" w:after="0" w:line="600" w:lineRule="exact"/>
        <w:ind w:firstLine="640"/>
      </w:pPr>
      <w:r>
        <w:rPr>
          <w:rFonts w:ascii="Times New Roman" w:hAnsi="Times New Roman" w:eastAsia="仿宋_GB2312"/>
          <w:b w:val="0"/>
          <w:sz w:val="32"/>
        </w:rPr>
        <w:t>8. 协同推进原则。本项目涉及数据库、操作系统、中间件、应用软件等多个层面的改造，需要各层面协同推进，确保整体改造效果。各改造层面之间要密切配合，及时沟通，避免因单点问题影响整体改造进度和质量。</w:t>
      </w:r>
    </w:p>
    <w:p w14:paraId="59F2577E">
      <w:pPr>
        <w:spacing w:before="240" w:after="240" w:line="600" w:lineRule="exact"/>
        <w:jc w:val="center"/>
        <w:outlineLvl w:val="0"/>
      </w:pPr>
      <w:bookmarkStart w:id="15" w:name="_Toc3851"/>
      <w:r>
        <w:rPr>
          <w:rFonts w:ascii="黑体" w:hAnsi="黑体" w:eastAsia="黑体"/>
          <w:b/>
          <w:sz w:val="32"/>
        </w:rPr>
        <w:t>四、国产化软件选型</w:t>
      </w:r>
      <w:bookmarkEnd w:id="15"/>
    </w:p>
    <w:p w14:paraId="5FE4FD8D">
      <w:pPr>
        <w:spacing w:before="120" w:after="120" w:line="600" w:lineRule="exact"/>
        <w:jc w:val="left"/>
        <w:outlineLvl w:val="1"/>
      </w:pPr>
      <w:bookmarkStart w:id="16" w:name="_Toc11164"/>
      <w:r>
        <w:rPr>
          <w:rFonts w:ascii="楷体_GB2312" w:hAnsi="楷体_GB2312" w:eastAsia="楷体_GB2312"/>
          <w:b/>
          <w:sz w:val="32"/>
        </w:rPr>
        <w:t>（一）操作系统选型</w:t>
      </w:r>
      <w:bookmarkEnd w:id="16"/>
    </w:p>
    <w:p w14:paraId="4F9DC7F7">
      <w:pPr>
        <w:spacing w:before="0" w:after="0" w:line="600" w:lineRule="exact"/>
        <w:ind w:firstLine="640"/>
      </w:pPr>
      <w:r>
        <w:rPr>
          <w:rFonts w:ascii="Times New Roman" w:hAnsi="Times New Roman" w:eastAsia="仿宋_GB2312"/>
          <w:b w:val="0"/>
          <w:sz w:val="32"/>
        </w:rPr>
        <w:t>国产服务器操作系统。选型依据包括：安全合规（通过国家等保认证、支持国密算法）、CPU兼容性（适配国产主流CPU架构）、生态兼容（与国产数据库及中间件协同认证通过）、运维保障（原厂提供本地化技术支持和安全更新）。</w:t>
      </w:r>
    </w:p>
    <w:p w14:paraId="6D6B3B64">
      <w:pPr>
        <w:spacing w:before="0" w:after="0" w:line="600" w:lineRule="exact"/>
        <w:ind w:firstLine="640"/>
      </w:pPr>
      <w:r>
        <w:rPr>
          <w:rFonts w:ascii="Times New Roman" w:hAnsi="Times New Roman" w:eastAsia="仿宋_GB2312"/>
          <w:b w:val="0"/>
          <w:sz w:val="32"/>
        </w:rPr>
        <w:t>国产服务器操作系统基于Linux内核自主研发，支持国产主流CPU架构，内置安全加固模块，通过国家等保认证，兼容主流开发框架和中间件，具备完善的政务应用生态和本地化技术支持体系。</w:t>
      </w:r>
    </w:p>
    <w:p w14:paraId="623B31CC">
      <w:pPr>
        <w:spacing w:before="120" w:after="120" w:line="600" w:lineRule="exact"/>
        <w:jc w:val="left"/>
        <w:outlineLvl w:val="1"/>
      </w:pPr>
      <w:bookmarkStart w:id="17" w:name="_Toc5789"/>
      <w:r>
        <w:rPr>
          <w:rFonts w:ascii="楷体_GB2312" w:hAnsi="楷体_GB2312" w:eastAsia="楷体_GB2312"/>
          <w:b/>
          <w:sz w:val="32"/>
        </w:rPr>
        <w:t>（二）数据库选型</w:t>
      </w:r>
      <w:bookmarkEnd w:id="17"/>
    </w:p>
    <w:p w14:paraId="3901CEE0">
      <w:pPr>
        <w:spacing w:before="0" w:after="0" w:line="600" w:lineRule="exact"/>
        <w:ind w:firstLine="640"/>
      </w:pPr>
      <w:r>
        <w:rPr>
          <w:rFonts w:ascii="Times New Roman" w:hAnsi="Times New Roman" w:eastAsia="仿宋_GB2312"/>
          <w:b w:val="0"/>
          <w:sz w:val="32"/>
        </w:rPr>
        <w:t>国产数据库管理系统。选型依据包括：标准兼容（支持SQL标准，兼容主流SQL语法，降低迁移成本）、安全合规（通过国家等保认证，支持国密算法和数据加密存储）、高可用（支持主从复制、读写分离、双机热备等架构）、运维成熟（具备完整的备份恢复和数据校验机制，原厂技术支持到位）。</w:t>
      </w:r>
    </w:p>
    <w:p w14:paraId="5326746F">
      <w:pPr>
        <w:spacing w:before="0" w:after="0" w:line="600" w:lineRule="exact"/>
        <w:ind w:firstLine="640"/>
      </w:pPr>
      <w:r>
        <w:rPr>
          <w:rFonts w:ascii="Times New Roman" w:hAnsi="Times New Roman" w:eastAsia="仿宋_GB2312"/>
          <w:b w:val="0"/>
          <w:sz w:val="32"/>
        </w:rPr>
        <w:t>国产数据库管理系统支持多种存储引擎，满足不同业务场景需求；支持分布式事务和多版本并发控制，保障数据一致性；内置国密算法支持，实现数据存储加密和传输加密；具备完善的监控告警功能；支持主从复制、读写分离、双机热备等高可用架构。</w:t>
      </w:r>
    </w:p>
    <w:p w14:paraId="6616226D">
      <w:pPr>
        <w:spacing w:before="120" w:after="120" w:line="600" w:lineRule="exact"/>
        <w:jc w:val="left"/>
        <w:outlineLvl w:val="1"/>
      </w:pPr>
      <w:bookmarkStart w:id="18" w:name="_Toc27443"/>
      <w:r>
        <w:rPr>
          <w:rFonts w:ascii="楷体_GB2312" w:hAnsi="楷体_GB2312" w:eastAsia="楷体_GB2312"/>
          <w:b/>
          <w:sz w:val="32"/>
        </w:rPr>
        <w:t>（三）中间件选型</w:t>
      </w:r>
      <w:bookmarkEnd w:id="18"/>
    </w:p>
    <w:p w14:paraId="5FA8BA6D">
      <w:pPr>
        <w:spacing w:before="0" w:after="0" w:line="600" w:lineRule="exact"/>
        <w:ind w:firstLine="640"/>
      </w:pPr>
      <w:r>
        <w:rPr>
          <w:rFonts w:ascii="Times New Roman" w:hAnsi="Times New Roman" w:eastAsia="仿宋_GB2312"/>
          <w:b w:val="0"/>
          <w:sz w:val="32"/>
        </w:rPr>
        <w:t>国产应用中间件。选型依据包括：标准兼容（支持Java EE规范，兼容Spring Boot、Spring Cloud、MyBatis等主流框架）、性能可靠（支持高并发访问，具备集群部署和负载均衡能力）、协同认证（与国产操作系统、数据库完成兼容性联合认证）、运维便捷（提供Web管理控制台，支持应用部署、监控和故障诊断）。</w:t>
      </w:r>
    </w:p>
    <w:p w14:paraId="07B12441">
      <w:pPr>
        <w:spacing w:before="120" w:after="120" w:line="600" w:lineRule="exact"/>
        <w:jc w:val="left"/>
        <w:outlineLvl w:val="1"/>
      </w:pPr>
      <w:bookmarkStart w:id="19" w:name="_Toc26005"/>
      <w:r>
        <w:rPr>
          <w:rFonts w:ascii="楷体_GB2312" w:hAnsi="楷体_GB2312" w:eastAsia="楷体_GB2312"/>
          <w:b/>
          <w:sz w:val="32"/>
        </w:rPr>
        <w:t>（四）安全产品选型</w:t>
      </w:r>
      <w:bookmarkEnd w:id="19"/>
    </w:p>
    <w:p w14:paraId="284E4FD0">
      <w:pPr>
        <w:spacing w:before="0" w:after="0" w:line="600" w:lineRule="exact"/>
        <w:ind w:firstLine="640"/>
      </w:pPr>
      <w:r>
        <w:rPr>
          <w:rFonts w:ascii="Times New Roman" w:hAnsi="Times New Roman" w:eastAsia="仿宋_GB2312"/>
          <w:b w:val="0"/>
          <w:sz w:val="32"/>
        </w:rPr>
        <w:t>1. 防火墙：国产下一代防火墙。支持入侵防御、病毒防护、应用识别、行为管控等功能，具备高性能、高可靠性。国产下一代防火墙在政务、金融、电信等行业广泛部署，技术成熟，安全可靠。</w:t>
      </w:r>
    </w:p>
    <w:p w14:paraId="61CD8345">
      <w:pPr>
        <w:spacing w:before="0" w:after="0" w:line="600" w:lineRule="exact"/>
        <w:ind w:firstLine="640"/>
      </w:pPr>
      <w:r>
        <w:rPr>
          <w:rFonts w:ascii="Times New Roman" w:hAnsi="Times New Roman" w:eastAsia="仿宋_GB2312"/>
          <w:b w:val="0"/>
          <w:sz w:val="32"/>
        </w:rPr>
        <w:t>2. 入侵检测系统：国产网络入侵检测系统。支持实时流量分析、异常行为检测、攻击特征匹配等功能，能够及时发现并告警安全威胁。绿盟网络安全产品在国内政务领域应用广泛，技术实力雄厚。</w:t>
      </w:r>
    </w:p>
    <w:p w14:paraId="7EDC4552">
      <w:pPr>
        <w:spacing w:before="0" w:after="0" w:line="600" w:lineRule="exact"/>
        <w:ind w:firstLine="640"/>
      </w:pPr>
      <w:r>
        <w:rPr>
          <w:rFonts w:ascii="Times New Roman" w:hAnsi="Times New Roman" w:eastAsia="仿宋_GB2312"/>
          <w:b w:val="0"/>
          <w:sz w:val="32"/>
        </w:rPr>
        <w:t>3. 漏洞扫描系统：国产远程安全评估系统。支持系统漏洞扫描、Web应用扫描、数据库扫描等，能够全面评估系统安全状况。</w:t>
      </w:r>
    </w:p>
    <w:p w14:paraId="7AC7D55A">
      <w:pPr>
        <w:spacing w:before="0" w:after="0" w:line="600" w:lineRule="exact"/>
        <w:ind w:firstLine="640"/>
      </w:pPr>
      <w:r>
        <w:rPr>
          <w:rFonts w:ascii="Times New Roman" w:hAnsi="Times New Roman" w:eastAsia="仿宋_GB2312"/>
          <w:b w:val="0"/>
          <w:sz w:val="32"/>
        </w:rPr>
        <w:t>4. 终端安全：国产终端安全管理系统。支持病毒查杀、补丁管理、合规检查、行为审计等，能够确保终端安全可控。</w:t>
      </w:r>
    </w:p>
    <w:p w14:paraId="04DC7062">
      <w:pPr>
        <w:spacing w:before="0" w:after="0" w:line="600" w:lineRule="exact"/>
        <w:ind w:firstLine="640"/>
      </w:pPr>
      <w:r>
        <w:rPr>
          <w:rFonts w:ascii="Times New Roman" w:hAnsi="Times New Roman" w:eastAsia="仿宋_GB2312"/>
          <w:b w:val="0"/>
          <w:sz w:val="32"/>
        </w:rPr>
        <w:t>5. 日志审计系统：国产日志审计系统。支持对网络设备、安全设备、操作系统、数据库、应用系统的日志进行统一采集、分析和审计，能够满足等保合规要求。</w:t>
      </w:r>
    </w:p>
    <w:p w14:paraId="47A5EF7E">
      <w:pPr>
        <w:spacing w:before="0" w:after="0" w:line="600" w:lineRule="exact"/>
        <w:ind w:firstLine="640"/>
      </w:pPr>
      <w:r>
        <w:rPr>
          <w:rFonts w:ascii="Times New Roman" w:hAnsi="Times New Roman" w:eastAsia="仿宋_GB2312"/>
          <w:b w:val="0"/>
          <w:sz w:val="32"/>
        </w:rPr>
        <w:t>6. 堡垒机：国产堡垒机。提供运维操作的统一入口，支持权限管控、操作审计、会话录像等功能，实现运维操作的全程可追溯。</w:t>
      </w:r>
    </w:p>
    <w:p w14:paraId="1E7F7511">
      <w:pPr>
        <w:spacing w:before="0" w:after="0" w:line="600" w:lineRule="exact"/>
        <w:ind w:firstLine="640"/>
      </w:pPr>
      <w:r>
        <w:rPr>
          <w:rFonts w:ascii="Times New Roman" w:hAnsi="Times New Roman" w:eastAsia="仿宋_GB2312"/>
          <w:b w:val="0"/>
          <w:sz w:val="32"/>
        </w:rPr>
        <w:t>安全产品选型遵循以下原则：优先选用通过国家信息安全测评认证的产品；产品应具备良好的兼容性，能够与国产操作系统、数据库、中间件无缝集成；产品应提供完善的技术支持服务，具备快速响应和问题解决能力；产品应具有良好的可扩展性，能够适应未来安全需求的增长和变化。</w:t>
      </w:r>
    </w:p>
    <w:p w14:paraId="3FE1299F">
      <w:pPr>
        <w:spacing w:before="240" w:after="240" w:line="600" w:lineRule="exact"/>
        <w:jc w:val="center"/>
        <w:outlineLvl w:val="0"/>
      </w:pPr>
      <w:bookmarkStart w:id="20" w:name="_Toc9011"/>
      <w:r>
        <w:rPr>
          <w:rFonts w:ascii="黑体" w:hAnsi="黑体" w:eastAsia="黑体"/>
          <w:b/>
          <w:sz w:val="32"/>
        </w:rPr>
        <w:t>五、技术路线与改造方案</w:t>
      </w:r>
      <w:bookmarkEnd w:id="20"/>
    </w:p>
    <w:p w14:paraId="615A59BF">
      <w:pPr>
        <w:spacing w:before="120" w:after="120" w:line="600" w:lineRule="exact"/>
        <w:jc w:val="left"/>
        <w:outlineLvl w:val="1"/>
      </w:pPr>
      <w:bookmarkStart w:id="21" w:name="_Toc25720"/>
      <w:r>
        <w:rPr>
          <w:rFonts w:ascii="楷体_GB2312" w:hAnsi="楷体_GB2312" w:eastAsia="楷体_GB2312"/>
          <w:b/>
          <w:sz w:val="32"/>
        </w:rPr>
        <w:t>（一）总体技术架构</w:t>
      </w:r>
      <w:bookmarkEnd w:id="21"/>
    </w:p>
    <w:p w14:paraId="22C63D74">
      <w:pPr>
        <w:spacing w:before="0" w:after="0" w:line="600" w:lineRule="exact"/>
        <w:ind w:firstLine="640"/>
      </w:pPr>
      <w:r>
        <w:rPr>
          <w:rFonts w:ascii="Times New Roman" w:hAnsi="Times New Roman" w:eastAsia="仿宋_GB2312"/>
          <w:b w:val="0"/>
          <w:sz w:val="32"/>
        </w:rPr>
        <w:t>本项目采用"分层改造、逐步推进"的技术路线，按照基础设施层、数据层、平台层、应用层的顺序，依次完成国产化适配改造。每层改造完成后，进行充分测试，稳定后再进行下一层改造，降低改造风险。</w:t>
      </w:r>
    </w:p>
    <w:p w14:paraId="62AF3A9C">
      <w:pPr>
        <w:spacing w:before="0" w:after="0" w:line="600" w:lineRule="exact"/>
        <w:ind w:firstLine="640"/>
      </w:pPr>
      <w:r>
        <w:rPr>
          <w:rFonts w:ascii="Times New Roman" w:hAnsi="Times New Roman" w:eastAsia="仿宋_GB2312"/>
          <w:b w:val="0"/>
          <w:sz w:val="32"/>
        </w:rPr>
        <w:t>具体改造路径为：硬件兼容适配→操作系统部署→数据库迁移→中间件部署→应用适配优化→系统联调测试→上线切换。每个阶段都设置质量检查点和测试验证环节，确保改造质量。</w:t>
      </w:r>
    </w:p>
    <w:p w14:paraId="3A05121E">
      <w:pPr>
        <w:spacing w:before="0" w:after="0" w:line="600" w:lineRule="exact"/>
        <w:ind w:firstLine="640"/>
      </w:pPr>
      <w:r>
        <w:rPr>
          <w:rFonts w:ascii="Times New Roman" w:hAnsi="Times New Roman" w:eastAsia="仿宋_GB2312"/>
          <w:b w:val="0"/>
          <w:sz w:val="32"/>
        </w:rPr>
        <w:t>在基础设施层，确认现有服务器硬件环境满足国产化操作系统部署要求，保证硬件层面的可用性。基础设施选型需满足以下要求：支持国产CPU（国产主流服务器CPU），内存不低于128GB，存储采用SSD系统盘+SAS数据盘的混合存储方案，配置冗余电源和RAID阵列卡，保障硬件可靠性和数据安全性。服务器硬件环境由基础设施运维团队负责保障，不在本次改造范围内。</w:t>
      </w:r>
    </w:p>
    <w:p w14:paraId="5426C61A">
      <w:pPr>
        <w:spacing w:before="0" w:after="0" w:line="600" w:lineRule="exact"/>
        <w:ind w:firstLine="640"/>
      </w:pPr>
      <w:r>
        <w:rPr>
          <w:rFonts w:ascii="Times New Roman" w:hAnsi="Times New Roman" w:eastAsia="仿宋_GB2312"/>
          <w:b w:val="0"/>
          <w:sz w:val="32"/>
        </w:rPr>
        <w:t>在数据层，采用国产数据库替代原有国外主流商业数据库或国外开源关系型数据库，完成数据迁移、存储过程改造、触发器重构、索引优化等工作，保障数据完整性、一致性和查询性能。数据层改造是整个项目的核心环节，改造质量直接关系到系统的稳定运行和业务连续性。</w:t>
      </w:r>
    </w:p>
    <w:p w14:paraId="2F91D30B">
      <w:pPr>
        <w:spacing w:before="0" w:after="0" w:line="600" w:lineRule="exact"/>
        <w:ind w:firstLine="640"/>
      </w:pPr>
      <w:r>
        <w:rPr>
          <w:rFonts w:ascii="Times New Roman" w:hAnsi="Times New Roman" w:eastAsia="仿宋_GB2312"/>
          <w:b w:val="0"/>
          <w:sz w:val="32"/>
        </w:rPr>
        <w:t>在平台层，部署国产中间件，完成应用服务器、Web服务器、消息队列等组件的国产化替代和配置优化，保证平台稳定可靠。平台层改造需要关注中间件与应用程序的兼容性，使所有依赖库均可正常工作。</w:t>
      </w:r>
    </w:p>
    <w:p w14:paraId="33F95968">
      <w:pPr>
        <w:spacing w:before="0" w:after="0" w:line="600" w:lineRule="exact"/>
        <w:ind w:firstLine="640"/>
      </w:pPr>
      <w:r>
        <w:rPr>
          <w:rFonts w:ascii="Times New Roman" w:hAnsi="Times New Roman" w:eastAsia="仿宋_GB2312"/>
          <w:b w:val="0"/>
          <w:sz w:val="32"/>
        </w:rPr>
        <w:t>在应用层，修改应用程序代码，适配国产操作系统、国产数据库和国产中间件的API接口，优化SQL语句，调整配置文件，确保应用功能完整、性能达标。应用层改造工作量最大，需要逐模块、逐功能进行适配测试。</w:t>
      </w:r>
    </w:p>
    <w:p w14:paraId="2D3284B7">
      <w:pPr>
        <w:spacing w:before="0" w:after="0" w:line="600" w:lineRule="exact"/>
        <w:ind w:firstLine="640"/>
      </w:pPr>
      <w:r>
        <w:rPr>
          <w:rFonts w:ascii="Times New Roman" w:hAnsi="Times New Roman" w:eastAsia="仿宋_GB2312"/>
          <w:b w:val="0"/>
          <w:sz w:val="32"/>
        </w:rPr>
        <w:t>为确保改造方案的可行性，改造前需要进行全面的技术评估和验证工作。具体包括：搭建与生产环境一致的测试环境，安装国产操作系统、数据库和中间件；将现有应用部署到国产化测试环境，做功能测试和性能测试；识别并记录所有兼容性问题和性能问题；针对每个问题制定具体的解决方案和改造计划。技术评估结果将作为改造方案的重要依据，保证改造方案的科学性和可操作性。</w:t>
      </w:r>
    </w:p>
    <w:p w14:paraId="2E4329B3">
      <w:pPr>
        <w:spacing w:before="0" w:after="0" w:line="600" w:lineRule="exact"/>
        <w:ind w:firstLine="640"/>
      </w:pPr>
      <w:r>
        <w:rPr>
          <w:rFonts w:ascii="Times New Roman" w:hAnsi="Times New Roman" w:eastAsia="仿宋_GB2312"/>
          <w:b w:val="0"/>
          <w:sz w:val="32"/>
        </w:rPr>
        <w:t>在技术评估的基础上，还需要制定详细的测试策略和验收标准。测试策略应覆盖功能测试、性能测试、安全测试、兼容性测试、压力测试等多个方面。验收标准应量化可衡量，包括功能完整性指标、性能指标、安全指标、可用性指标等。只有通过充分的测试验证和严格的验收，才能确保国产化改造的质量和效果。</w:t>
      </w:r>
    </w:p>
    <w:p w14:paraId="17FD30F0">
      <w:pPr>
        <w:spacing w:before="120" w:after="120" w:line="600" w:lineRule="exact"/>
        <w:jc w:val="left"/>
        <w:outlineLvl w:val="1"/>
      </w:pPr>
      <w:bookmarkStart w:id="22" w:name="_Toc28921"/>
      <w:r>
        <w:rPr>
          <w:rFonts w:ascii="楷体_GB2312" w:hAnsi="楷体_GB2312" w:eastAsia="楷体_GB2312"/>
          <w:b/>
          <w:sz w:val="32"/>
        </w:rPr>
        <w:t>（二）数据库适配改造方案</w:t>
      </w:r>
      <w:bookmarkEnd w:id="22"/>
    </w:p>
    <w:p w14:paraId="37D949E6">
      <w:pPr>
        <w:spacing w:before="0" w:after="0" w:line="600" w:lineRule="exact"/>
        <w:ind w:firstLine="640"/>
      </w:pPr>
      <w:r>
        <w:rPr>
          <w:rFonts w:ascii="Times New Roman" w:hAnsi="Times New Roman" w:eastAsia="仿宋_GB2312"/>
          <w:b w:val="0"/>
          <w:sz w:val="32"/>
        </w:rPr>
        <w:t>1. 数据库选型。根据本项目的业务特点和数据规模，选用国产数据库管理系统。国产数据库管理系统是国内主流数据库产品，通过公安部等保三级认证，支持SQL标准，具备完整的数据安全和备份恢复机制，在政务领域有丰富的成功案例。国产数据库管理系统兼容主流SQL语法程度高，能够显著降低迁移成本和改造工作量。</w:t>
      </w:r>
    </w:p>
    <w:p w14:paraId="154E929B">
      <w:pPr>
        <w:spacing w:before="0" w:after="0" w:line="600" w:lineRule="exact"/>
        <w:ind w:firstLine="640"/>
      </w:pPr>
      <w:r>
        <w:rPr>
          <w:rFonts w:ascii="Times New Roman" w:hAnsi="Times New Roman" w:eastAsia="仿宋_GB2312"/>
          <w:b w:val="0"/>
          <w:sz w:val="32"/>
        </w:rPr>
        <w:t>2. 数据迁移方案。采用ETL工具（如成熟ETL工具）完成数据迁移，具体步骤包括：第一步，数据结构分析，明确表结构、字段类型、约束条件、索引等；第二步，迁移方案设计，制定详细的数据迁移策略和应急预案；第三步，测试环境迁移验证，在测试环境进行全量数据迁移，验证迁移方案的可行性；第四步，生产环境全量迁移，选择业务低峰期进行生产数据全量迁移；第五步，增量数据同步，采用数据库日志同步或ETL工具实现增量数据实时同步；第六步，数据一致性校验，通过记录数、字段和、MD5校验等方式保证数据一致性。</w:t>
      </w:r>
    </w:p>
    <w:p w14:paraId="71364EC1">
      <w:pPr>
        <w:spacing w:before="0" w:after="0" w:line="600" w:lineRule="exact"/>
        <w:ind w:firstLine="640"/>
      </w:pPr>
      <w:r>
        <w:rPr>
          <w:rFonts w:ascii="Times New Roman" w:hAnsi="Times New Roman" w:eastAsia="仿宋_GB2312"/>
          <w:b w:val="0"/>
          <w:sz w:val="32"/>
        </w:rPr>
        <w:t>3. 应用适配改造。修改数据访问层代码，适配国产数据库JDBC驱动，优化SQL语句以兼容国产数据库语法，修改存储过程和触发器代码，调整数据库连接池配置，保证业务逻辑正确执行和系统性能达标。重点关注数据类型映射、字符集编码、分页查询语法差异等关键点。</w:t>
      </w:r>
    </w:p>
    <w:p w14:paraId="3C0B9C2B">
      <w:pPr>
        <w:spacing w:before="0" w:after="0" w:line="600" w:lineRule="exact"/>
        <w:ind w:firstLine="640"/>
      </w:pPr>
      <w:r>
        <w:rPr>
          <w:rFonts w:ascii="Times New Roman" w:hAnsi="Times New Roman" w:eastAsia="仿宋_GB2312"/>
          <w:b w:val="0"/>
          <w:sz w:val="32"/>
        </w:rPr>
        <w:t>4. 数据迁移风险评估。数据迁移过程中可能面临以下风险：数据类型不兼容导致数据截断或精度丢失；存储过程语法差异导致业务逻辑错误；大数据量迁移耗时过长影响业务连续性；增量数据同步延迟导致数据不一致。针对以上风险，需要制定详细的应对策略，包括数据映射规则、存储过程改写方案、分批迁移计划、增量同步监控机制等。</w:t>
      </w:r>
    </w:p>
    <w:p w14:paraId="385DA989">
      <w:pPr>
        <w:spacing w:before="0" w:after="0" w:line="600" w:lineRule="exact"/>
        <w:ind w:firstLine="640"/>
      </w:pPr>
      <w:r>
        <w:rPr>
          <w:rFonts w:ascii="Times New Roman" w:hAnsi="Times New Roman" w:eastAsia="仿宋_GB2312"/>
          <w:b w:val="0"/>
          <w:sz w:val="32"/>
        </w:rPr>
        <w:t>5. 数据类型映射方案。国外主流商业数据库与国产数据库管理系统的数据类型映射关系如下：原数据库NUMBER类型映射为国产数据库厂商的NUMBER或DECIMAL类型；国外主流商业数据库的VARCHAR2类型映射为国产数据库厂商的VARCHAR类型；国外主流商业数据库的DATE类型映射为国产数据库厂商的DATETIME类型；国外主流商业数据库的CLOB/BLOB类型映射为国产数据库厂商的CLOB/BLOB类型。对于特殊数据类型（如国外主流商业数据库的ROWID、RAW等），需要进行特殊处理，确保数据类型映射的准确性。</w:t>
      </w:r>
    </w:p>
    <w:p w14:paraId="39957727">
      <w:pPr>
        <w:spacing w:before="0" w:after="0" w:line="600" w:lineRule="exact"/>
        <w:ind w:firstLine="640"/>
      </w:pPr>
      <w:r>
        <w:rPr>
          <w:rFonts w:ascii="Times New Roman" w:hAnsi="Times New Roman" w:eastAsia="仿宋_GB2312"/>
          <w:b w:val="0"/>
          <w:sz w:val="32"/>
        </w:rPr>
        <w:t>6. SQL语法兼容方案。国外主流商业数据库与国产数据库管理系统在SQL语法上存在一定差异，主要表现在：分页查询语法不同（国外主流商业数据库使用ROWNUM，国产数据库厂商支持LIMIT语法和ROWNUM语法）；日期函数不同（国外主流商业数据库使用SYSDATE，国产数据库厂商使用SYSDATE或NOW）；序列使用方式不同（国外主流商业数据库使用SEQUENCE.NEXTVAL，国产数据库厂商同样支持）；分析函数语法基本兼容，但部分高级特性可能存在差异。需要对所有SQL语句进行逐一检查和修改，确保语法兼容性。</w:t>
      </w:r>
    </w:p>
    <w:p w14:paraId="2A42B9FA">
      <w:pPr>
        <w:spacing w:before="0" w:after="0" w:line="600" w:lineRule="exact"/>
        <w:ind w:firstLine="640"/>
      </w:pPr>
      <w:r>
        <w:rPr>
          <w:rFonts w:ascii="Times New Roman" w:hAnsi="Times New Roman" w:eastAsia="仿宋_GB2312"/>
          <w:b w:val="0"/>
          <w:sz w:val="32"/>
        </w:rPr>
        <w:t>7. 性能优化策略。数据库迁移后需要做系统化的性能优化，包括：重新收集统计信息，确保查询优化器能够生成最优执行计划；重建索引，根据实际查询模式调整索引策略；优化SQL语句，利用国产数据库的执行计划分析工具识别慢查询并进行优化；调整数据库参数，根据硬件配置和业务负载特点优化内存分配、IO调度等参数；配置连接池参数，根据并发量调整最大连接数和最小空闲连接数。</w:t>
      </w:r>
    </w:p>
    <w:p w14:paraId="78B8F98D">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ECA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1B04A0BF">
            <w:pPr>
              <w:spacing w:after="0" w:line="560" w:lineRule="exact"/>
              <w:jc w:val="center"/>
            </w:pPr>
            <w:r>
              <w:rPr>
                <w:rFonts w:ascii="黑体" w:hAnsi="黑体" w:eastAsia="黑体"/>
                <w:b/>
                <w:sz w:val="28"/>
              </w:rPr>
              <w:t>步骤</w:t>
            </w:r>
          </w:p>
        </w:tc>
        <w:tc>
          <w:tcPr>
            <w:tcW w:w="1803" w:type="dxa"/>
          </w:tcPr>
          <w:p w14:paraId="74ECE24B">
            <w:pPr>
              <w:spacing w:after="0" w:line="560" w:lineRule="exact"/>
              <w:jc w:val="center"/>
            </w:pPr>
            <w:r>
              <w:rPr>
                <w:rFonts w:ascii="黑体" w:hAnsi="黑体" w:eastAsia="黑体"/>
                <w:b/>
                <w:sz w:val="28"/>
              </w:rPr>
              <w:t>工作内容</w:t>
            </w:r>
          </w:p>
        </w:tc>
        <w:tc>
          <w:tcPr>
            <w:tcW w:w="1803" w:type="dxa"/>
          </w:tcPr>
          <w:p w14:paraId="1842B66B">
            <w:pPr>
              <w:spacing w:after="0" w:line="560" w:lineRule="exact"/>
              <w:jc w:val="center"/>
            </w:pPr>
            <w:r>
              <w:rPr>
                <w:rFonts w:ascii="黑体" w:hAnsi="黑体" w:eastAsia="黑体"/>
                <w:b/>
                <w:sz w:val="28"/>
              </w:rPr>
              <w:t>负责方</w:t>
            </w:r>
          </w:p>
        </w:tc>
        <w:tc>
          <w:tcPr>
            <w:tcW w:w="1803" w:type="dxa"/>
          </w:tcPr>
          <w:p w14:paraId="2498A59F">
            <w:pPr>
              <w:spacing w:after="0" w:line="560" w:lineRule="exact"/>
              <w:jc w:val="center"/>
            </w:pPr>
            <w:r>
              <w:rPr>
                <w:rFonts w:ascii="黑体" w:hAnsi="黑体" w:eastAsia="黑体"/>
                <w:b/>
                <w:sz w:val="28"/>
              </w:rPr>
              <w:t>交付物</w:t>
            </w:r>
          </w:p>
        </w:tc>
        <w:tc>
          <w:tcPr>
            <w:tcW w:w="1803" w:type="dxa"/>
          </w:tcPr>
          <w:p w14:paraId="07E76929">
            <w:pPr>
              <w:spacing w:after="0" w:line="560" w:lineRule="exact"/>
              <w:jc w:val="center"/>
            </w:pPr>
            <w:r>
              <w:rPr>
                <w:rFonts w:ascii="黑体" w:hAnsi="黑体" w:eastAsia="黑体"/>
                <w:b/>
                <w:sz w:val="28"/>
              </w:rPr>
              <w:t>工期</w:t>
            </w:r>
          </w:p>
        </w:tc>
      </w:tr>
      <w:tr w14:paraId="608DC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241B93B5">
            <w:pPr>
              <w:spacing w:after="0" w:line="560" w:lineRule="exact"/>
              <w:jc w:val="center"/>
            </w:pPr>
            <w:r>
              <w:rPr>
                <w:rFonts w:ascii="宋体" w:hAnsi="宋体" w:eastAsia="宋体"/>
                <w:b w:val="0"/>
                <w:sz w:val="24"/>
              </w:rPr>
              <w:t>第一步</w:t>
            </w:r>
          </w:p>
        </w:tc>
        <w:tc>
          <w:tcPr>
            <w:tcW w:w="1803" w:type="dxa"/>
          </w:tcPr>
          <w:p w14:paraId="3F2ABBEE">
            <w:pPr>
              <w:spacing w:after="0" w:line="560" w:lineRule="exact"/>
              <w:jc w:val="center"/>
            </w:pPr>
            <w:r>
              <w:rPr>
                <w:rFonts w:ascii="宋体" w:hAnsi="宋体" w:eastAsia="宋体"/>
                <w:b w:val="0"/>
                <w:sz w:val="24"/>
              </w:rPr>
              <w:t>数据结构分析</w:t>
            </w:r>
          </w:p>
        </w:tc>
        <w:tc>
          <w:tcPr>
            <w:tcW w:w="1803" w:type="dxa"/>
          </w:tcPr>
          <w:p w14:paraId="4F66137C">
            <w:pPr>
              <w:spacing w:after="0" w:line="560" w:lineRule="exact"/>
              <w:jc w:val="center"/>
            </w:pPr>
            <w:r>
              <w:rPr>
                <w:rFonts w:ascii="宋体" w:hAnsi="宋体" w:eastAsia="宋体"/>
                <w:b w:val="0"/>
                <w:sz w:val="24"/>
              </w:rPr>
              <w:t>开发商</w:t>
            </w:r>
          </w:p>
        </w:tc>
        <w:tc>
          <w:tcPr>
            <w:tcW w:w="1803" w:type="dxa"/>
          </w:tcPr>
          <w:p w14:paraId="629E00D3">
            <w:pPr>
              <w:spacing w:after="0" w:line="560" w:lineRule="exact"/>
              <w:jc w:val="center"/>
            </w:pPr>
            <w:r>
              <w:rPr>
                <w:rFonts w:ascii="宋体" w:hAnsi="宋体" w:eastAsia="宋体"/>
                <w:b w:val="0"/>
                <w:sz w:val="24"/>
              </w:rPr>
              <w:t>数据字典文档</w:t>
            </w:r>
          </w:p>
        </w:tc>
        <w:tc>
          <w:tcPr>
            <w:tcW w:w="1803" w:type="dxa"/>
          </w:tcPr>
          <w:p w14:paraId="2649486B">
            <w:pPr>
              <w:spacing w:after="0" w:line="560" w:lineRule="exact"/>
              <w:jc w:val="center"/>
            </w:pPr>
            <w:r>
              <w:rPr>
                <w:rFonts w:ascii="宋体" w:hAnsi="宋体" w:eastAsia="宋体"/>
                <w:b w:val="0"/>
                <w:sz w:val="24"/>
              </w:rPr>
              <w:t>5天</w:t>
            </w:r>
          </w:p>
        </w:tc>
      </w:tr>
      <w:tr w14:paraId="3D2C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13249DE2">
            <w:pPr>
              <w:spacing w:after="0" w:line="560" w:lineRule="exact"/>
              <w:jc w:val="center"/>
            </w:pPr>
            <w:r>
              <w:rPr>
                <w:rFonts w:ascii="宋体" w:hAnsi="宋体" w:eastAsia="宋体"/>
                <w:b w:val="0"/>
                <w:sz w:val="24"/>
              </w:rPr>
              <w:t>第二步</w:t>
            </w:r>
          </w:p>
        </w:tc>
        <w:tc>
          <w:tcPr>
            <w:tcW w:w="1803" w:type="dxa"/>
          </w:tcPr>
          <w:p w14:paraId="5E10CF90">
            <w:pPr>
              <w:spacing w:after="0" w:line="560" w:lineRule="exact"/>
              <w:jc w:val="center"/>
            </w:pPr>
            <w:r>
              <w:rPr>
                <w:rFonts w:ascii="宋体" w:hAnsi="宋体" w:eastAsia="宋体"/>
                <w:b w:val="0"/>
                <w:sz w:val="24"/>
              </w:rPr>
              <w:t>迁移方案设计</w:t>
            </w:r>
          </w:p>
        </w:tc>
        <w:tc>
          <w:tcPr>
            <w:tcW w:w="1803" w:type="dxa"/>
          </w:tcPr>
          <w:p w14:paraId="3A902807">
            <w:pPr>
              <w:spacing w:after="0" w:line="560" w:lineRule="exact"/>
              <w:jc w:val="center"/>
            </w:pPr>
            <w:r>
              <w:rPr>
                <w:rFonts w:ascii="宋体" w:hAnsi="宋体" w:eastAsia="宋体"/>
                <w:b w:val="0"/>
                <w:sz w:val="24"/>
              </w:rPr>
              <w:t>开发商</w:t>
            </w:r>
          </w:p>
        </w:tc>
        <w:tc>
          <w:tcPr>
            <w:tcW w:w="1803" w:type="dxa"/>
          </w:tcPr>
          <w:p w14:paraId="095D7456">
            <w:pPr>
              <w:spacing w:after="0" w:line="560" w:lineRule="exact"/>
              <w:jc w:val="center"/>
            </w:pPr>
            <w:r>
              <w:rPr>
                <w:rFonts w:ascii="宋体" w:hAnsi="宋体" w:eastAsia="宋体"/>
                <w:b w:val="0"/>
                <w:sz w:val="24"/>
              </w:rPr>
              <w:t>迁移方案文档</w:t>
            </w:r>
          </w:p>
        </w:tc>
        <w:tc>
          <w:tcPr>
            <w:tcW w:w="1803" w:type="dxa"/>
          </w:tcPr>
          <w:p w14:paraId="521C838A">
            <w:pPr>
              <w:spacing w:after="0" w:line="560" w:lineRule="exact"/>
              <w:jc w:val="center"/>
            </w:pPr>
            <w:r>
              <w:rPr>
                <w:rFonts w:ascii="宋体" w:hAnsi="宋体" w:eastAsia="宋体"/>
                <w:b w:val="0"/>
                <w:sz w:val="24"/>
              </w:rPr>
              <w:t>3天</w:t>
            </w:r>
          </w:p>
        </w:tc>
      </w:tr>
      <w:tr w14:paraId="6665C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3986149">
            <w:pPr>
              <w:spacing w:after="0" w:line="560" w:lineRule="exact"/>
              <w:jc w:val="center"/>
            </w:pPr>
            <w:r>
              <w:rPr>
                <w:rFonts w:ascii="宋体" w:hAnsi="宋体" w:eastAsia="宋体"/>
                <w:b w:val="0"/>
                <w:sz w:val="24"/>
              </w:rPr>
              <w:t>第三步</w:t>
            </w:r>
          </w:p>
        </w:tc>
        <w:tc>
          <w:tcPr>
            <w:tcW w:w="1803" w:type="dxa"/>
          </w:tcPr>
          <w:p w14:paraId="048D42A1">
            <w:pPr>
              <w:spacing w:after="0" w:line="560" w:lineRule="exact"/>
              <w:jc w:val="center"/>
            </w:pPr>
            <w:r>
              <w:rPr>
                <w:rFonts w:ascii="宋体" w:hAnsi="宋体" w:eastAsia="宋体"/>
                <w:b w:val="0"/>
                <w:sz w:val="24"/>
              </w:rPr>
              <w:t>测试环境迁移</w:t>
            </w:r>
          </w:p>
        </w:tc>
        <w:tc>
          <w:tcPr>
            <w:tcW w:w="1803" w:type="dxa"/>
          </w:tcPr>
          <w:p w14:paraId="70F3E283">
            <w:pPr>
              <w:spacing w:after="0" w:line="560" w:lineRule="exact"/>
              <w:jc w:val="center"/>
            </w:pPr>
            <w:r>
              <w:rPr>
                <w:rFonts w:ascii="宋体" w:hAnsi="宋体" w:eastAsia="宋体"/>
                <w:b w:val="0"/>
                <w:sz w:val="24"/>
              </w:rPr>
              <w:t>开发商</w:t>
            </w:r>
          </w:p>
        </w:tc>
        <w:tc>
          <w:tcPr>
            <w:tcW w:w="1803" w:type="dxa"/>
          </w:tcPr>
          <w:p w14:paraId="32BAE686">
            <w:pPr>
              <w:spacing w:after="0" w:line="560" w:lineRule="exact"/>
              <w:jc w:val="center"/>
            </w:pPr>
            <w:r>
              <w:rPr>
                <w:rFonts w:ascii="宋体" w:hAnsi="宋体" w:eastAsia="宋体"/>
                <w:b w:val="0"/>
                <w:sz w:val="24"/>
              </w:rPr>
              <w:t>测试报告</w:t>
            </w:r>
          </w:p>
        </w:tc>
        <w:tc>
          <w:tcPr>
            <w:tcW w:w="1803" w:type="dxa"/>
          </w:tcPr>
          <w:p w14:paraId="122E39C3">
            <w:pPr>
              <w:spacing w:after="0" w:line="560" w:lineRule="exact"/>
              <w:jc w:val="center"/>
            </w:pPr>
            <w:r>
              <w:rPr>
                <w:rFonts w:ascii="宋体" w:hAnsi="宋体" w:eastAsia="宋体"/>
                <w:b w:val="0"/>
                <w:sz w:val="24"/>
              </w:rPr>
              <w:t>7天</w:t>
            </w:r>
          </w:p>
        </w:tc>
      </w:tr>
      <w:tr w14:paraId="69DB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491F882B">
            <w:pPr>
              <w:spacing w:after="0" w:line="560" w:lineRule="exact"/>
              <w:jc w:val="center"/>
            </w:pPr>
            <w:r>
              <w:rPr>
                <w:rFonts w:ascii="宋体" w:hAnsi="宋体" w:eastAsia="宋体"/>
                <w:b w:val="0"/>
                <w:sz w:val="24"/>
              </w:rPr>
              <w:t>第四步</w:t>
            </w:r>
          </w:p>
        </w:tc>
        <w:tc>
          <w:tcPr>
            <w:tcW w:w="1803" w:type="dxa"/>
          </w:tcPr>
          <w:p w14:paraId="62E4897C">
            <w:pPr>
              <w:spacing w:after="0" w:line="560" w:lineRule="exact"/>
              <w:jc w:val="center"/>
            </w:pPr>
            <w:r>
              <w:rPr>
                <w:rFonts w:ascii="宋体" w:hAnsi="宋体" w:eastAsia="宋体"/>
                <w:b w:val="0"/>
                <w:sz w:val="24"/>
              </w:rPr>
              <w:t>生产环境全量迁移</w:t>
            </w:r>
          </w:p>
        </w:tc>
        <w:tc>
          <w:tcPr>
            <w:tcW w:w="1803" w:type="dxa"/>
          </w:tcPr>
          <w:p w14:paraId="78E0FB7B">
            <w:pPr>
              <w:spacing w:after="0" w:line="560" w:lineRule="exact"/>
              <w:jc w:val="center"/>
            </w:pPr>
            <w:r>
              <w:rPr>
                <w:rFonts w:ascii="宋体" w:hAnsi="宋体" w:eastAsia="宋体"/>
                <w:b w:val="0"/>
                <w:sz w:val="24"/>
              </w:rPr>
              <w:t>开发商</w:t>
            </w:r>
          </w:p>
        </w:tc>
        <w:tc>
          <w:tcPr>
            <w:tcW w:w="1803" w:type="dxa"/>
          </w:tcPr>
          <w:p w14:paraId="4D858B13">
            <w:pPr>
              <w:spacing w:after="0" w:line="560" w:lineRule="exact"/>
              <w:jc w:val="center"/>
            </w:pPr>
            <w:r>
              <w:rPr>
                <w:rFonts w:ascii="宋体" w:hAnsi="宋体" w:eastAsia="宋体"/>
                <w:b w:val="0"/>
                <w:sz w:val="24"/>
              </w:rPr>
              <w:t>迁移报告</w:t>
            </w:r>
          </w:p>
        </w:tc>
        <w:tc>
          <w:tcPr>
            <w:tcW w:w="1803" w:type="dxa"/>
          </w:tcPr>
          <w:p w14:paraId="45B6B123">
            <w:pPr>
              <w:spacing w:after="0" w:line="560" w:lineRule="exact"/>
              <w:jc w:val="center"/>
            </w:pPr>
            <w:r>
              <w:rPr>
                <w:rFonts w:ascii="宋体" w:hAnsi="宋体" w:eastAsia="宋体"/>
                <w:b w:val="0"/>
                <w:sz w:val="24"/>
              </w:rPr>
              <w:t>3天</w:t>
            </w:r>
          </w:p>
        </w:tc>
      </w:tr>
      <w:tr w14:paraId="224B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B15A5B8">
            <w:pPr>
              <w:spacing w:after="0" w:line="560" w:lineRule="exact"/>
              <w:jc w:val="center"/>
            </w:pPr>
            <w:r>
              <w:rPr>
                <w:rFonts w:ascii="宋体" w:hAnsi="宋体" w:eastAsia="宋体"/>
                <w:b w:val="0"/>
                <w:sz w:val="24"/>
              </w:rPr>
              <w:t>第五步</w:t>
            </w:r>
          </w:p>
        </w:tc>
        <w:tc>
          <w:tcPr>
            <w:tcW w:w="1803" w:type="dxa"/>
          </w:tcPr>
          <w:p w14:paraId="144C1465">
            <w:pPr>
              <w:spacing w:after="0" w:line="560" w:lineRule="exact"/>
              <w:jc w:val="center"/>
            </w:pPr>
            <w:r>
              <w:rPr>
                <w:rFonts w:ascii="宋体" w:hAnsi="宋体" w:eastAsia="宋体"/>
                <w:b w:val="0"/>
                <w:sz w:val="24"/>
              </w:rPr>
              <w:t>增量数据同步</w:t>
            </w:r>
          </w:p>
        </w:tc>
        <w:tc>
          <w:tcPr>
            <w:tcW w:w="1803" w:type="dxa"/>
          </w:tcPr>
          <w:p w14:paraId="1452CC6D">
            <w:pPr>
              <w:spacing w:after="0" w:line="560" w:lineRule="exact"/>
              <w:jc w:val="center"/>
            </w:pPr>
            <w:r>
              <w:rPr>
                <w:rFonts w:ascii="宋体" w:hAnsi="宋体" w:eastAsia="宋体"/>
                <w:b w:val="0"/>
                <w:sz w:val="24"/>
              </w:rPr>
              <w:t>开发商</w:t>
            </w:r>
          </w:p>
        </w:tc>
        <w:tc>
          <w:tcPr>
            <w:tcW w:w="1803" w:type="dxa"/>
          </w:tcPr>
          <w:p w14:paraId="493E49B1">
            <w:pPr>
              <w:spacing w:after="0" w:line="560" w:lineRule="exact"/>
              <w:jc w:val="center"/>
            </w:pPr>
            <w:r>
              <w:rPr>
                <w:rFonts w:ascii="宋体" w:hAnsi="宋体" w:eastAsia="宋体"/>
                <w:b w:val="0"/>
                <w:sz w:val="24"/>
              </w:rPr>
              <w:t>同步报告</w:t>
            </w:r>
          </w:p>
        </w:tc>
        <w:tc>
          <w:tcPr>
            <w:tcW w:w="1803" w:type="dxa"/>
          </w:tcPr>
          <w:p w14:paraId="7DE1C56F">
            <w:pPr>
              <w:spacing w:after="0" w:line="560" w:lineRule="exact"/>
              <w:jc w:val="center"/>
            </w:pPr>
            <w:r>
              <w:rPr>
                <w:rFonts w:ascii="宋体" w:hAnsi="宋体" w:eastAsia="宋体"/>
                <w:b w:val="0"/>
                <w:sz w:val="24"/>
              </w:rPr>
              <w:t>2天</w:t>
            </w:r>
          </w:p>
        </w:tc>
      </w:tr>
      <w:tr w14:paraId="5194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4F63465E">
            <w:pPr>
              <w:spacing w:after="0" w:line="560" w:lineRule="exact"/>
              <w:jc w:val="center"/>
            </w:pPr>
            <w:r>
              <w:rPr>
                <w:rFonts w:ascii="宋体" w:hAnsi="宋体" w:eastAsia="宋体"/>
                <w:b w:val="0"/>
                <w:sz w:val="24"/>
              </w:rPr>
              <w:t>第六步</w:t>
            </w:r>
          </w:p>
        </w:tc>
        <w:tc>
          <w:tcPr>
            <w:tcW w:w="1803" w:type="dxa"/>
          </w:tcPr>
          <w:p w14:paraId="2235672F">
            <w:pPr>
              <w:spacing w:after="0" w:line="560" w:lineRule="exact"/>
              <w:jc w:val="center"/>
            </w:pPr>
            <w:r>
              <w:rPr>
                <w:rFonts w:ascii="宋体" w:hAnsi="宋体" w:eastAsia="宋体"/>
                <w:b w:val="0"/>
                <w:sz w:val="24"/>
              </w:rPr>
              <w:t>数据一致性校验</w:t>
            </w:r>
          </w:p>
        </w:tc>
        <w:tc>
          <w:tcPr>
            <w:tcW w:w="1803" w:type="dxa"/>
          </w:tcPr>
          <w:p w14:paraId="79C83E58">
            <w:pPr>
              <w:spacing w:after="0" w:line="560" w:lineRule="exact"/>
              <w:jc w:val="center"/>
            </w:pPr>
            <w:r>
              <w:rPr>
                <w:rFonts w:ascii="宋体" w:hAnsi="宋体" w:eastAsia="宋体"/>
                <w:b w:val="0"/>
                <w:sz w:val="24"/>
              </w:rPr>
              <w:t>开发商+甲方</w:t>
            </w:r>
          </w:p>
        </w:tc>
        <w:tc>
          <w:tcPr>
            <w:tcW w:w="1803" w:type="dxa"/>
          </w:tcPr>
          <w:p w14:paraId="15F5AC1F">
            <w:pPr>
              <w:spacing w:after="0" w:line="560" w:lineRule="exact"/>
              <w:jc w:val="center"/>
            </w:pPr>
            <w:r>
              <w:rPr>
                <w:rFonts w:ascii="宋体" w:hAnsi="宋体" w:eastAsia="宋体"/>
                <w:b w:val="0"/>
                <w:sz w:val="24"/>
              </w:rPr>
              <w:t>校验报告</w:t>
            </w:r>
          </w:p>
        </w:tc>
        <w:tc>
          <w:tcPr>
            <w:tcW w:w="1803" w:type="dxa"/>
          </w:tcPr>
          <w:p w14:paraId="611B9FDF">
            <w:pPr>
              <w:spacing w:after="0" w:line="560" w:lineRule="exact"/>
              <w:jc w:val="center"/>
            </w:pPr>
            <w:r>
              <w:rPr>
                <w:rFonts w:ascii="宋体" w:hAnsi="宋体" w:eastAsia="宋体"/>
                <w:b w:val="0"/>
                <w:sz w:val="24"/>
              </w:rPr>
              <w:t>2天</w:t>
            </w:r>
          </w:p>
        </w:tc>
      </w:tr>
    </w:tbl>
    <w:p w14:paraId="64CADCF6">
      <w:pPr>
        <w:spacing w:before="120" w:after="120" w:line="600" w:lineRule="exact"/>
        <w:jc w:val="left"/>
        <w:outlineLvl w:val="1"/>
      </w:pPr>
      <w:bookmarkStart w:id="23" w:name="_Toc24181"/>
      <w:r>
        <w:rPr>
          <w:rFonts w:ascii="楷体_GB2312" w:hAnsi="楷体_GB2312" w:eastAsia="楷体_GB2312"/>
          <w:b/>
          <w:sz w:val="32"/>
        </w:rPr>
        <w:t>（三）操作系统适配改造方案</w:t>
      </w:r>
      <w:bookmarkEnd w:id="23"/>
    </w:p>
    <w:p w14:paraId="26B35E68">
      <w:pPr>
        <w:spacing w:before="0" w:after="0" w:line="600" w:lineRule="exact"/>
        <w:ind w:firstLine="640"/>
      </w:pPr>
      <w:r>
        <w:rPr>
          <w:rFonts w:ascii="Times New Roman" w:hAnsi="Times New Roman" w:eastAsia="仿宋_GB2312"/>
          <w:b w:val="0"/>
          <w:sz w:val="32"/>
        </w:rPr>
        <w:t>1. 操作系统选型。根据第四章选型结果，本项目选用国产服务器操作系统。</w:t>
      </w:r>
    </w:p>
    <w:p w14:paraId="0851261E">
      <w:pPr>
        <w:spacing w:before="0" w:after="0" w:line="600" w:lineRule="exact"/>
        <w:ind w:firstLine="640"/>
      </w:pPr>
      <w:r>
        <w:rPr>
          <w:rFonts w:ascii="Times New Roman" w:hAnsi="Times New Roman" w:eastAsia="仿宋_GB2312"/>
          <w:b w:val="0"/>
          <w:sz w:val="32"/>
        </w:rPr>
        <w:t>2. 系统部署方案。新建国产操作系统环境，配置系统参数、网络参数、安全策略，安装必要的基础软件包，部署应用程序和数据库，完成系统联调测试，使系统稳定可靠。部署过程中需要重点关注网络配置、防火墙规则、用户权限管理、日志配置等关键环节。</w:t>
      </w:r>
    </w:p>
    <w:p w14:paraId="74BAB4CF">
      <w:pPr>
        <w:spacing w:before="0" w:after="0" w:line="600" w:lineRule="exact"/>
        <w:ind w:firstLine="640"/>
      </w:pPr>
      <w:r>
        <w:rPr>
          <w:rFonts w:ascii="Times New Roman" w:hAnsi="Times New Roman" w:eastAsia="仿宋_GB2312"/>
          <w:b w:val="0"/>
          <w:sz w:val="32"/>
        </w:rPr>
        <w:t>3. 兼容性改造。修改应用程序中依赖操作系统的代码，如文件路径分隔符、系统调用、Shell脚本、环境变量等，确保应用程序在国产操作系统上正常运行，性能达到预期目标。重点关注Java应用的文件操作、进程管理、内存管理等方面的兼容性。</w:t>
      </w:r>
    </w:p>
    <w:p w14:paraId="58468524">
      <w:pPr>
        <w:spacing w:before="0" w:after="0" w:line="600" w:lineRule="exact"/>
        <w:ind w:firstLine="640"/>
      </w:pPr>
      <w:r>
        <w:rPr>
          <w:rFonts w:ascii="Times New Roman" w:hAnsi="Times New Roman" w:eastAsia="仿宋_GB2312"/>
          <w:b w:val="0"/>
          <w:sz w:val="32"/>
        </w:rPr>
        <w:t>4. 安全加固。在操作系统层面做安全加固，包括：关闭不必要的端口和服务；配置防火墙规则，仅开放业务所需端口；设置文件权限和目录权限，遵循最小权限原则；配置审计日志，记录关键操作；设置登录策略，限制登录尝试次数；定期更新安全补丁，及时修复已知漏洞。</w:t>
      </w:r>
    </w:p>
    <w:p w14:paraId="4C89E1F0">
      <w:pPr>
        <w:spacing w:before="0" w:after="0" w:line="600" w:lineRule="exact"/>
        <w:ind w:firstLine="640"/>
      </w:pPr>
      <w:r>
        <w:rPr>
          <w:rFonts w:ascii="Times New Roman" w:hAnsi="Times New Roman" w:eastAsia="仿宋_GB2312"/>
          <w:b w:val="0"/>
          <w:sz w:val="32"/>
        </w:rPr>
        <w:t>5. 系统监控方案。在国产操作系统上部署系统监控工具，实时监控CPU利用率、内存使用率、磁盘IO、网络流量等关键指标。选用开源监控监控方案，实现可视化的系统监控和告警。监控指标包括：CPU使用率（告警阈值80%）、内存使用率（告警阈值85%）、磁盘使用率（告警阈值90%）、网络延迟（告警阈值100ms）、进程状态等。当监控指标超过阈值时，自动发送告警通知运维人员。</w:t>
      </w:r>
    </w:p>
    <w:p w14:paraId="658E83E6">
      <w:pPr>
        <w:spacing w:before="120" w:after="120" w:line="600" w:lineRule="exact"/>
        <w:jc w:val="left"/>
        <w:outlineLvl w:val="1"/>
      </w:pPr>
      <w:bookmarkStart w:id="24" w:name="_Toc4404"/>
      <w:r>
        <w:rPr>
          <w:rFonts w:ascii="楷体_GB2312" w:hAnsi="楷体_GB2312" w:eastAsia="楷体_GB2312"/>
          <w:b/>
          <w:sz w:val="32"/>
        </w:rPr>
        <w:t>（四）中间件适配改造方案</w:t>
      </w:r>
      <w:bookmarkEnd w:id="24"/>
    </w:p>
    <w:p w14:paraId="678E73C2">
      <w:pPr>
        <w:spacing w:before="0" w:after="0" w:line="600" w:lineRule="exact"/>
        <w:ind w:firstLine="640"/>
      </w:pPr>
      <w:r>
        <w:rPr>
          <w:rFonts w:ascii="Times New Roman" w:hAnsi="Times New Roman" w:eastAsia="仿宋_GB2312"/>
          <w:b w:val="0"/>
          <w:sz w:val="32"/>
        </w:rPr>
        <w:t>1. 中间件选型。根据第四章选型结果，本项目选用国产应用中间件企业版。</w:t>
      </w:r>
    </w:p>
    <w:p w14:paraId="600DF7EF">
      <w:pPr>
        <w:spacing w:before="0" w:after="0" w:line="600" w:lineRule="exact"/>
        <w:ind w:firstLine="640"/>
      </w:pPr>
      <w:r>
        <w:rPr>
          <w:rFonts w:ascii="Times New Roman" w:hAnsi="Times New Roman" w:eastAsia="仿宋_GB2312"/>
          <w:b w:val="0"/>
          <w:sz w:val="32"/>
        </w:rPr>
        <w:t>2. 中间件配置优化。根据业务负载特点，合理配置中间件线程池、连接池、缓存策略、JVM参数等，确保系统性能达标，支持高并发访问。重点关注线程池大小、连接超时时间、会话管理等关键参数的优化。</w:t>
      </w:r>
    </w:p>
    <w:p w14:paraId="42E9EA25">
      <w:pPr>
        <w:spacing w:before="0" w:after="0" w:line="600" w:lineRule="exact"/>
        <w:ind w:firstLine="640"/>
      </w:pPr>
      <w:r>
        <w:rPr>
          <w:rFonts w:ascii="Times New Roman" w:hAnsi="Times New Roman" w:eastAsia="仿宋_GB2312"/>
          <w:b w:val="0"/>
          <w:sz w:val="32"/>
        </w:rPr>
        <w:t>3. 应用部署改造。修改应用部署脚本，适配国产中间件的部署规范，配置数据源、JNDI资源、安全策略等，使应用正常运行、易于管理和维护。还要关注中间件与应用程序的版本兼容性，使所有依赖库均可正常工作。</w:t>
      </w:r>
    </w:p>
    <w:p w14:paraId="1A0E4F0A">
      <w:pPr>
        <w:spacing w:before="0" w:after="0" w:line="600" w:lineRule="exact"/>
        <w:ind w:firstLine="640"/>
      </w:pPr>
      <w:r>
        <w:rPr>
          <w:rFonts w:ascii="Times New Roman" w:hAnsi="Times New Roman" w:eastAsia="仿宋_GB2312"/>
          <w:b w:val="0"/>
          <w:sz w:val="32"/>
        </w:rPr>
        <w:t>4. 性能调优方案。针对中间件做系统化的性能调优，包括：JVM堆内存大小调整（建议设置为物理内存的50%-70%）；垃圾回收器选择（建议使用G1 GC）；线程池参数优化（根据并发量调整核心线程数和最大线程数）；连接池参数优化（根据数据库承载能力调整最大连接数）；缓存策略优化（配置合理的缓存大小和过期策略）。</w:t>
      </w:r>
    </w:p>
    <w:p w14:paraId="3A42A270">
      <w:pPr>
        <w:spacing w:before="0" w:after="0" w:line="600" w:lineRule="exact"/>
        <w:ind w:firstLine="640"/>
      </w:pPr>
      <w:r>
        <w:rPr>
          <w:rFonts w:ascii="Times New Roman" w:hAnsi="Times New Roman" w:eastAsia="仿宋_GB2312"/>
          <w:b w:val="0"/>
          <w:sz w:val="32"/>
        </w:rPr>
        <w:t>5. 国外企业级应用服务器到国产应用中间件迁移方案。现有系统使用国外企业级应用服务器应用服务器，需要迁移至国产应用中间件。迁移步骤包括：分析国外企业级应用服务器的应用部署描述符（ibm-web-bnd.xml、ibm-web-ext.xml等），转换为国产应用中间件对应的配置文件；检查应用中是否使用了国外企业级应用服务器专有API，替换为标准Java EE API或国产应用中间件兼容API；迁移JNDI数据源配置、JMS消息队列配置等资源；调整类加载策略，确保应用类和第三方库正确加载；做功能测试和性能测试，验证迁移效果。</w:t>
      </w:r>
    </w:p>
    <w:p w14:paraId="02722CFB">
      <w:pPr>
        <w:spacing w:before="0" w:after="0" w:line="600" w:lineRule="exact"/>
        <w:ind w:firstLine="640"/>
      </w:pPr>
      <w:r>
        <w:rPr>
          <w:rFonts w:ascii="Times New Roman" w:hAnsi="Times New Roman" w:eastAsia="仿宋_GB2312"/>
          <w:b w:val="0"/>
          <w:sz w:val="32"/>
        </w:rPr>
        <w:t>6. 国外开源应用服务器到国产应用中间件迁移方案。部分系统组件使用Apache 国外开源应用服务器作为应用服务器，迁移至国产应用中间件相对简单。主要工作：修改server.xml配置文件，将国外开源应用服务器特有的配置项转换为国产应用中间件对应的配置；调整应用部署描述符（context.xml），适配国产应用中间件的JNDI资源查找方式；检查并调整日志配置，使用国产应用中间件的日志框架；进行功能和性能验证。</w:t>
      </w:r>
    </w:p>
    <w:p w14:paraId="34FDFA6F">
      <w:pPr>
        <w:spacing w:before="120" w:after="120" w:line="600" w:lineRule="exact"/>
        <w:jc w:val="left"/>
        <w:outlineLvl w:val="1"/>
      </w:pPr>
      <w:bookmarkStart w:id="25" w:name="_Toc10960"/>
      <w:r>
        <w:rPr>
          <w:rFonts w:ascii="楷体_GB2312" w:hAnsi="楷体_GB2312" w:eastAsia="楷体_GB2312"/>
          <w:b/>
          <w:sz w:val="32"/>
        </w:rPr>
        <w:t>（五）应用层代码改造方案</w:t>
      </w:r>
      <w:bookmarkEnd w:id="25"/>
    </w:p>
    <w:p w14:paraId="07157ED6">
      <w:pPr>
        <w:spacing w:before="0" w:after="0" w:line="600" w:lineRule="exact"/>
        <w:ind w:firstLine="640"/>
      </w:pPr>
      <w:r>
        <w:rPr>
          <w:rFonts w:ascii="Times New Roman" w:hAnsi="Times New Roman" w:eastAsia="仿宋_GB2312"/>
          <w:b w:val="0"/>
          <w:sz w:val="32"/>
        </w:rPr>
        <w:t>1. JDBC驱动替换。将国外主流商业数据库 JDBC驱动（原数据库JDBC驱动）替换为国产数据库厂商JDBC驱动（国产数据库JDBC驱动），修改数据库连接URL格式。国产数据库厂商JDBC连接URL格式为：jdbc:国产数据库://host:port/database。并更新应用中所有引用JDBC驱动的配置文件和代码。</w:t>
      </w:r>
    </w:p>
    <w:p w14:paraId="554B6BB4">
      <w:pPr>
        <w:spacing w:before="0" w:after="0" w:line="600" w:lineRule="exact"/>
        <w:ind w:firstLine="640"/>
      </w:pPr>
      <w:r>
        <w:rPr>
          <w:rFonts w:ascii="Times New Roman" w:hAnsi="Times New Roman" w:eastAsia="仿宋_GB2312"/>
          <w:b w:val="0"/>
          <w:sz w:val="32"/>
        </w:rPr>
        <w:t>2. MyBatis配置调整。修改MyBatis的数据库方言配置，将国外主流商业数据库方言改为国产数据库厂商方言。检查并修改MyBatis映射文件中的SQL语句，确保语法兼容。特别注意分页插件（PageHelper）的方言配置，需要设置为国产数据库厂商方言。</w:t>
      </w:r>
    </w:p>
    <w:p w14:paraId="487881C6">
      <w:pPr>
        <w:spacing w:before="0" w:after="0" w:line="600" w:lineRule="exact"/>
        <w:ind w:firstLine="640"/>
      </w:pPr>
      <w:r>
        <w:rPr>
          <w:rFonts w:ascii="Times New Roman" w:hAnsi="Times New Roman" w:eastAsia="仿宋_GB2312"/>
          <w:b w:val="0"/>
          <w:sz w:val="32"/>
        </w:rPr>
        <w:t>3. Spring Boot配置调整。修改Spring Boot的application.yml/properties配置文件，更新数据源配置、JPA方言配置、连接池配置等。检查Spring Boot版本与国产中间件的兼容性，必要时进行版本升级或降级。</w:t>
      </w:r>
    </w:p>
    <w:p w14:paraId="3E142949">
      <w:pPr>
        <w:spacing w:before="0" w:after="0" w:line="600" w:lineRule="exact"/>
        <w:ind w:firstLine="640"/>
      </w:pPr>
      <w:r>
        <w:rPr>
          <w:rFonts w:ascii="Times New Roman" w:hAnsi="Times New Roman" w:eastAsia="仿宋_GB2312"/>
          <w:b w:val="0"/>
          <w:sz w:val="32"/>
        </w:rPr>
        <w:t>4. 前端兼容性验证。验证前端页面在国产化环境下的正常显示和交互，重点关注：浏览器兼容性（建议使用国产浏览器）；字体显示正确性（确保中文字体正常显示）；接口调用正常性（确保前后端接口通信正常）；页面加载性能（使页面加载速度满足用户体验要求）。</w:t>
      </w:r>
    </w:p>
    <w:p w14:paraId="56892C37">
      <w:pPr>
        <w:spacing w:before="240" w:after="240" w:line="600" w:lineRule="exact"/>
        <w:jc w:val="center"/>
        <w:outlineLvl w:val="0"/>
      </w:pPr>
      <w:bookmarkStart w:id="26" w:name="_Toc7713"/>
      <w:r>
        <w:rPr>
          <w:rFonts w:ascii="黑体" w:hAnsi="黑体" w:eastAsia="黑体"/>
          <w:b/>
          <w:sz w:val="32"/>
        </w:rPr>
        <w:t>六、预算明细</w:t>
      </w:r>
      <w:bookmarkEnd w:id="26"/>
    </w:p>
    <w:p w14:paraId="69FB3582">
      <w:pPr>
        <w:spacing w:before="0" w:after="0" w:line="600" w:lineRule="exact"/>
        <w:ind w:firstLine="640"/>
      </w:pPr>
      <w:r>
        <w:rPr>
          <w:rFonts w:ascii="Times New Roman" w:hAnsi="Times New Roman" w:eastAsia="仿宋_GB2312"/>
          <w:b w:val="0"/>
          <w:sz w:val="32"/>
        </w:rPr>
        <w:t>本项目国产化适配改造预算总计49.50万元，具体明细如下。</w:t>
      </w:r>
    </w:p>
    <w:p w14:paraId="7BA5048E">
      <w:pPr>
        <w:spacing w:before="0" w:after="0" w:line="600" w:lineRule="exact"/>
        <w:ind w:firstLine="640"/>
      </w:pPr>
    </w:p>
    <w:tbl>
      <w:tblPr>
        <w:tblStyle w:val="34"/>
        <w:tblW w:w="9000" w:type="dxa"/>
        <w:jc w:val="center"/>
        <w:tblLayout w:type="autofit"/>
        <w:tblCellMar>
          <w:top w:w="0" w:type="dxa"/>
          <w:left w:w="108" w:type="dxa"/>
          <w:bottom w:w="0" w:type="dxa"/>
          <w:right w:w="108" w:type="dxa"/>
        </w:tblCellMar>
      </w:tblPr>
      <w:tblGrid>
        <w:gridCol w:w="876"/>
        <w:gridCol w:w="1914"/>
        <w:gridCol w:w="3461"/>
        <w:gridCol w:w="780"/>
        <w:gridCol w:w="983"/>
        <w:gridCol w:w="986"/>
      </w:tblGrid>
      <w:tr w14:paraId="560BDA09">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shd w:val="clear" w:color="auto" w:fill="F2F2F2"/>
            <w:vAlign w:val="center"/>
          </w:tcPr>
          <w:p w14:paraId="129844A3">
            <w:pPr>
              <w:spacing w:before="20" w:after="20" w:line="300" w:lineRule="auto"/>
              <w:jc w:val="center"/>
            </w:pPr>
            <w:r>
              <w:rPr>
                <w:rFonts w:ascii="黑体" w:hAnsi="黑体" w:eastAsia="黑体"/>
                <w:b/>
                <w:sz w:val="21"/>
              </w:rPr>
              <w:t>一</w:t>
            </w:r>
          </w:p>
        </w:tc>
        <w:tc>
          <w:tcPr>
            <w:tcW w:w="2000" w:type="dxa"/>
            <w:tcBorders>
              <w:top w:val="single" w:color="auto" w:sz="4" w:space="0"/>
              <w:left w:val="single" w:color="auto" w:sz="4" w:space="0"/>
              <w:bottom w:val="single" w:color="auto" w:sz="4" w:space="0"/>
              <w:right w:val="single" w:color="auto" w:sz="4" w:space="0"/>
            </w:tcBorders>
            <w:shd w:val="clear" w:color="auto" w:fill="F2F2F2"/>
            <w:vAlign w:val="center"/>
          </w:tcPr>
          <w:p w14:paraId="2B4C3EAD">
            <w:pPr>
              <w:spacing w:before="20" w:after="20" w:line="300" w:lineRule="auto"/>
              <w:jc w:val="center"/>
            </w:pPr>
            <w:r>
              <w:rPr>
                <w:rFonts w:ascii="黑体" w:hAnsi="黑体" w:eastAsia="黑体"/>
                <w:b/>
                <w:sz w:val="21"/>
              </w:rPr>
              <w:t>软件采购</w:t>
            </w:r>
          </w:p>
        </w:tc>
        <w:tc>
          <w:tcPr>
            <w:tcW w:w="3600" w:type="dxa"/>
            <w:tcBorders>
              <w:top w:val="single" w:color="auto" w:sz="4" w:space="0"/>
              <w:left w:val="single" w:color="auto" w:sz="4" w:space="0"/>
              <w:bottom w:val="single" w:color="auto" w:sz="4" w:space="0"/>
              <w:right w:val="single" w:color="auto" w:sz="4" w:space="0"/>
            </w:tcBorders>
            <w:shd w:val="clear" w:color="auto" w:fill="F2F2F2"/>
            <w:vAlign w:val="center"/>
          </w:tcPr>
          <w:p w14:paraId="642CEAA9">
            <w:pPr>
              <w:spacing w:before="20" w:after="20" w:line="300" w:lineRule="auto"/>
              <w:jc w:val="left"/>
            </w:pPr>
          </w:p>
        </w:tc>
        <w:tc>
          <w:tcPr>
            <w:tcW w:w="800" w:type="dxa"/>
            <w:tcBorders>
              <w:top w:val="single" w:color="auto" w:sz="4" w:space="0"/>
              <w:left w:val="single" w:color="auto" w:sz="4" w:space="0"/>
              <w:bottom w:val="single" w:color="auto" w:sz="4" w:space="0"/>
              <w:right w:val="single" w:color="auto" w:sz="4" w:space="0"/>
            </w:tcBorders>
            <w:shd w:val="clear" w:color="auto" w:fill="F2F2F2"/>
            <w:vAlign w:val="center"/>
          </w:tcPr>
          <w:p w14:paraId="6A817078">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5DD73E38">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4C440414">
            <w:pPr>
              <w:spacing w:before="20" w:after="20" w:line="300" w:lineRule="auto"/>
              <w:jc w:val="center"/>
            </w:pPr>
          </w:p>
        </w:tc>
      </w:tr>
      <w:tr w14:paraId="39971916">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19410A88">
            <w:pPr>
              <w:spacing w:before="20" w:after="20" w:line="300" w:lineRule="auto"/>
              <w:jc w:val="center"/>
            </w:pPr>
            <w:r>
              <w:rPr>
                <w:rFonts w:ascii="Times New Roman" w:hAnsi="Times New Roman" w:eastAsia="仿宋"/>
                <w:sz w:val="21"/>
              </w:rPr>
              <w:t>1.1</w:t>
            </w:r>
          </w:p>
        </w:tc>
        <w:tc>
          <w:tcPr>
            <w:tcW w:w="2000" w:type="dxa"/>
            <w:tcBorders>
              <w:top w:val="single" w:color="auto" w:sz="4" w:space="0"/>
              <w:left w:val="single" w:color="auto" w:sz="4" w:space="0"/>
              <w:bottom w:val="single" w:color="auto" w:sz="4" w:space="0"/>
              <w:right w:val="single" w:color="auto" w:sz="4" w:space="0"/>
            </w:tcBorders>
            <w:vAlign w:val="center"/>
          </w:tcPr>
          <w:p w14:paraId="32A1C1B9">
            <w:pPr>
              <w:spacing w:before="20" w:after="20" w:line="300" w:lineRule="auto"/>
              <w:jc w:val="center"/>
            </w:pPr>
            <w:r>
              <w:rPr>
                <w:rFonts w:ascii="Times New Roman" w:hAnsi="Times New Roman" w:eastAsia="仿宋"/>
                <w:sz w:val="21"/>
              </w:rPr>
              <w:t>国产服务器操作系统</w:t>
            </w:r>
          </w:p>
        </w:tc>
        <w:tc>
          <w:tcPr>
            <w:tcW w:w="3600" w:type="dxa"/>
            <w:tcBorders>
              <w:top w:val="single" w:color="auto" w:sz="4" w:space="0"/>
              <w:left w:val="single" w:color="auto" w:sz="4" w:space="0"/>
              <w:bottom w:val="single" w:color="auto" w:sz="4" w:space="0"/>
              <w:right w:val="single" w:color="auto" w:sz="4" w:space="0"/>
            </w:tcBorders>
            <w:vAlign w:val="center"/>
          </w:tcPr>
          <w:p w14:paraId="721BB352">
            <w:pPr>
              <w:spacing w:before="20" w:after="20" w:line="300" w:lineRule="auto"/>
              <w:jc w:val="left"/>
            </w:pPr>
            <w:r>
              <w:rPr>
                <w:rFonts w:ascii="仿宋" w:hAnsi="仿宋" w:eastAsia="仿宋"/>
                <w:sz w:val="21"/>
              </w:rPr>
              <w:t>操作系统授权许可、安装部署及基础配置</w:t>
            </w:r>
          </w:p>
        </w:tc>
        <w:tc>
          <w:tcPr>
            <w:tcW w:w="800" w:type="dxa"/>
            <w:tcBorders>
              <w:top w:val="single" w:color="auto" w:sz="4" w:space="0"/>
              <w:left w:val="single" w:color="auto" w:sz="4" w:space="0"/>
              <w:bottom w:val="single" w:color="auto" w:sz="4" w:space="0"/>
              <w:right w:val="single" w:color="auto" w:sz="4" w:space="0"/>
            </w:tcBorders>
            <w:vAlign w:val="center"/>
          </w:tcPr>
          <w:p w14:paraId="6BF462BC">
            <w:pPr>
              <w:spacing w:before="20" w:after="20" w:line="300" w:lineRule="auto"/>
              <w:jc w:val="center"/>
            </w:pPr>
            <w:r>
              <w:rPr>
                <w:rFonts w:ascii="Times New Roman" w:hAnsi="Times New Roman" w:eastAsia="仿宋"/>
                <w:sz w:val="21"/>
              </w:rPr>
              <w:t>1套</w:t>
            </w:r>
          </w:p>
        </w:tc>
        <w:tc>
          <w:tcPr>
            <w:tcW w:w="1000" w:type="dxa"/>
            <w:tcBorders>
              <w:top w:val="single" w:color="auto" w:sz="4" w:space="0"/>
              <w:left w:val="single" w:color="auto" w:sz="4" w:space="0"/>
              <w:bottom w:val="single" w:color="auto" w:sz="4" w:space="0"/>
              <w:right w:val="single" w:color="auto" w:sz="4" w:space="0"/>
            </w:tcBorders>
            <w:vAlign w:val="center"/>
          </w:tcPr>
          <w:p w14:paraId="4A8A8A60">
            <w:pPr>
              <w:spacing w:before="20" w:after="20" w:line="300" w:lineRule="auto"/>
              <w:jc w:val="center"/>
            </w:pPr>
            <w:r>
              <w:rPr>
                <w:rFonts w:ascii="Times New Roman" w:hAnsi="Times New Roman" w:eastAsia="仿宋"/>
                <w:sz w:val="21"/>
              </w:rPr>
              <w:t>1.80</w:t>
            </w:r>
          </w:p>
        </w:tc>
        <w:tc>
          <w:tcPr>
            <w:tcW w:w="1000" w:type="dxa"/>
            <w:tcBorders>
              <w:top w:val="single" w:color="auto" w:sz="4" w:space="0"/>
              <w:left w:val="single" w:color="auto" w:sz="4" w:space="0"/>
              <w:bottom w:val="single" w:color="auto" w:sz="4" w:space="0"/>
              <w:right w:val="single" w:color="auto" w:sz="4" w:space="0"/>
            </w:tcBorders>
            <w:vAlign w:val="center"/>
          </w:tcPr>
          <w:p w14:paraId="6D9B6CAF">
            <w:pPr>
              <w:spacing w:before="20" w:after="20" w:line="300" w:lineRule="auto"/>
              <w:jc w:val="center"/>
            </w:pPr>
            <w:r>
              <w:rPr>
                <w:rFonts w:ascii="Times New Roman" w:hAnsi="Times New Roman" w:eastAsia="仿宋"/>
                <w:sz w:val="21"/>
              </w:rPr>
              <w:t>1.80</w:t>
            </w:r>
          </w:p>
        </w:tc>
      </w:tr>
      <w:tr w14:paraId="184499AD">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52D90D20">
            <w:pPr>
              <w:spacing w:before="20" w:after="20" w:line="300" w:lineRule="auto"/>
              <w:jc w:val="center"/>
            </w:pPr>
            <w:r>
              <w:rPr>
                <w:rFonts w:ascii="Times New Roman" w:hAnsi="Times New Roman" w:eastAsia="仿宋"/>
                <w:sz w:val="21"/>
              </w:rPr>
              <w:t>1.2</w:t>
            </w:r>
          </w:p>
        </w:tc>
        <w:tc>
          <w:tcPr>
            <w:tcW w:w="2000" w:type="dxa"/>
            <w:tcBorders>
              <w:top w:val="single" w:color="auto" w:sz="4" w:space="0"/>
              <w:left w:val="single" w:color="auto" w:sz="4" w:space="0"/>
              <w:bottom w:val="single" w:color="auto" w:sz="4" w:space="0"/>
              <w:right w:val="single" w:color="auto" w:sz="4" w:space="0"/>
            </w:tcBorders>
            <w:vAlign w:val="center"/>
          </w:tcPr>
          <w:p w14:paraId="55479FC3">
            <w:pPr>
              <w:spacing w:before="20" w:after="20" w:line="300" w:lineRule="auto"/>
              <w:jc w:val="center"/>
            </w:pPr>
            <w:r>
              <w:rPr>
                <w:rFonts w:ascii="Times New Roman" w:hAnsi="Times New Roman" w:eastAsia="仿宋"/>
                <w:sz w:val="21"/>
              </w:rPr>
              <w:t>国产数据库管理系统</w:t>
            </w:r>
          </w:p>
        </w:tc>
        <w:tc>
          <w:tcPr>
            <w:tcW w:w="3600" w:type="dxa"/>
            <w:tcBorders>
              <w:top w:val="single" w:color="auto" w:sz="4" w:space="0"/>
              <w:left w:val="single" w:color="auto" w:sz="4" w:space="0"/>
              <w:bottom w:val="single" w:color="auto" w:sz="4" w:space="0"/>
              <w:right w:val="single" w:color="auto" w:sz="4" w:space="0"/>
            </w:tcBorders>
            <w:vAlign w:val="center"/>
          </w:tcPr>
          <w:p w14:paraId="1A05E56C">
            <w:pPr>
              <w:spacing w:before="20" w:after="20" w:line="300" w:lineRule="auto"/>
              <w:jc w:val="left"/>
            </w:pPr>
            <w:r>
              <w:rPr>
                <w:rFonts w:ascii="仿宋" w:hAnsi="仿宋" w:eastAsia="仿宋"/>
                <w:sz w:val="21"/>
              </w:rPr>
              <w:t>数据库企业版授权（含集群部署许可）、安装部署及基础配置</w:t>
            </w:r>
          </w:p>
        </w:tc>
        <w:tc>
          <w:tcPr>
            <w:tcW w:w="800" w:type="dxa"/>
            <w:tcBorders>
              <w:top w:val="single" w:color="auto" w:sz="4" w:space="0"/>
              <w:left w:val="single" w:color="auto" w:sz="4" w:space="0"/>
              <w:bottom w:val="single" w:color="auto" w:sz="4" w:space="0"/>
              <w:right w:val="single" w:color="auto" w:sz="4" w:space="0"/>
            </w:tcBorders>
            <w:vAlign w:val="center"/>
          </w:tcPr>
          <w:p w14:paraId="30298021">
            <w:pPr>
              <w:spacing w:before="20" w:after="20" w:line="300" w:lineRule="auto"/>
              <w:jc w:val="center"/>
            </w:pPr>
            <w:r>
              <w:rPr>
                <w:rFonts w:ascii="Times New Roman" w:hAnsi="Times New Roman" w:eastAsia="仿宋"/>
                <w:sz w:val="21"/>
              </w:rPr>
              <w:t>1套</w:t>
            </w:r>
          </w:p>
        </w:tc>
        <w:tc>
          <w:tcPr>
            <w:tcW w:w="1000" w:type="dxa"/>
            <w:tcBorders>
              <w:top w:val="single" w:color="auto" w:sz="4" w:space="0"/>
              <w:left w:val="single" w:color="auto" w:sz="4" w:space="0"/>
              <w:bottom w:val="single" w:color="auto" w:sz="4" w:space="0"/>
              <w:right w:val="single" w:color="auto" w:sz="4" w:space="0"/>
            </w:tcBorders>
            <w:vAlign w:val="center"/>
          </w:tcPr>
          <w:p w14:paraId="7255001C">
            <w:pPr>
              <w:spacing w:before="20" w:after="20" w:line="300" w:lineRule="auto"/>
              <w:jc w:val="center"/>
            </w:pPr>
            <w:r>
              <w:rPr>
                <w:rFonts w:ascii="Times New Roman" w:hAnsi="Times New Roman" w:eastAsia="仿宋"/>
                <w:sz w:val="21"/>
              </w:rPr>
              <w:t>20.00</w:t>
            </w:r>
          </w:p>
        </w:tc>
        <w:tc>
          <w:tcPr>
            <w:tcW w:w="1000" w:type="dxa"/>
            <w:tcBorders>
              <w:top w:val="single" w:color="auto" w:sz="4" w:space="0"/>
              <w:left w:val="single" w:color="auto" w:sz="4" w:space="0"/>
              <w:bottom w:val="single" w:color="auto" w:sz="4" w:space="0"/>
              <w:right w:val="single" w:color="auto" w:sz="4" w:space="0"/>
            </w:tcBorders>
            <w:vAlign w:val="center"/>
          </w:tcPr>
          <w:p w14:paraId="7C921D40">
            <w:pPr>
              <w:spacing w:before="20" w:after="20" w:line="300" w:lineRule="auto"/>
              <w:jc w:val="center"/>
            </w:pPr>
            <w:r>
              <w:rPr>
                <w:rFonts w:ascii="Times New Roman" w:hAnsi="Times New Roman" w:eastAsia="仿宋"/>
                <w:sz w:val="21"/>
              </w:rPr>
              <w:t>20.00</w:t>
            </w:r>
          </w:p>
        </w:tc>
      </w:tr>
      <w:tr w14:paraId="1DE9FB45">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46C4041E">
            <w:pPr>
              <w:spacing w:before="20" w:after="20" w:line="300" w:lineRule="auto"/>
              <w:jc w:val="center"/>
            </w:pPr>
            <w:r>
              <w:rPr>
                <w:rFonts w:ascii="Times New Roman" w:hAnsi="Times New Roman" w:eastAsia="仿宋"/>
                <w:sz w:val="21"/>
              </w:rPr>
              <w:t>1.3</w:t>
            </w:r>
          </w:p>
        </w:tc>
        <w:tc>
          <w:tcPr>
            <w:tcW w:w="2000" w:type="dxa"/>
            <w:tcBorders>
              <w:top w:val="single" w:color="auto" w:sz="4" w:space="0"/>
              <w:left w:val="single" w:color="auto" w:sz="4" w:space="0"/>
              <w:bottom w:val="single" w:color="auto" w:sz="4" w:space="0"/>
              <w:right w:val="single" w:color="auto" w:sz="4" w:space="0"/>
            </w:tcBorders>
            <w:vAlign w:val="center"/>
          </w:tcPr>
          <w:p w14:paraId="6981B9D0">
            <w:pPr>
              <w:spacing w:before="20" w:after="20" w:line="300" w:lineRule="auto"/>
              <w:jc w:val="center"/>
            </w:pPr>
            <w:r>
              <w:rPr>
                <w:rFonts w:ascii="Times New Roman" w:hAnsi="Times New Roman" w:eastAsia="仿宋"/>
                <w:sz w:val="21"/>
              </w:rPr>
              <w:t>国产应用中间件</w:t>
            </w:r>
          </w:p>
        </w:tc>
        <w:tc>
          <w:tcPr>
            <w:tcW w:w="3600" w:type="dxa"/>
            <w:tcBorders>
              <w:top w:val="single" w:color="auto" w:sz="4" w:space="0"/>
              <w:left w:val="single" w:color="auto" w:sz="4" w:space="0"/>
              <w:bottom w:val="single" w:color="auto" w:sz="4" w:space="0"/>
              <w:right w:val="single" w:color="auto" w:sz="4" w:space="0"/>
            </w:tcBorders>
            <w:vAlign w:val="center"/>
          </w:tcPr>
          <w:p w14:paraId="6988A07B">
            <w:pPr>
              <w:spacing w:before="20" w:after="20" w:line="300" w:lineRule="auto"/>
              <w:jc w:val="left"/>
            </w:pPr>
            <w:r>
              <w:rPr>
                <w:rFonts w:ascii="仿宋" w:hAnsi="仿宋" w:eastAsia="仿宋"/>
                <w:sz w:val="21"/>
              </w:rPr>
              <w:t>应用服务器中间件企业版授权、安装部署及基础配置</w:t>
            </w:r>
          </w:p>
        </w:tc>
        <w:tc>
          <w:tcPr>
            <w:tcW w:w="800" w:type="dxa"/>
            <w:tcBorders>
              <w:top w:val="single" w:color="auto" w:sz="4" w:space="0"/>
              <w:left w:val="single" w:color="auto" w:sz="4" w:space="0"/>
              <w:bottom w:val="single" w:color="auto" w:sz="4" w:space="0"/>
              <w:right w:val="single" w:color="auto" w:sz="4" w:space="0"/>
            </w:tcBorders>
            <w:vAlign w:val="center"/>
          </w:tcPr>
          <w:p w14:paraId="3145FAAE">
            <w:pPr>
              <w:spacing w:before="20" w:after="20" w:line="300" w:lineRule="auto"/>
              <w:jc w:val="center"/>
            </w:pPr>
            <w:r>
              <w:rPr>
                <w:rFonts w:ascii="Times New Roman" w:hAnsi="Times New Roman" w:eastAsia="仿宋"/>
                <w:sz w:val="21"/>
              </w:rPr>
              <w:t>1套</w:t>
            </w:r>
          </w:p>
        </w:tc>
        <w:tc>
          <w:tcPr>
            <w:tcW w:w="1000" w:type="dxa"/>
            <w:tcBorders>
              <w:top w:val="single" w:color="auto" w:sz="4" w:space="0"/>
              <w:left w:val="single" w:color="auto" w:sz="4" w:space="0"/>
              <w:bottom w:val="single" w:color="auto" w:sz="4" w:space="0"/>
              <w:right w:val="single" w:color="auto" w:sz="4" w:space="0"/>
            </w:tcBorders>
            <w:vAlign w:val="center"/>
          </w:tcPr>
          <w:p w14:paraId="7D600EE1">
            <w:pPr>
              <w:spacing w:before="20" w:after="20" w:line="300" w:lineRule="auto"/>
              <w:jc w:val="center"/>
            </w:pPr>
            <w:r>
              <w:rPr>
                <w:rFonts w:ascii="Times New Roman" w:hAnsi="Times New Roman" w:eastAsia="仿宋"/>
                <w:sz w:val="21"/>
              </w:rPr>
              <w:t>9.80</w:t>
            </w:r>
          </w:p>
        </w:tc>
        <w:tc>
          <w:tcPr>
            <w:tcW w:w="1000" w:type="dxa"/>
            <w:tcBorders>
              <w:top w:val="single" w:color="auto" w:sz="4" w:space="0"/>
              <w:left w:val="single" w:color="auto" w:sz="4" w:space="0"/>
              <w:bottom w:val="single" w:color="auto" w:sz="4" w:space="0"/>
              <w:right w:val="single" w:color="auto" w:sz="4" w:space="0"/>
            </w:tcBorders>
            <w:vAlign w:val="center"/>
          </w:tcPr>
          <w:p w14:paraId="7DA4B3CA">
            <w:pPr>
              <w:spacing w:before="20" w:after="20" w:line="300" w:lineRule="auto"/>
              <w:jc w:val="center"/>
            </w:pPr>
            <w:r>
              <w:rPr>
                <w:rFonts w:ascii="Times New Roman" w:hAnsi="Times New Roman" w:eastAsia="仿宋"/>
                <w:sz w:val="21"/>
              </w:rPr>
              <w:t>9.80</w:t>
            </w:r>
          </w:p>
        </w:tc>
      </w:tr>
      <w:tr w14:paraId="2B5EFBD9">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shd w:val="clear" w:color="auto" w:fill="F2F2F2"/>
            <w:vAlign w:val="center"/>
          </w:tcPr>
          <w:p w14:paraId="20D40B81">
            <w:pPr>
              <w:spacing w:before="20" w:after="20" w:line="300" w:lineRule="auto"/>
              <w:jc w:val="center"/>
            </w:pPr>
            <w:r>
              <w:rPr>
                <w:rFonts w:ascii="黑体" w:hAnsi="黑体" w:eastAsia="黑体"/>
                <w:b/>
                <w:sz w:val="21"/>
              </w:rPr>
              <w:t>二</w:t>
            </w:r>
          </w:p>
        </w:tc>
        <w:tc>
          <w:tcPr>
            <w:tcW w:w="2000" w:type="dxa"/>
            <w:tcBorders>
              <w:top w:val="single" w:color="auto" w:sz="4" w:space="0"/>
              <w:left w:val="single" w:color="auto" w:sz="4" w:space="0"/>
              <w:bottom w:val="single" w:color="auto" w:sz="4" w:space="0"/>
              <w:right w:val="single" w:color="auto" w:sz="4" w:space="0"/>
            </w:tcBorders>
            <w:shd w:val="clear" w:color="auto" w:fill="F2F2F2"/>
            <w:vAlign w:val="center"/>
          </w:tcPr>
          <w:p w14:paraId="5E929325">
            <w:pPr>
              <w:spacing w:before="20" w:after="20" w:line="300" w:lineRule="auto"/>
              <w:jc w:val="center"/>
            </w:pPr>
            <w:r>
              <w:rPr>
                <w:rFonts w:ascii="黑体" w:hAnsi="黑体" w:eastAsia="黑体"/>
                <w:b/>
                <w:sz w:val="21"/>
              </w:rPr>
              <w:t>数据库适配改造</w:t>
            </w:r>
          </w:p>
        </w:tc>
        <w:tc>
          <w:tcPr>
            <w:tcW w:w="3600" w:type="dxa"/>
            <w:tcBorders>
              <w:top w:val="single" w:color="auto" w:sz="4" w:space="0"/>
              <w:left w:val="single" w:color="auto" w:sz="4" w:space="0"/>
              <w:bottom w:val="single" w:color="auto" w:sz="4" w:space="0"/>
              <w:right w:val="single" w:color="auto" w:sz="4" w:space="0"/>
            </w:tcBorders>
            <w:shd w:val="clear" w:color="auto" w:fill="F2F2F2"/>
            <w:vAlign w:val="center"/>
          </w:tcPr>
          <w:p w14:paraId="31171941">
            <w:pPr>
              <w:spacing w:before="20" w:after="20" w:line="300" w:lineRule="auto"/>
              <w:jc w:val="left"/>
            </w:pPr>
          </w:p>
        </w:tc>
        <w:tc>
          <w:tcPr>
            <w:tcW w:w="800" w:type="dxa"/>
            <w:tcBorders>
              <w:top w:val="single" w:color="auto" w:sz="4" w:space="0"/>
              <w:left w:val="single" w:color="auto" w:sz="4" w:space="0"/>
              <w:bottom w:val="single" w:color="auto" w:sz="4" w:space="0"/>
              <w:right w:val="single" w:color="auto" w:sz="4" w:space="0"/>
            </w:tcBorders>
            <w:shd w:val="clear" w:color="auto" w:fill="F2F2F2"/>
            <w:vAlign w:val="center"/>
          </w:tcPr>
          <w:p w14:paraId="7E6F3DC1">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7FA02C7B">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148EAAD6">
            <w:pPr>
              <w:spacing w:before="20" w:after="20" w:line="300" w:lineRule="auto"/>
              <w:jc w:val="center"/>
            </w:pPr>
          </w:p>
        </w:tc>
      </w:tr>
      <w:tr w14:paraId="560397F1">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5D353696">
            <w:pPr>
              <w:spacing w:before="20" w:after="20" w:line="300" w:lineRule="auto"/>
              <w:jc w:val="center"/>
            </w:pPr>
            <w:r>
              <w:rPr>
                <w:rFonts w:ascii="Times New Roman" w:hAnsi="Times New Roman" w:eastAsia="仿宋"/>
                <w:sz w:val="21"/>
              </w:rPr>
              <w:t>2.1</w:t>
            </w:r>
          </w:p>
        </w:tc>
        <w:tc>
          <w:tcPr>
            <w:tcW w:w="2000" w:type="dxa"/>
            <w:tcBorders>
              <w:top w:val="single" w:color="auto" w:sz="4" w:space="0"/>
              <w:left w:val="single" w:color="auto" w:sz="4" w:space="0"/>
              <w:bottom w:val="single" w:color="auto" w:sz="4" w:space="0"/>
              <w:right w:val="single" w:color="auto" w:sz="4" w:space="0"/>
            </w:tcBorders>
            <w:vAlign w:val="center"/>
          </w:tcPr>
          <w:p w14:paraId="5290A829">
            <w:pPr>
              <w:spacing w:before="20" w:after="20" w:line="300" w:lineRule="auto"/>
              <w:jc w:val="center"/>
            </w:pPr>
            <w:r>
              <w:rPr>
                <w:rFonts w:ascii="Times New Roman" w:hAnsi="Times New Roman" w:eastAsia="仿宋"/>
                <w:sz w:val="21"/>
              </w:rPr>
              <w:t>数据迁移实施</w:t>
            </w:r>
          </w:p>
        </w:tc>
        <w:tc>
          <w:tcPr>
            <w:tcW w:w="3600" w:type="dxa"/>
            <w:tcBorders>
              <w:top w:val="single" w:color="auto" w:sz="4" w:space="0"/>
              <w:left w:val="single" w:color="auto" w:sz="4" w:space="0"/>
              <w:bottom w:val="single" w:color="auto" w:sz="4" w:space="0"/>
              <w:right w:val="single" w:color="auto" w:sz="4" w:space="0"/>
            </w:tcBorders>
            <w:vAlign w:val="center"/>
          </w:tcPr>
          <w:p w14:paraId="7B644948">
            <w:pPr>
              <w:spacing w:before="20" w:after="20" w:line="300" w:lineRule="auto"/>
              <w:jc w:val="left"/>
            </w:pPr>
            <w:r>
              <w:rPr>
                <w:rFonts w:ascii="仿宋" w:hAnsi="仿宋" w:eastAsia="仿宋"/>
                <w:sz w:val="21"/>
              </w:rPr>
              <w:t>数据结构分析、全量数据迁移、增量数据同步、数据一致性校验</w:t>
            </w:r>
          </w:p>
        </w:tc>
        <w:tc>
          <w:tcPr>
            <w:tcW w:w="800" w:type="dxa"/>
            <w:tcBorders>
              <w:top w:val="single" w:color="auto" w:sz="4" w:space="0"/>
              <w:left w:val="single" w:color="auto" w:sz="4" w:space="0"/>
              <w:bottom w:val="single" w:color="auto" w:sz="4" w:space="0"/>
              <w:right w:val="single" w:color="auto" w:sz="4" w:space="0"/>
            </w:tcBorders>
            <w:vAlign w:val="center"/>
          </w:tcPr>
          <w:p w14:paraId="61CBE23F">
            <w:pPr>
              <w:spacing w:before="20" w:after="20" w:line="300" w:lineRule="auto"/>
              <w:jc w:val="center"/>
            </w:pPr>
            <w:r>
              <w:rPr>
                <w:rFonts w:ascii="Times New Roman" w:hAnsi="Times New Roman" w:eastAsia="仿宋"/>
                <w:sz w:val="21"/>
              </w:rPr>
              <w:t>1项</w:t>
            </w:r>
          </w:p>
        </w:tc>
        <w:tc>
          <w:tcPr>
            <w:tcW w:w="1000" w:type="dxa"/>
            <w:tcBorders>
              <w:top w:val="single" w:color="auto" w:sz="4" w:space="0"/>
              <w:left w:val="single" w:color="auto" w:sz="4" w:space="0"/>
              <w:bottom w:val="single" w:color="auto" w:sz="4" w:space="0"/>
              <w:right w:val="single" w:color="auto" w:sz="4" w:space="0"/>
            </w:tcBorders>
            <w:vAlign w:val="center"/>
          </w:tcPr>
          <w:p w14:paraId="31E1DEBF">
            <w:pPr>
              <w:spacing w:before="20" w:after="20" w:line="300" w:lineRule="auto"/>
              <w:jc w:val="center"/>
            </w:pPr>
            <w:r>
              <w:rPr>
                <w:rFonts w:ascii="Times New Roman" w:hAnsi="Times New Roman" w:eastAsia="仿宋"/>
                <w:sz w:val="21"/>
              </w:rPr>
              <w:t>1.50</w:t>
            </w:r>
          </w:p>
        </w:tc>
        <w:tc>
          <w:tcPr>
            <w:tcW w:w="1000" w:type="dxa"/>
            <w:tcBorders>
              <w:top w:val="single" w:color="auto" w:sz="4" w:space="0"/>
              <w:left w:val="single" w:color="auto" w:sz="4" w:space="0"/>
              <w:bottom w:val="single" w:color="auto" w:sz="4" w:space="0"/>
              <w:right w:val="single" w:color="auto" w:sz="4" w:space="0"/>
            </w:tcBorders>
            <w:vAlign w:val="center"/>
          </w:tcPr>
          <w:p w14:paraId="2B3A21CA">
            <w:pPr>
              <w:spacing w:before="20" w:after="20" w:line="300" w:lineRule="auto"/>
              <w:jc w:val="center"/>
            </w:pPr>
            <w:r>
              <w:rPr>
                <w:rFonts w:ascii="Times New Roman" w:hAnsi="Times New Roman" w:eastAsia="仿宋"/>
                <w:sz w:val="21"/>
              </w:rPr>
              <w:t>1.50</w:t>
            </w:r>
          </w:p>
        </w:tc>
      </w:tr>
      <w:tr w14:paraId="4B5A3012">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237EC670">
            <w:pPr>
              <w:spacing w:before="20" w:after="20" w:line="300" w:lineRule="auto"/>
              <w:jc w:val="center"/>
            </w:pPr>
            <w:r>
              <w:rPr>
                <w:rFonts w:ascii="Times New Roman" w:hAnsi="Times New Roman" w:eastAsia="仿宋"/>
                <w:sz w:val="21"/>
              </w:rPr>
              <w:t>2.2</w:t>
            </w:r>
          </w:p>
        </w:tc>
        <w:tc>
          <w:tcPr>
            <w:tcW w:w="2000" w:type="dxa"/>
            <w:tcBorders>
              <w:top w:val="single" w:color="auto" w:sz="4" w:space="0"/>
              <w:left w:val="single" w:color="auto" w:sz="4" w:space="0"/>
              <w:bottom w:val="single" w:color="auto" w:sz="4" w:space="0"/>
              <w:right w:val="single" w:color="auto" w:sz="4" w:space="0"/>
            </w:tcBorders>
            <w:vAlign w:val="center"/>
          </w:tcPr>
          <w:p w14:paraId="535B9F6E">
            <w:pPr>
              <w:spacing w:before="20" w:after="20" w:line="300" w:lineRule="auto"/>
              <w:jc w:val="center"/>
            </w:pPr>
            <w:r>
              <w:rPr>
                <w:rFonts w:ascii="Times New Roman" w:hAnsi="Times New Roman" w:eastAsia="仿宋"/>
                <w:sz w:val="21"/>
              </w:rPr>
              <w:t>数据库代码适配</w:t>
            </w:r>
          </w:p>
        </w:tc>
        <w:tc>
          <w:tcPr>
            <w:tcW w:w="3600" w:type="dxa"/>
            <w:tcBorders>
              <w:top w:val="single" w:color="auto" w:sz="4" w:space="0"/>
              <w:left w:val="single" w:color="auto" w:sz="4" w:space="0"/>
              <w:bottom w:val="single" w:color="auto" w:sz="4" w:space="0"/>
              <w:right w:val="single" w:color="auto" w:sz="4" w:space="0"/>
            </w:tcBorders>
            <w:vAlign w:val="center"/>
          </w:tcPr>
          <w:p w14:paraId="3A93EE61">
            <w:pPr>
              <w:spacing w:before="20" w:after="20" w:line="300" w:lineRule="auto"/>
              <w:jc w:val="left"/>
            </w:pPr>
            <w:r>
              <w:rPr>
                <w:rFonts w:ascii="仿宋" w:hAnsi="仿宋" w:eastAsia="仿宋"/>
                <w:sz w:val="21"/>
              </w:rPr>
              <w:t>JDBC驱动替换、SQL语法兼容改造、存储过程与触发器改写、索引优化</w:t>
            </w:r>
          </w:p>
        </w:tc>
        <w:tc>
          <w:tcPr>
            <w:tcW w:w="800" w:type="dxa"/>
            <w:tcBorders>
              <w:top w:val="single" w:color="auto" w:sz="4" w:space="0"/>
              <w:left w:val="single" w:color="auto" w:sz="4" w:space="0"/>
              <w:bottom w:val="single" w:color="auto" w:sz="4" w:space="0"/>
              <w:right w:val="single" w:color="auto" w:sz="4" w:space="0"/>
            </w:tcBorders>
            <w:vAlign w:val="center"/>
          </w:tcPr>
          <w:p w14:paraId="70AC8A43">
            <w:pPr>
              <w:spacing w:before="20" w:after="20" w:line="300" w:lineRule="auto"/>
              <w:jc w:val="center"/>
            </w:pPr>
            <w:r>
              <w:rPr>
                <w:rFonts w:ascii="Times New Roman" w:hAnsi="Times New Roman" w:eastAsia="仿宋"/>
                <w:sz w:val="21"/>
              </w:rPr>
              <w:t>1项</w:t>
            </w:r>
          </w:p>
        </w:tc>
        <w:tc>
          <w:tcPr>
            <w:tcW w:w="1000" w:type="dxa"/>
            <w:tcBorders>
              <w:top w:val="single" w:color="auto" w:sz="4" w:space="0"/>
              <w:left w:val="single" w:color="auto" w:sz="4" w:space="0"/>
              <w:bottom w:val="single" w:color="auto" w:sz="4" w:space="0"/>
              <w:right w:val="single" w:color="auto" w:sz="4" w:space="0"/>
            </w:tcBorders>
            <w:vAlign w:val="center"/>
          </w:tcPr>
          <w:p w14:paraId="000D478F">
            <w:pPr>
              <w:spacing w:before="20" w:after="20" w:line="300" w:lineRule="auto"/>
              <w:jc w:val="center"/>
            </w:pPr>
            <w:r>
              <w:rPr>
                <w:rFonts w:ascii="Times New Roman" w:hAnsi="Times New Roman" w:eastAsia="仿宋"/>
                <w:sz w:val="21"/>
              </w:rPr>
              <w:t>1.50</w:t>
            </w:r>
          </w:p>
        </w:tc>
        <w:tc>
          <w:tcPr>
            <w:tcW w:w="1000" w:type="dxa"/>
            <w:tcBorders>
              <w:top w:val="single" w:color="auto" w:sz="4" w:space="0"/>
              <w:left w:val="single" w:color="auto" w:sz="4" w:space="0"/>
              <w:bottom w:val="single" w:color="auto" w:sz="4" w:space="0"/>
              <w:right w:val="single" w:color="auto" w:sz="4" w:space="0"/>
            </w:tcBorders>
            <w:vAlign w:val="center"/>
          </w:tcPr>
          <w:p w14:paraId="6141FBF9">
            <w:pPr>
              <w:spacing w:before="20" w:after="20" w:line="300" w:lineRule="auto"/>
              <w:jc w:val="center"/>
            </w:pPr>
            <w:r>
              <w:rPr>
                <w:rFonts w:ascii="Times New Roman" w:hAnsi="Times New Roman" w:eastAsia="仿宋"/>
                <w:sz w:val="21"/>
              </w:rPr>
              <w:t>1.50</w:t>
            </w:r>
          </w:p>
        </w:tc>
      </w:tr>
      <w:tr w14:paraId="25A5D75F">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shd w:val="clear" w:color="auto" w:fill="F2F2F2"/>
            <w:vAlign w:val="center"/>
          </w:tcPr>
          <w:p w14:paraId="7F8FC092">
            <w:pPr>
              <w:spacing w:before="20" w:after="20" w:line="300" w:lineRule="auto"/>
              <w:jc w:val="center"/>
            </w:pPr>
            <w:r>
              <w:rPr>
                <w:rFonts w:ascii="黑体" w:hAnsi="黑体" w:eastAsia="黑体"/>
                <w:b/>
                <w:sz w:val="21"/>
              </w:rPr>
              <w:t>三</w:t>
            </w:r>
          </w:p>
        </w:tc>
        <w:tc>
          <w:tcPr>
            <w:tcW w:w="2000" w:type="dxa"/>
            <w:tcBorders>
              <w:top w:val="single" w:color="auto" w:sz="4" w:space="0"/>
              <w:left w:val="single" w:color="auto" w:sz="4" w:space="0"/>
              <w:bottom w:val="single" w:color="auto" w:sz="4" w:space="0"/>
              <w:right w:val="single" w:color="auto" w:sz="4" w:space="0"/>
            </w:tcBorders>
            <w:shd w:val="clear" w:color="auto" w:fill="F2F2F2"/>
            <w:vAlign w:val="center"/>
          </w:tcPr>
          <w:p w14:paraId="04AAD6FD">
            <w:pPr>
              <w:spacing w:before="20" w:after="20" w:line="300" w:lineRule="auto"/>
              <w:jc w:val="center"/>
            </w:pPr>
            <w:r>
              <w:rPr>
                <w:rFonts w:ascii="黑体" w:hAnsi="黑体" w:eastAsia="黑体"/>
                <w:b/>
                <w:sz w:val="21"/>
              </w:rPr>
              <w:t>中间件适配改造</w:t>
            </w:r>
          </w:p>
        </w:tc>
        <w:tc>
          <w:tcPr>
            <w:tcW w:w="3600" w:type="dxa"/>
            <w:tcBorders>
              <w:top w:val="single" w:color="auto" w:sz="4" w:space="0"/>
              <w:left w:val="single" w:color="auto" w:sz="4" w:space="0"/>
              <w:bottom w:val="single" w:color="auto" w:sz="4" w:space="0"/>
              <w:right w:val="single" w:color="auto" w:sz="4" w:space="0"/>
            </w:tcBorders>
            <w:shd w:val="clear" w:color="auto" w:fill="F2F2F2"/>
            <w:vAlign w:val="center"/>
          </w:tcPr>
          <w:p w14:paraId="71915FDA">
            <w:pPr>
              <w:spacing w:before="20" w:after="20" w:line="300" w:lineRule="auto"/>
              <w:jc w:val="left"/>
            </w:pPr>
          </w:p>
        </w:tc>
        <w:tc>
          <w:tcPr>
            <w:tcW w:w="800" w:type="dxa"/>
            <w:tcBorders>
              <w:top w:val="single" w:color="auto" w:sz="4" w:space="0"/>
              <w:left w:val="single" w:color="auto" w:sz="4" w:space="0"/>
              <w:bottom w:val="single" w:color="auto" w:sz="4" w:space="0"/>
              <w:right w:val="single" w:color="auto" w:sz="4" w:space="0"/>
            </w:tcBorders>
            <w:shd w:val="clear" w:color="auto" w:fill="F2F2F2"/>
            <w:vAlign w:val="center"/>
          </w:tcPr>
          <w:p w14:paraId="2D56C7AD">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68B3A880">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5F40BDF4">
            <w:pPr>
              <w:spacing w:before="20" w:after="20" w:line="300" w:lineRule="auto"/>
              <w:jc w:val="center"/>
            </w:pPr>
          </w:p>
        </w:tc>
      </w:tr>
      <w:tr w14:paraId="20618AA4">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5B459A30">
            <w:pPr>
              <w:spacing w:before="20" w:after="20" w:line="300" w:lineRule="auto"/>
              <w:jc w:val="center"/>
            </w:pPr>
            <w:r>
              <w:rPr>
                <w:rFonts w:ascii="Times New Roman" w:hAnsi="Times New Roman" w:eastAsia="仿宋"/>
                <w:sz w:val="21"/>
              </w:rPr>
              <w:t>3.1</w:t>
            </w:r>
          </w:p>
        </w:tc>
        <w:tc>
          <w:tcPr>
            <w:tcW w:w="2000" w:type="dxa"/>
            <w:tcBorders>
              <w:top w:val="single" w:color="auto" w:sz="4" w:space="0"/>
              <w:left w:val="single" w:color="auto" w:sz="4" w:space="0"/>
              <w:bottom w:val="single" w:color="auto" w:sz="4" w:space="0"/>
              <w:right w:val="single" w:color="auto" w:sz="4" w:space="0"/>
            </w:tcBorders>
            <w:vAlign w:val="center"/>
          </w:tcPr>
          <w:p w14:paraId="5F0D4A1C">
            <w:pPr>
              <w:spacing w:before="20" w:after="20" w:line="300" w:lineRule="auto"/>
              <w:jc w:val="center"/>
            </w:pPr>
            <w:r>
              <w:rPr>
                <w:rFonts w:ascii="Times New Roman" w:hAnsi="Times New Roman" w:eastAsia="仿宋"/>
                <w:sz w:val="21"/>
              </w:rPr>
              <w:t>中间件部署与配置</w:t>
            </w:r>
          </w:p>
        </w:tc>
        <w:tc>
          <w:tcPr>
            <w:tcW w:w="3600" w:type="dxa"/>
            <w:tcBorders>
              <w:top w:val="single" w:color="auto" w:sz="4" w:space="0"/>
              <w:left w:val="single" w:color="auto" w:sz="4" w:space="0"/>
              <w:bottom w:val="single" w:color="auto" w:sz="4" w:space="0"/>
              <w:right w:val="single" w:color="auto" w:sz="4" w:space="0"/>
            </w:tcBorders>
            <w:vAlign w:val="center"/>
          </w:tcPr>
          <w:p w14:paraId="7B2CEE5B">
            <w:pPr>
              <w:spacing w:before="20" w:after="20" w:line="300" w:lineRule="auto"/>
              <w:jc w:val="left"/>
            </w:pPr>
            <w:r>
              <w:rPr>
                <w:rFonts w:ascii="仿宋" w:hAnsi="仿宋" w:eastAsia="仿宋"/>
                <w:sz w:val="21"/>
              </w:rPr>
              <w:t>应用服务器部署、Web服务器部署、JNDI/JMS资源配置、集群配置</w:t>
            </w:r>
          </w:p>
        </w:tc>
        <w:tc>
          <w:tcPr>
            <w:tcW w:w="800" w:type="dxa"/>
            <w:tcBorders>
              <w:top w:val="single" w:color="auto" w:sz="4" w:space="0"/>
              <w:left w:val="single" w:color="auto" w:sz="4" w:space="0"/>
              <w:bottom w:val="single" w:color="auto" w:sz="4" w:space="0"/>
              <w:right w:val="single" w:color="auto" w:sz="4" w:space="0"/>
            </w:tcBorders>
            <w:vAlign w:val="center"/>
          </w:tcPr>
          <w:p w14:paraId="227E22A0">
            <w:pPr>
              <w:spacing w:before="20" w:after="20" w:line="300" w:lineRule="auto"/>
              <w:jc w:val="center"/>
            </w:pPr>
            <w:r>
              <w:rPr>
                <w:rFonts w:ascii="Times New Roman" w:hAnsi="Times New Roman" w:eastAsia="仿宋"/>
                <w:sz w:val="21"/>
              </w:rPr>
              <w:t>1项</w:t>
            </w:r>
          </w:p>
        </w:tc>
        <w:tc>
          <w:tcPr>
            <w:tcW w:w="1000" w:type="dxa"/>
            <w:tcBorders>
              <w:top w:val="single" w:color="auto" w:sz="4" w:space="0"/>
              <w:left w:val="single" w:color="auto" w:sz="4" w:space="0"/>
              <w:bottom w:val="single" w:color="auto" w:sz="4" w:space="0"/>
              <w:right w:val="single" w:color="auto" w:sz="4" w:space="0"/>
            </w:tcBorders>
            <w:vAlign w:val="center"/>
          </w:tcPr>
          <w:p w14:paraId="7246DF1C">
            <w:pPr>
              <w:spacing w:before="20" w:after="20" w:line="300" w:lineRule="auto"/>
              <w:jc w:val="center"/>
            </w:pPr>
            <w:r>
              <w:rPr>
                <w:rFonts w:ascii="Times New Roman" w:hAnsi="Times New Roman" w:eastAsia="仿宋"/>
                <w:sz w:val="21"/>
              </w:rPr>
              <w:t>0.80</w:t>
            </w:r>
          </w:p>
        </w:tc>
        <w:tc>
          <w:tcPr>
            <w:tcW w:w="1000" w:type="dxa"/>
            <w:tcBorders>
              <w:top w:val="single" w:color="auto" w:sz="4" w:space="0"/>
              <w:left w:val="single" w:color="auto" w:sz="4" w:space="0"/>
              <w:bottom w:val="single" w:color="auto" w:sz="4" w:space="0"/>
              <w:right w:val="single" w:color="auto" w:sz="4" w:space="0"/>
            </w:tcBorders>
            <w:vAlign w:val="center"/>
          </w:tcPr>
          <w:p w14:paraId="39AB9F62">
            <w:pPr>
              <w:spacing w:before="20" w:after="20" w:line="300" w:lineRule="auto"/>
              <w:jc w:val="center"/>
            </w:pPr>
            <w:r>
              <w:rPr>
                <w:rFonts w:ascii="Times New Roman" w:hAnsi="Times New Roman" w:eastAsia="仿宋"/>
                <w:sz w:val="21"/>
              </w:rPr>
              <w:t>0.80</w:t>
            </w:r>
          </w:p>
        </w:tc>
      </w:tr>
      <w:tr w14:paraId="617E68F6">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7834483F">
            <w:pPr>
              <w:spacing w:before="20" w:after="20" w:line="300" w:lineRule="auto"/>
              <w:jc w:val="center"/>
            </w:pPr>
            <w:r>
              <w:rPr>
                <w:rFonts w:ascii="Times New Roman" w:hAnsi="Times New Roman" w:eastAsia="仿宋"/>
                <w:sz w:val="21"/>
              </w:rPr>
              <w:t>3.2</w:t>
            </w:r>
          </w:p>
        </w:tc>
        <w:tc>
          <w:tcPr>
            <w:tcW w:w="2000" w:type="dxa"/>
            <w:tcBorders>
              <w:top w:val="single" w:color="auto" w:sz="4" w:space="0"/>
              <w:left w:val="single" w:color="auto" w:sz="4" w:space="0"/>
              <w:bottom w:val="single" w:color="auto" w:sz="4" w:space="0"/>
              <w:right w:val="single" w:color="auto" w:sz="4" w:space="0"/>
            </w:tcBorders>
            <w:vAlign w:val="center"/>
          </w:tcPr>
          <w:p w14:paraId="68A585B1">
            <w:pPr>
              <w:spacing w:before="20" w:after="20" w:line="300" w:lineRule="auto"/>
              <w:jc w:val="center"/>
            </w:pPr>
            <w:r>
              <w:rPr>
                <w:rFonts w:ascii="Times New Roman" w:hAnsi="Times New Roman" w:eastAsia="仿宋"/>
                <w:sz w:val="21"/>
              </w:rPr>
              <w:t>中间件迁移适配</w:t>
            </w:r>
          </w:p>
        </w:tc>
        <w:tc>
          <w:tcPr>
            <w:tcW w:w="3600" w:type="dxa"/>
            <w:tcBorders>
              <w:top w:val="single" w:color="auto" w:sz="4" w:space="0"/>
              <w:left w:val="single" w:color="auto" w:sz="4" w:space="0"/>
              <w:bottom w:val="single" w:color="auto" w:sz="4" w:space="0"/>
              <w:right w:val="single" w:color="auto" w:sz="4" w:space="0"/>
            </w:tcBorders>
            <w:vAlign w:val="center"/>
          </w:tcPr>
          <w:p w14:paraId="56114EC6">
            <w:pPr>
              <w:spacing w:before="20" w:after="20" w:line="300" w:lineRule="auto"/>
              <w:jc w:val="left"/>
            </w:pPr>
            <w:r>
              <w:rPr>
                <w:rFonts w:ascii="仿宋" w:hAnsi="仿宋" w:eastAsia="仿宋"/>
                <w:sz w:val="21"/>
              </w:rPr>
              <w:t>应用部署描述符转换、专有API替换、类加载策略调整、性能调优</w:t>
            </w:r>
          </w:p>
        </w:tc>
        <w:tc>
          <w:tcPr>
            <w:tcW w:w="800" w:type="dxa"/>
            <w:tcBorders>
              <w:top w:val="single" w:color="auto" w:sz="4" w:space="0"/>
              <w:left w:val="single" w:color="auto" w:sz="4" w:space="0"/>
              <w:bottom w:val="single" w:color="auto" w:sz="4" w:space="0"/>
              <w:right w:val="single" w:color="auto" w:sz="4" w:space="0"/>
            </w:tcBorders>
            <w:vAlign w:val="center"/>
          </w:tcPr>
          <w:p w14:paraId="39153FFA">
            <w:pPr>
              <w:spacing w:before="20" w:after="20" w:line="300" w:lineRule="auto"/>
              <w:jc w:val="center"/>
            </w:pPr>
            <w:r>
              <w:rPr>
                <w:rFonts w:ascii="Times New Roman" w:hAnsi="Times New Roman" w:eastAsia="仿宋"/>
                <w:sz w:val="21"/>
              </w:rPr>
              <w:t>1项</w:t>
            </w:r>
          </w:p>
        </w:tc>
        <w:tc>
          <w:tcPr>
            <w:tcW w:w="1000" w:type="dxa"/>
            <w:tcBorders>
              <w:top w:val="single" w:color="auto" w:sz="4" w:space="0"/>
              <w:left w:val="single" w:color="auto" w:sz="4" w:space="0"/>
              <w:bottom w:val="single" w:color="auto" w:sz="4" w:space="0"/>
              <w:right w:val="single" w:color="auto" w:sz="4" w:space="0"/>
            </w:tcBorders>
            <w:vAlign w:val="center"/>
          </w:tcPr>
          <w:p w14:paraId="0248354A">
            <w:pPr>
              <w:spacing w:before="20" w:after="20" w:line="300" w:lineRule="auto"/>
              <w:jc w:val="center"/>
            </w:pPr>
            <w:r>
              <w:rPr>
                <w:rFonts w:ascii="Times New Roman" w:hAnsi="Times New Roman" w:eastAsia="仿宋"/>
                <w:sz w:val="21"/>
              </w:rPr>
              <w:t>0.80</w:t>
            </w:r>
          </w:p>
        </w:tc>
        <w:tc>
          <w:tcPr>
            <w:tcW w:w="1000" w:type="dxa"/>
            <w:tcBorders>
              <w:top w:val="single" w:color="auto" w:sz="4" w:space="0"/>
              <w:left w:val="single" w:color="auto" w:sz="4" w:space="0"/>
              <w:bottom w:val="single" w:color="auto" w:sz="4" w:space="0"/>
              <w:right w:val="single" w:color="auto" w:sz="4" w:space="0"/>
            </w:tcBorders>
            <w:vAlign w:val="center"/>
          </w:tcPr>
          <w:p w14:paraId="3AC08E81">
            <w:pPr>
              <w:spacing w:before="20" w:after="20" w:line="300" w:lineRule="auto"/>
              <w:jc w:val="center"/>
            </w:pPr>
            <w:r>
              <w:rPr>
                <w:rFonts w:ascii="Times New Roman" w:hAnsi="Times New Roman" w:eastAsia="仿宋"/>
                <w:sz w:val="21"/>
              </w:rPr>
              <w:t>0.80</w:t>
            </w:r>
          </w:p>
        </w:tc>
      </w:tr>
      <w:tr w14:paraId="08A68A86">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shd w:val="clear" w:color="auto" w:fill="F2F2F2"/>
            <w:vAlign w:val="center"/>
          </w:tcPr>
          <w:p w14:paraId="6772D4AB">
            <w:pPr>
              <w:spacing w:before="20" w:after="20" w:line="300" w:lineRule="auto"/>
              <w:jc w:val="center"/>
            </w:pPr>
            <w:r>
              <w:rPr>
                <w:rFonts w:ascii="黑体" w:hAnsi="黑体" w:eastAsia="黑体"/>
                <w:b/>
                <w:sz w:val="21"/>
              </w:rPr>
              <w:t>四</w:t>
            </w:r>
          </w:p>
        </w:tc>
        <w:tc>
          <w:tcPr>
            <w:tcW w:w="2000" w:type="dxa"/>
            <w:tcBorders>
              <w:top w:val="single" w:color="auto" w:sz="4" w:space="0"/>
              <w:left w:val="single" w:color="auto" w:sz="4" w:space="0"/>
              <w:bottom w:val="single" w:color="auto" w:sz="4" w:space="0"/>
              <w:right w:val="single" w:color="auto" w:sz="4" w:space="0"/>
            </w:tcBorders>
            <w:shd w:val="clear" w:color="auto" w:fill="F2F2F2"/>
            <w:vAlign w:val="center"/>
          </w:tcPr>
          <w:p w14:paraId="4B8D7522">
            <w:pPr>
              <w:spacing w:before="20" w:after="20" w:line="300" w:lineRule="auto"/>
              <w:jc w:val="center"/>
            </w:pPr>
            <w:r>
              <w:rPr>
                <w:rFonts w:ascii="黑体" w:hAnsi="黑体" w:eastAsia="黑体"/>
                <w:b/>
                <w:sz w:val="21"/>
              </w:rPr>
              <w:t>操作系统适配改造</w:t>
            </w:r>
          </w:p>
        </w:tc>
        <w:tc>
          <w:tcPr>
            <w:tcW w:w="3600" w:type="dxa"/>
            <w:tcBorders>
              <w:top w:val="single" w:color="auto" w:sz="4" w:space="0"/>
              <w:left w:val="single" w:color="auto" w:sz="4" w:space="0"/>
              <w:bottom w:val="single" w:color="auto" w:sz="4" w:space="0"/>
              <w:right w:val="single" w:color="auto" w:sz="4" w:space="0"/>
            </w:tcBorders>
            <w:shd w:val="clear" w:color="auto" w:fill="F2F2F2"/>
            <w:vAlign w:val="center"/>
          </w:tcPr>
          <w:p w14:paraId="09D0C5F3">
            <w:pPr>
              <w:spacing w:before="20" w:after="20" w:line="300" w:lineRule="auto"/>
              <w:jc w:val="left"/>
            </w:pPr>
          </w:p>
        </w:tc>
        <w:tc>
          <w:tcPr>
            <w:tcW w:w="800" w:type="dxa"/>
            <w:tcBorders>
              <w:top w:val="single" w:color="auto" w:sz="4" w:space="0"/>
              <w:left w:val="single" w:color="auto" w:sz="4" w:space="0"/>
              <w:bottom w:val="single" w:color="auto" w:sz="4" w:space="0"/>
              <w:right w:val="single" w:color="auto" w:sz="4" w:space="0"/>
            </w:tcBorders>
            <w:shd w:val="clear" w:color="auto" w:fill="F2F2F2"/>
            <w:vAlign w:val="center"/>
          </w:tcPr>
          <w:p w14:paraId="2542FB25">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3AC1F69D">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1DD6D8CD">
            <w:pPr>
              <w:spacing w:before="20" w:after="20" w:line="300" w:lineRule="auto"/>
              <w:jc w:val="center"/>
            </w:pPr>
          </w:p>
        </w:tc>
      </w:tr>
      <w:tr w14:paraId="5756875F">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645CE579">
            <w:pPr>
              <w:spacing w:before="20" w:after="20" w:line="300" w:lineRule="auto"/>
              <w:jc w:val="center"/>
            </w:pPr>
            <w:r>
              <w:rPr>
                <w:rFonts w:ascii="Times New Roman" w:hAnsi="Times New Roman" w:eastAsia="仿宋"/>
                <w:sz w:val="21"/>
              </w:rPr>
              <w:t>4.1</w:t>
            </w:r>
          </w:p>
        </w:tc>
        <w:tc>
          <w:tcPr>
            <w:tcW w:w="2000" w:type="dxa"/>
            <w:tcBorders>
              <w:top w:val="single" w:color="auto" w:sz="4" w:space="0"/>
              <w:left w:val="single" w:color="auto" w:sz="4" w:space="0"/>
              <w:bottom w:val="single" w:color="auto" w:sz="4" w:space="0"/>
              <w:right w:val="single" w:color="auto" w:sz="4" w:space="0"/>
            </w:tcBorders>
            <w:vAlign w:val="center"/>
          </w:tcPr>
          <w:p w14:paraId="4E7638CD">
            <w:pPr>
              <w:spacing w:before="20" w:after="20" w:line="300" w:lineRule="auto"/>
              <w:jc w:val="center"/>
            </w:pPr>
            <w:r>
              <w:rPr>
                <w:rFonts w:ascii="Times New Roman" w:hAnsi="Times New Roman" w:eastAsia="仿宋"/>
                <w:sz w:val="21"/>
              </w:rPr>
              <w:t>操作系统部署与加固</w:t>
            </w:r>
          </w:p>
        </w:tc>
        <w:tc>
          <w:tcPr>
            <w:tcW w:w="3600" w:type="dxa"/>
            <w:tcBorders>
              <w:top w:val="single" w:color="auto" w:sz="4" w:space="0"/>
              <w:left w:val="single" w:color="auto" w:sz="4" w:space="0"/>
              <w:bottom w:val="single" w:color="auto" w:sz="4" w:space="0"/>
              <w:right w:val="single" w:color="auto" w:sz="4" w:space="0"/>
            </w:tcBorders>
            <w:vAlign w:val="center"/>
          </w:tcPr>
          <w:p w14:paraId="0808F39D">
            <w:pPr>
              <w:spacing w:before="20" w:after="20" w:line="300" w:lineRule="auto"/>
              <w:jc w:val="left"/>
            </w:pPr>
            <w:r>
              <w:rPr>
                <w:rFonts w:ascii="仿宋" w:hAnsi="仿宋" w:eastAsia="仿宋"/>
                <w:sz w:val="21"/>
              </w:rPr>
              <w:t>国产操作系统安装部署、系统参数配置、安全加固、基础软件包安装</w:t>
            </w:r>
          </w:p>
        </w:tc>
        <w:tc>
          <w:tcPr>
            <w:tcW w:w="800" w:type="dxa"/>
            <w:tcBorders>
              <w:top w:val="single" w:color="auto" w:sz="4" w:space="0"/>
              <w:left w:val="single" w:color="auto" w:sz="4" w:space="0"/>
              <w:bottom w:val="single" w:color="auto" w:sz="4" w:space="0"/>
              <w:right w:val="single" w:color="auto" w:sz="4" w:space="0"/>
            </w:tcBorders>
            <w:vAlign w:val="center"/>
          </w:tcPr>
          <w:p w14:paraId="22BF7F98">
            <w:pPr>
              <w:spacing w:before="20" w:after="20" w:line="300" w:lineRule="auto"/>
              <w:jc w:val="center"/>
            </w:pPr>
            <w:r>
              <w:rPr>
                <w:rFonts w:ascii="Times New Roman" w:hAnsi="Times New Roman" w:eastAsia="仿宋"/>
                <w:sz w:val="21"/>
              </w:rPr>
              <w:t>1项</w:t>
            </w:r>
          </w:p>
        </w:tc>
        <w:tc>
          <w:tcPr>
            <w:tcW w:w="1000" w:type="dxa"/>
            <w:tcBorders>
              <w:top w:val="single" w:color="auto" w:sz="4" w:space="0"/>
              <w:left w:val="single" w:color="auto" w:sz="4" w:space="0"/>
              <w:bottom w:val="single" w:color="auto" w:sz="4" w:space="0"/>
              <w:right w:val="single" w:color="auto" w:sz="4" w:space="0"/>
            </w:tcBorders>
            <w:vAlign w:val="center"/>
          </w:tcPr>
          <w:p w14:paraId="34BBBC3A">
            <w:pPr>
              <w:spacing w:before="20" w:after="20" w:line="300" w:lineRule="auto"/>
              <w:jc w:val="center"/>
            </w:pPr>
            <w:r>
              <w:rPr>
                <w:rFonts w:ascii="Times New Roman" w:hAnsi="Times New Roman" w:eastAsia="仿宋"/>
                <w:sz w:val="21"/>
              </w:rPr>
              <w:t>0.80</w:t>
            </w:r>
          </w:p>
        </w:tc>
        <w:tc>
          <w:tcPr>
            <w:tcW w:w="1000" w:type="dxa"/>
            <w:tcBorders>
              <w:top w:val="single" w:color="auto" w:sz="4" w:space="0"/>
              <w:left w:val="single" w:color="auto" w:sz="4" w:space="0"/>
              <w:bottom w:val="single" w:color="auto" w:sz="4" w:space="0"/>
              <w:right w:val="single" w:color="auto" w:sz="4" w:space="0"/>
            </w:tcBorders>
            <w:vAlign w:val="center"/>
          </w:tcPr>
          <w:p w14:paraId="65627D54">
            <w:pPr>
              <w:spacing w:before="20" w:after="20" w:line="300" w:lineRule="auto"/>
              <w:jc w:val="center"/>
            </w:pPr>
            <w:r>
              <w:rPr>
                <w:rFonts w:ascii="Times New Roman" w:hAnsi="Times New Roman" w:eastAsia="仿宋"/>
                <w:sz w:val="21"/>
              </w:rPr>
              <w:t>0.80</w:t>
            </w:r>
          </w:p>
        </w:tc>
      </w:tr>
      <w:tr w14:paraId="3AA575DB">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1F2B8CB6">
            <w:pPr>
              <w:spacing w:before="20" w:after="20" w:line="300" w:lineRule="auto"/>
              <w:jc w:val="center"/>
            </w:pPr>
            <w:r>
              <w:rPr>
                <w:rFonts w:ascii="Times New Roman" w:hAnsi="Times New Roman" w:eastAsia="仿宋"/>
                <w:sz w:val="21"/>
              </w:rPr>
              <w:t>4.2</w:t>
            </w:r>
          </w:p>
        </w:tc>
        <w:tc>
          <w:tcPr>
            <w:tcW w:w="2000" w:type="dxa"/>
            <w:tcBorders>
              <w:top w:val="single" w:color="auto" w:sz="4" w:space="0"/>
              <w:left w:val="single" w:color="auto" w:sz="4" w:space="0"/>
              <w:bottom w:val="single" w:color="auto" w:sz="4" w:space="0"/>
              <w:right w:val="single" w:color="auto" w:sz="4" w:space="0"/>
            </w:tcBorders>
            <w:vAlign w:val="center"/>
          </w:tcPr>
          <w:p w14:paraId="79CC78C4">
            <w:pPr>
              <w:spacing w:before="20" w:after="20" w:line="300" w:lineRule="auto"/>
              <w:jc w:val="center"/>
            </w:pPr>
            <w:r>
              <w:rPr>
                <w:rFonts w:ascii="Times New Roman" w:hAnsi="Times New Roman" w:eastAsia="仿宋"/>
                <w:sz w:val="21"/>
              </w:rPr>
              <w:t>应用兼容性改造</w:t>
            </w:r>
          </w:p>
        </w:tc>
        <w:tc>
          <w:tcPr>
            <w:tcW w:w="3600" w:type="dxa"/>
            <w:tcBorders>
              <w:top w:val="single" w:color="auto" w:sz="4" w:space="0"/>
              <w:left w:val="single" w:color="auto" w:sz="4" w:space="0"/>
              <w:bottom w:val="single" w:color="auto" w:sz="4" w:space="0"/>
              <w:right w:val="single" w:color="auto" w:sz="4" w:space="0"/>
            </w:tcBorders>
            <w:vAlign w:val="center"/>
          </w:tcPr>
          <w:p w14:paraId="672B0325">
            <w:pPr>
              <w:spacing w:before="20" w:after="20" w:line="300" w:lineRule="auto"/>
              <w:jc w:val="left"/>
            </w:pPr>
            <w:r>
              <w:rPr>
                <w:rFonts w:ascii="仿宋" w:hAnsi="仿宋" w:eastAsia="仿宋"/>
                <w:sz w:val="21"/>
              </w:rPr>
              <w:t>系统调用适配、Shell脚本改造、文件路径调整、环境变量配置</w:t>
            </w:r>
          </w:p>
        </w:tc>
        <w:tc>
          <w:tcPr>
            <w:tcW w:w="800" w:type="dxa"/>
            <w:tcBorders>
              <w:top w:val="single" w:color="auto" w:sz="4" w:space="0"/>
              <w:left w:val="single" w:color="auto" w:sz="4" w:space="0"/>
              <w:bottom w:val="single" w:color="auto" w:sz="4" w:space="0"/>
              <w:right w:val="single" w:color="auto" w:sz="4" w:space="0"/>
            </w:tcBorders>
            <w:vAlign w:val="center"/>
          </w:tcPr>
          <w:p w14:paraId="30529DA0">
            <w:pPr>
              <w:spacing w:before="20" w:after="20" w:line="300" w:lineRule="auto"/>
              <w:jc w:val="center"/>
            </w:pPr>
            <w:r>
              <w:rPr>
                <w:rFonts w:ascii="Times New Roman" w:hAnsi="Times New Roman" w:eastAsia="仿宋"/>
                <w:sz w:val="21"/>
              </w:rPr>
              <w:t>1项</w:t>
            </w:r>
          </w:p>
        </w:tc>
        <w:tc>
          <w:tcPr>
            <w:tcW w:w="1000" w:type="dxa"/>
            <w:tcBorders>
              <w:top w:val="single" w:color="auto" w:sz="4" w:space="0"/>
              <w:left w:val="single" w:color="auto" w:sz="4" w:space="0"/>
              <w:bottom w:val="single" w:color="auto" w:sz="4" w:space="0"/>
              <w:right w:val="single" w:color="auto" w:sz="4" w:space="0"/>
            </w:tcBorders>
            <w:vAlign w:val="center"/>
          </w:tcPr>
          <w:p w14:paraId="0C640009">
            <w:pPr>
              <w:spacing w:before="20" w:after="20" w:line="300" w:lineRule="auto"/>
              <w:jc w:val="center"/>
            </w:pPr>
            <w:r>
              <w:rPr>
                <w:rFonts w:ascii="Times New Roman" w:hAnsi="Times New Roman" w:eastAsia="仿宋"/>
                <w:sz w:val="21"/>
              </w:rPr>
              <w:t>1.20</w:t>
            </w:r>
          </w:p>
        </w:tc>
        <w:tc>
          <w:tcPr>
            <w:tcW w:w="1000" w:type="dxa"/>
            <w:tcBorders>
              <w:top w:val="single" w:color="auto" w:sz="4" w:space="0"/>
              <w:left w:val="single" w:color="auto" w:sz="4" w:space="0"/>
              <w:bottom w:val="single" w:color="auto" w:sz="4" w:space="0"/>
              <w:right w:val="single" w:color="auto" w:sz="4" w:space="0"/>
            </w:tcBorders>
            <w:vAlign w:val="center"/>
          </w:tcPr>
          <w:p w14:paraId="502DBFE5">
            <w:pPr>
              <w:spacing w:before="20" w:after="20" w:line="300" w:lineRule="auto"/>
              <w:jc w:val="center"/>
            </w:pPr>
            <w:r>
              <w:rPr>
                <w:rFonts w:ascii="Times New Roman" w:hAnsi="Times New Roman" w:eastAsia="仿宋"/>
                <w:sz w:val="21"/>
              </w:rPr>
              <w:t>1.20</w:t>
            </w:r>
          </w:p>
        </w:tc>
      </w:tr>
      <w:tr w14:paraId="5C37885F">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shd w:val="clear" w:color="auto" w:fill="F2F2F2"/>
            <w:vAlign w:val="center"/>
          </w:tcPr>
          <w:p w14:paraId="0A4467F2">
            <w:pPr>
              <w:spacing w:before="20" w:after="20" w:line="300" w:lineRule="auto"/>
              <w:jc w:val="center"/>
            </w:pPr>
            <w:r>
              <w:rPr>
                <w:rFonts w:ascii="黑体" w:hAnsi="黑体" w:eastAsia="黑体"/>
                <w:b/>
                <w:sz w:val="21"/>
              </w:rPr>
              <w:t>五</w:t>
            </w:r>
          </w:p>
        </w:tc>
        <w:tc>
          <w:tcPr>
            <w:tcW w:w="2000" w:type="dxa"/>
            <w:tcBorders>
              <w:top w:val="single" w:color="auto" w:sz="4" w:space="0"/>
              <w:left w:val="single" w:color="auto" w:sz="4" w:space="0"/>
              <w:bottom w:val="single" w:color="auto" w:sz="4" w:space="0"/>
              <w:right w:val="single" w:color="auto" w:sz="4" w:space="0"/>
            </w:tcBorders>
            <w:shd w:val="clear" w:color="auto" w:fill="F2F2F2"/>
            <w:vAlign w:val="center"/>
          </w:tcPr>
          <w:p w14:paraId="764205B9">
            <w:pPr>
              <w:spacing w:before="20" w:after="20" w:line="300" w:lineRule="auto"/>
              <w:jc w:val="center"/>
            </w:pPr>
            <w:r>
              <w:rPr>
                <w:rFonts w:ascii="黑体" w:hAnsi="黑体" w:eastAsia="黑体"/>
                <w:b/>
                <w:sz w:val="21"/>
              </w:rPr>
              <w:t>应用层适配改造</w:t>
            </w:r>
          </w:p>
        </w:tc>
        <w:tc>
          <w:tcPr>
            <w:tcW w:w="3600" w:type="dxa"/>
            <w:tcBorders>
              <w:top w:val="single" w:color="auto" w:sz="4" w:space="0"/>
              <w:left w:val="single" w:color="auto" w:sz="4" w:space="0"/>
              <w:bottom w:val="single" w:color="auto" w:sz="4" w:space="0"/>
              <w:right w:val="single" w:color="auto" w:sz="4" w:space="0"/>
            </w:tcBorders>
            <w:shd w:val="clear" w:color="auto" w:fill="F2F2F2"/>
            <w:vAlign w:val="center"/>
          </w:tcPr>
          <w:p w14:paraId="29F10CDB">
            <w:pPr>
              <w:spacing w:before="20" w:after="20" w:line="300" w:lineRule="auto"/>
              <w:jc w:val="left"/>
            </w:pPr>
          </w:p>
        </w:tc>
        <w:tc>
          <w:tcPr>
            <w:tcW w:w="800" w:type="dxa"/>
            <w:tcBorders>
              <w:top w:val="single" w:color="auto" w:sz="4" w:space="0"/>
              <w:left w:val="single" w:color="auto" w:sz="4" w:space="0"/>
              <w:bottom w:val="single" w:color="auto" w:sz="4" w:space="0"/>
              <w:right w:val="single" w:color="auto" w:sz="4" w:space="0"/>
            </w:tcBorders>
            <w:shd w:val="clear" w:color="auto" w:fill="F2F2F2"/>
            <w:vAlign w:val="center"/>
          </w:tcPr>
          <w:p w14:paraId="424C1904">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6B7E843B">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0C3E9D70">
            <w:pPr>
              <w:spacing w:before="20" w:after="20" w:line="300" w:lineRule="auto"/>
              <w:jc w:val="center"/>
            </w:pPr>
          </w:p>
        </w:tc>
      </w:tr>
      <w:tr w14:paraId="487064E0">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05E814DB">
            <w:pPr>
              <w:spacing w:before="20" w:after="20" w:line="300" w:lineRule="auto"/>
              <w:jc w:val="center"/>
            </w:pPr>
            <w:r>
              <w:rPr>
                <w:rFonts w:ascii="Times New Roman" w:hAnsi="Times New Roman" w:eastAsia="仿宋"/>
                <w:sz w:val="21"/>
              </w:rPr>
              <w:t>5.1</w:t>
            </w:r>
          </w:p>
        </w:tc>
        <w:tc>
          <w:tcPr>
            <w:tcW w:w="2000" w:type="dxa"/>
            <w:tcBorders>
              <w:top w:val="single" w:color="auto" w:sz="4" w:space="0"/>
              <w:left w:val="single" w:color="auto" w:sz="4" w:space="0"/>
              <w:bottom w:val="single" w:color="auto" w:sz="4" w:space="0"/>
              <w:right w:val="single" w:color="auto" w:sz="4" w:space="0"/>
            </w:tcBorders>
            <w:vAlign w:val="center"/>
          </w:tcPr>
          <w:p w14:paraId="056F58CD">
            <w:pPr>
              <w:spacing w:before="20" w:after="20" w:line="300" w:lineRule="auto"/>
              <w:jc w:val="center"/>
            </w:pPr>
            <w:r>
              <w:rPr>
                <w:rFonts w:ascii="Times New Roman" w:hAnsi="Times New Roman" w:eastAsia="仿宋"/>
                <w:sz w:val="21"/>
              </w:rPr>
              <w:t>前端展示层适配</w:t>
            </w:r>
          </w:p>
        </w:tc>
        <w:tc>
          <w:tcPr>
            <w:tcW w:w="3600" w:type="dxa"/>
            <w:tcBorders>
              <w:top w:val="single" w:color="auto" w:sz="4" w:space="0"/>
              <w:left w:val="single" w:color="auto" w:sz="4" w:space="0"/>
              <w:bottom w:val="single" w:color="auto" w:sz="4" w:space="0"/>
              <w:right w:val="single" w:color="auto" w:sz="4" w:space="0"/>
            </w:tcBorders>
            <w:vAlign w:val="center"/>
          </w:tcPr>
          <w:p w14:paraId="3781B6D3">
            <w:pPr>
              <w:spacing w:before="20" w:after="20" w:line="300" w:lineRule="auto"/>
              <w:jc w:val="left"/>
            </w:pPr>
            <w:r>
              <w:rPr>
                <w:rFonts w:ascii="仿宋" w:hAnsi="仿宋" w:eastAsia="仿宋"/>
                <w:sz w:val="21"/>
              </w:rPr>
              <w:t>GIS组件适配、数据可视化图表改造、页面兼容性调整、前后端联调</w:t>
            </w:r>
          </w:p>
        </w:tc>
        <w:tc>
          <w:tcPr>
            <w:tcW w:w="800" w:type="dxa"/>
            <w:tcBorders>
              <w:top w:val="single" w:color="auto" w:sz="4" w:space="0"/>
              <w:left w:val="single" w:color="auto" w:sz="4" w:space="0"/>
              <w:bottom w:val="single" w:color="auto" w:sz="4" w:space="0"/>
              <w:right w:val="single" w:color="auto" w:sz="4" w:space="0"/>
            </w:tcBorders>
            <w:vAlign w:val="center"/>
          </w:tcPr>
          <w:p w14:paraId="1B53CF89">
            <w:pPr>
              <w:spacing w:before="20" w:after="20" w:line="300" w:lineRule="auto"/>
              <w:jc w:val="center"/>
            </w:pPr>
            <w:r>
              <w:rPr>
                <w:rFonts w:ascii="Times New Roman" w:hAnsi="Times New Roman" w:eastAsia="仿宋"/>
                <w:sz w:val="21"/>
              </w:rPr>
              <w:t>1项</w:t>
            </w:r>
          </w:p>
        </w:tc>
        <w:tc>
          <w:tcPr>
            <w:tcW w:w="1000" w:type="dxa"/>
            <w:tcBorders>
              <w:top w:val="single" w:color="auto" w:sz="4" w:space="0"/>
              <w:left w:val="single" w:color="auto" w:sz="4" w:space="0"/>
              <w:bottom w:val="single" w:color="auto" w:sz="4" w:space="0"/>
              <w:right w:val="single" w:color="auto" w:sz="4" w:space="0"/>
            </w:tcBorders>
            <w:vAlign w:val="center"/>
          </w:tcPr>
          <w:p w14:paraId="4C9B0A76">
            <w:pPr>
              <w:spacing w:before="20" w:after="20" w:line="300" w:lineRule="auto"/>
              <w:jc w:val="center"/>
            </w:pPr>
            <w:r>
              <w:rPr>
                <w:rFonts w:ascii="Times New Roman" w:hAnsi="Times New Roman" w:eastAsia="仿宋"/>
                <w:sz w:val="21"/>
              </w:rPr>
              <w:t>4.40</w:t>
            </w:r>
          </w:p>
        </w:tc>
        <w:tc>
          <w:tcPr>
            <w:tcW w:w="1000" w:type="dxa"/>
            <w:tcBorders>
              <w:top w:val="single" w:color="auto" w:sz="4" w:space="0"/>
              <w:left w:val="single" w:color="auto" w:sz="4" w:space="0"/>
              <w:bottom w:val="single" w:color="auto" w:sz="4" w:space="0"/>
              <w:right w:val="single" w:color="auto" w:sz="4" w:space="0"/>
            </w:tcBorders>
            <w:vAlign w:val="center"/>
          </w:tcPr>
          <w:p w14:paraId="5533871E">
            <w:pPr>
              <w:spacing w:before="20" w:after="20" w:line="300" w:lineRule="auto"/>
              <w:jc w:val="center"/>
            </w:pPr>
            <w:r>
              <w:rPr>
                <w:rFonts w:ascii="Times New Roman" w:hAnsi="Times New Roman" w:eastAsia="仿宋"/>
                <w:sz w:val="21"/>
              </w:rPr>
              <w:t>4.40</w:t>
            </w:r>
          </w:p>
        </w:tc>
      </w:tr>
      <w:tr w14:paraId="364C185D">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07E0ECBE">
            <w:pPr>
              <w:spacing w:before="20" w:after="20" w:line="300" w:lineRule="auto"/>
              <w:jc w:val="center"/>
            </w:pPr>
            <w:r>
              <w:rPr>
                <w:rFonts w:ascii="Times New Roman" w:hAnsi="Times New Roman" w:eastAsia="仿宋"/>
                <w:sz w:val="21"/>
              </w:rPr>
              <w:t>5.2</w:t>
            </w:r>
          </w:p>
        </w:tc>
        <w:tc>
          <w:tcPr>
            <w:tcW w:w="2000" w:type="dxa"/>
            <w:tcBorders>
              <w:top w:val="single" w:color="auto" w:sz="4" w:space="0"/>
              <w:left w:val="single" w:color="auto" w:sz="4" w:space="0"/>
              <w:bottom w:val="single" w:color="auto" w:sz="4" w:space="0"/>
              <w:right w:val="single" w:color="auto" w:sz="4" w:space="0"/>
            </w:tcBorders>
            <w:vAlign w:val="center"/>
          </w:tcPr>
          <w:p w14:paraId="606C3304">
            <w:pPr>
              <w:spacing w:before="20" w:after="20" w:line="300" w:lineRule="auto"/>
              <w:jc w:val="center"/>
            </w:pPr>
            <w:r>
              <w:rPr>
                <w:rFonts w:ascii="Times New Roman" w:hAnsi="Times New Roman" w:eastAsia="仿宋"/>
                <w:sz w:val="21"/>
              </w:rPr>
              <w:t>业务模块功能适配</w:t>
            </w:r>
          </w:p>
        </w:tc>
        <w:tc>
          <w:tcPr>
            <w:tcW w:w="3600" w:type="dxa"/>
            <w:tcBorders>
              <w:top w:val="single" w:color="auto" w:sz="4" w:space="0"/>
              <w:left w:val="single" w:color="auto" w:sz="4" w:space="0"/>
              <w:bottom w:val="single" w:color="auto" w:sz="4" w:space="0"/>
              <w:right w:val="single" w:color="auto" w:sz="4" w:space="0"/>
            </w:tcBorders>
            <w:vAlign w:val="center"/>
          </w:tcPr>
          <w:p w14:paraId="4D83740E">
            <w:pPr>
              <w:spacing w:before="20" w:after="20" w:line="300" w:lineRule="auto"/>
              <w:jc w:val="left"/>
            </w:pPr>
            <w:r>
              <w:rPr>
                <w:rFonts w:ascii="仿宋" w:hAnsi="仿宋" w:eastAsia="仿宋"/>
                <w:sz w:val="21"/>
              </w:rPr>
              <w:t>各业务模块功能回归测试、接口对接改造、功能验证与修复</w:t>
            </w:r>
          </w:p>
        </w:tc>
        <w:tc>
          <w:tcPr>
            <w:tcW w:w="800" w:type="dxa"/>
            <w:tcBorders>
              <w:top w:val="single" w:color="auto" w:sz="4" w:space="0"/>
              <w:left w:val="single" w:color="auto" w:sz="4" w:space="0"/>
              <w:bottom w:val="single" w:color="auto" w:sz="4" w:space="0"/>
              <w:right w:val="single" w:color="auto" w:sz="4" w:space="0"/>
            </w:tcBorders>
            <w:vAlign w:val="center"/>
          </w:tcPr>
          <w:p w14:paraId="6CE27138">
            <w:pPr>
              <w:spacing w:before="20" w:after="20" w:line="300" w:lineRule="auto"/>
              <w:jc w:val="center"/>
            </w:pPr>
            <w:r>
              <w:rPr>
                <w:rFonts w:ascii="Times New Roman" w:hAnsi="Times New Roman" w:eastAsia="仿宋"/>
                <w:sz w:val="21"/>
              </w:rPr>
              <w:t>1项</w:t>
            </w:r>
          </w:p>
        </w:tc>
        <w:tc>
          <w:tcPr>
            <w:tcW w:w="1000" w:type="dxa"/>
            <w:tcBorders>
              <w:top w:val="single" w:color="auto" w:sz="4" w:space="0"/>
              <w:left w:val="single" w:color="auto" w:sz="4" w:space="0"/>
              <w:bottom w:val="single" w:color="auto" w:sz="4" w:space="0"/>
              <w:right w:val="single" w:color="auto" w:sz="4" w:space="0"/>
            </w:tcBorders>
            <w:vAlign w:val="center"/>
          </w:tcPr>
          <w:p w14:paraId="5C1CABEF">
            <w:pPr>
              <w:spacing w:before="20" w:after="20" w:line="300" w:lineRule="auto"/>
              <w:jc w:val="center"/>
            </w:pPr>
            <w:r>
              <w:rPr>
                <w:rFonts w:ascii="Times New Roman" w:hAnsi="Times New Roman" w:eastAsia="仿宋"/>
                <w:sz w:val="21"/>
              </w:rPr>
              <w:t>2.50</w:t>
            </w:r>
          </w:p>
        </w:tc>
        <w:tc>
          <w:tcPr>
            <w:tcW w:w="1000" w:type="dxa"/>
            <w:tcBorders>
              <w:top w:val="single" w:color="auto" w:sz="4" w:space="0"/>
              <w:left w:val="single" w:color="auto" w:sz="4" w:space="0"/>
              <w:bottom w:val="single" w:color="auto" w:sz="4" w:space="0"/>
              <w:right w:val="single" w:color="auto" w:sz="4" w:space="0"/>
            </w:tcBorders>
            <w:vAlign w:val="center"/>
          </w:tcPr>
          <w:p w14:paraId="7C572C06">
            <w:pPr>
              <w:spacing w:before="20" w:after="20" w:line="300" w:lineRule="auto"/>
              <w:jc w:val="center"/>
            </w:pPr>
            <w:r>
              <w:rPr>
                <w:rFonts w:ascii="Times New Roman" w:hAnsi="Times New Roman" w:eastAsia="仿宋"/>
                <w:sz w:val="21"/>
              </w:rPr>
              <w:t>2.50</w:t>
            </w:r>
          </w:p>
        </w:tc>
      </w:tr>
      <w:tr w14:paraId="7D3AA982">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699F428C">
            <w:pPr>
              <w:spacing w:before="20" w:after="20" w:line="300" w:lineRule="auto"/>
              <w:jc w:val="center"/>
            </w:pPr>
            <w:r>
              <w:rPr>
                <w:rFonts w:ascii="Times New Roman" w:hAnsi="Times New Roman" w:eastAsia="仿宋"/>
                <w:sz w:val="21"/>
              </w:rPr>
              <w:t>5.3</w:t>
            </w:r>
          </w:p>
        </w:tc>
        <w:tc>
          <w:tcPr>
            <w:tcW w:w="2000" w:type="dxa"/>
            <w:tcBorders>
              <w:top w:val="single" w:color="auto" w:sz="4" w:space="0"/>
              <w:left w:val="single" w:color="auto" w:sz="4" w:space="0"/>
              <w:bottom w:val="single" w:color="auto" w:sz="4" w:space="0"/>
              <w:right w:val="single" w:color="auto" w:sz="4" w:space="0"/>
            </w:tcBorders>
            <w:vAlign w:val="center"/>
          </w:tcPr>
          <w:p w14:paraId="153A3F82">
            <w:pPr>
              <w:spacing w:before="20" w:after="20" w:line="300" w:lineRule="auto"/>
              <w:jc w:val="center"/>
            </w:pPr>
            <w:r>
              <w:rPr>
                <w:rFonts w:ascii="Times New Roman" w:hAnsi="Times New Roman" w:eastAsia="仿宋"/>
                <w:sz w:val="21"/>
              </w:rPr>
              <w:t>性能优化与安全加固</w:t>
            </w:r>
          </w:p>
        </w:tc>
        <w:tc>
          <w:tcPr>
            <w:tcW w:w="3600" w:type="dxa"/>
            <w:tcBorders>
              <w:top w:val="single" w:color="auto" w:sz="4" w:space="0"/>
              <w:left w:val="single" w:color="auto" w:sz="4" w:space="0"/>
              <w:bottom w:val="single" w:color="auto" w:sz="4" w:space="0"/>
              <w:right w:val="single" w:color="auto" w:sz="4" w:space="0"/>
            </w:tcBorders>
            <w:vAlign w:val="center"/>
          </w:tcPr>
          <w:p w14:paraId="7FA4595B">
            <w:pPr>
              <w:spacing w:before="20" w:after="20" w:line="300" w:lineRule="auto"/>
              <w:jc w:val="left"/>
            </w:pPr>
            <w:r>
              <w:rPr>
                <w:rFonts w:ascii="仿宋" w:hAnsi="仿宋" w:eastAsia="仿宋"/>
                <w:sz w:val="21"/>
              </w:rPr>
              <w:t>全链路性能调优、SQL优化、JVM调优、安全漏洞修复、国密算法适配</w:t>
            </w:r>
          </w:p>
        </w:tc>
        <w:tc>
          <w:tcPr>
            <w:tcW w:w="800" w:type="dxa"/>
            <w:tcBorders>
              <w:top w:val="single" w:color="auto" w:sz="4" w:space="0"/>
              <w:left w:val="single" w:color="auto" w:sz="4" w:space="0"/>
              <w:bottom w:val="single" w:color="auto" w:sz="4" w:space="0"/>
              <w:right w:val="single" w:color="auto" w:sz="4" w:space="0"/>
            </w:tcBorders>
            <w:vAlign w:val="center"/>
          </w:tcPr>
          <w:p w14:paraId="27E7E43A">
            <w:pPr>
              <w:spacing w:before="20" w:after="20" w:line="300" w:lineRule="auto"/>
              <w:jc w:val="center"/>
            </w:pPr>
            <w:r>
              <w:rPr>
                <w:rFonts w:ascii="Times New Roman" w:hAnsi="Times New Roman" w:eastAsia="仿宋"/>
                <w:sz w:val="21"/>
              </w:rPr>
              <w:t>1项</w:t>
            </w:r>
          </w:p>
        </w:tc>
        <w:tc>
          <w:tcPr>
            <w:tcW w:w="1000" w:type="dxa"/>
            <w:tcBorders>
              <w:top w:val="single" w:color="auto" w:sz="4" w:space="0"/>
              <w:left w:val="single" w:color="auto" w:sz="4" w:space="0"/>
              <w:bottom w:val="single" w:color="auto" w:sz="4" w:space="0"/>
              <w:right w:val="single" w:color="auto" w:sz="4" w:space="0"/>
            </w:tcBorders>
            <w:vAlign w:val="center"/>
          </w:tcPr>
          <w:p w14:paraId="4E903205">
            <w:pPr>
              <w:spacing w:before="20" w:after="20" w:line="300" w:lineRule="auto"/>
              <w:jc w:val="center"/>
            </w:pPr>
            <w:r>
              <w:rPr>
                <w:rFonts w:ascii="Times New Roman" w:hAnsi="Times New Roman" w:eastAsia="仿宋"/>
                <w:sz w:val="21"/>
              </w:rPr>
              <w:t>1.50</w:t>
            </w:r>
          </w:p>
        </w:tc>
        <w:tc>
          <w:tcPr>
            <w:tcW w:w="1000" w:type="dxa"/>
            <w:tcBorders>
              <w:top w:val="single" w:color="auto" w:sz="4" w:space="0"/>
              <w:left w:val="single" w:color="auto" w:sz="4" w:space="0"/>
              <w:bottom w:val="single" w:color="auto" w:sz="4" w:space="0"/>
              <w:right w:val="single" w:color="auto" w:sz="4" w:space="0"/>
            </w:tcBorders>
            <w:vAlign w:val="center"/>
          </w:tcPr>
          <w:p w14:paraId="19C5A912">
            <w:pPr>
              <w:spacing w:before="20" w:after="20" w:line="300" w:lineRule="auto"/>
              <w:jc w:val="center"/>
            </w:pPr>
            <w:r>
              <w:rPr>
                <w:rFonts w:ascii="Times New Roman" w:hAnsi="Times New Roman" w:eastAsia="仿宋"/>
                <w:sz w:val="21"/>
              </w:rPr>
              <w:t>1.50</w:t>
            </w:r>
          </w:p>
        </w:tc>
      </w:tr>
      <w:tr w14:paraId="1915A46D">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shd w:val="clear" w:color="auto" w:fill="F2F2F2"/>
            <w:vAlign w:val="center"/>
          </w:tcPr>
          <w:p w14:paraId="651D837C">
            <w:pPr>
              <w:spacing w:before="20" w:after="20" w:line="300" w:lineRule="auto"/>
              <w:jc w:val="center"/>
            </w:pPr>
            <w:r>
              <w:rPr>
                <w:rFonts w:ascii="黑体" w:hAnsi="黑体" w:eastAsia="黑体"/>
                <w:b/>
                <w:sz w:val="21"/>
              </w:rPr>
              <w:t>六</w:t>
            </w:r>
          </w:p>
        </w:tc>
        <w:tc>
          <w:tcPr>
            <w:tcW w:w="2000" w:type="dxa"/>
            <w:tcBorders>
              <w:top w:val="single" w:color="auto" w:sz="4" w:space="0"/>
              <w:left w:val="single" w:color="auto" w:sz="4" w:space="0"/>
              <w:bottom w:val="single" w:color="auto" w:sz="4" w:space="0"/>
              <w:right w:val="single" w:color="auto" w:sz="4" w:space="0"/>
            </w:tcBorders>
            <w:shd w:val="clear" w:color="auto" w:fill="F2F2F2"/>
            <w:vAlign w:val="center"/>
          </w:tcPr>
          <w:p w14:paraId="6B26A05B">
            <w:pPr>
              <w:spacing w:before="20" w:after="20" w:line="300" w:lineRule="auto"/>
              <w:jc w:val="center"/>
            </w:pPr>
            <w:r>
              <w:rPr>
                <w:rFonts w:ascii="黑体" w:hAnsi="黑体" w:eastAsia="黑体"/>
                <w:b/>
                <w:sz w:val="21"/>
              </w:rPr>
              <w:t>测试与验证</w:t>
            </w:r>
          </w:p>
        </w:tc>
        <w:tc>
          <w:tcPr>
            <w:tcW w:w="3600" w:type="dxa"/>
            <w:tcBorders>
              <w:top w:val="single" w:color="auto" w:sz="4" w:space="0"/>
              <w:left w:val="single" w:color="auto" w:sz="4" w:space="0"/>
              <w:bottom w:val="single" w:color="auto" w:sz="4" w:space="0"/>
              <w:right w:val="single" w:color="auto" w:sz="4" w:space="0"/>
            </w:tcBorders>
            <w:shd w:val="clear" w:color="auto" w:fill="F2F2F2"/>
            <w:vAlign w:val="center"/>
          </w:tcPr>
          <w:p w14:paraId="039AB608">
            <w:pPr>
              <w:spacing w:before="20" w:after="20" w:line="300" w:lineRule="auto"/>
              <w:jc w:val="left"/>
            </w:pPr>
          </w:p>
        </w:tc>
        <w:tc>
          <w:tcPr>
            <w:tcW w:w="800" w:type="dxa"/>
            <w:tcBorders>
              <w:top w:val="single" w:color="auto" w:sz="4" w:space="0"/>
              <w:left w:val="single" w:color="auto" w:sz="4" w:space="0"/>
              <w:bottom w:val="single" w:color="auto" w:sz="4" w:space="0"/>
              <w:right w:val="single" w:color="auto" w:sz="4" w:space="0"/>
            </w:tcBorders>
            <w:shd w:val="clear" w:color="auto" w:fill="F2F2F2"/>
            <w:vAlign w:val="center"/>
          </w:tcPr>
          <w:p w14:paraId="7775DABA">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1DE7FDFF">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601C5FF9">
            <w:pPr>
              <w:spacing w:before="20" w:after="20" w:line="300" w:lineRule="auto"/>
              <w:jc w:val="center"/>
            </w:pPr>
          </w:p>
        </w:tc>
      </w:tr>
      <w:tr w14:paraId="7901C3DB">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614537FA">
            <w:pPr>
              <w:spacing w:before="20" w:after="20" w:line="300" w:lineRule="auto"/>
              <w:jc w:val="center"/>
            </w:pPr>
            <w:r>
              <w:rPr>
                <w:rFonts w:ascii="Times New Roman" w:hAnsi="Times New Roman" w:eastAsia="仿宋"/>
                <w:sz w:val="21"/>
              </w:rPr>
              <w:t>6.1</w:t>
            </w:r>
          </w:p>
        </w:tc>
        <w:tc>
          <w:tcPr>
            <w:tcW w:w="2000" w:type="dxa"/>
            <w:tcBorders>
              <w:top w:val="single" w:color="auto" w:sz="4" w:space="0"/>
              <w:left w:val="single" w:color="auto" w:sz="4" w:space="0"/>
              <w:bottom w:val="single" w:color="auto" w:sz="4" w:space="0"/>
              <w:right w:val="single" w:color="auto" w:sz="4" w:space="0"/>
            </w:tcBorders>
            <w:vAlign w:val="center"/>
          </w:tcPr>
          <w:p w14:paraId="20080122">
            <w:pPr>
              <w:spacing w:before="20" w:after="20" w:line="300" w:lineRule="auto"/>
              <w:jc w:val="center"/>
            </w:pPr>
            <w:r>
              <w:rPr>
                <w:rFonts w:ascii="Times New Roman" w:hAnsi="Times New Roman" w:eastAsia="仿宋"/>
                <w:sz w:val="21"/>
              </w:rPr>
              <w:t>系统测试</w:t>
            </w:r>
          </w:p>
        </w:tc>
        <w:tc>
          <w:tcPr>
            <w:tcW w:w="3600" w:type="dxa"/>
            <w:tcBorders>
              <w:top w:val="single" w:color="auto" w:sz="4" w:space="0"/>
              <w:left w:val="single" w:color="auto" w:sz="4" w:space="0"/>
              <w:bottom w:val="single" w:color="auto" w:sz="4" w:space="0"/>
              <w:right w:val="single" w:color="auto" w:sz="4" w:space="0"/>
            </w:tcBorders>
            <w:vAlign w:val="center"/>
          </w:tcPr>
          <w:p w14:paraId="4F17C6EB">
            <w:pPr>
              <w:spacing w:before="20" w:after="20" w:line="300" w:lineRule="auto"/>
              <w:jc w:val="left"/>
            </w:pPr>
            <w:r>
              <w:rPr>
                <w:rFonts w:ascii="仿宋" w:hAnsi="仿宋" w:eastAsia="仿宋"/>
                <w:sz w:val="21"/>
              </w:rPr>
              <w:t>功能测试、性能测试、压力测试、安全扫描、兼容性测试</w:t>
            </w:r>
          </w:p>
        </w:tc>
        <w:tc>
          <w:tcPr>
            <w:tcW w:w="800" w:type="dxa"/>
            <w:tcBorders>
              <w:top w:val="single" w:color="auto" w:sz="4" w:space="0"/>
              <w:left w:val="single" w:color="auto" w:sz="4" w:space="0"/>
              <w:bottom w:val="single" w:color="auto" w:sz="4" w:space="0"/>
              <w:right w:val="single" w:color="auto" w:sz="4" w:space="0"/>
            </w:tcBorders>
            <w:vAlign w:val="center"/>
          </w:tcPr>
          <w:p w14:paraId="1AF98741">
            <w:pPr>
              <w:spacing w:before="20" w:after="20" w:line="300" w:lineRule="auto"/>
              <w:jc w:val="center"/>
            </w:pPr>
            <w:r>
              <w:rPr>
                <w:rFonts w:ascii="Times New Roman" w:hAnsi="Times New Roman" w:eastAsia="仿宋"/>
                <w:sz w:val="21"/>
              </w:rPr>
              <w:t>1项</w:t>
            </w:r>
          </w:p>
        </w:tc>
        <w:tc>
          <w:tcPr>
            <w:tcW w:w="1000" w:type="dxa"/>
            <w:tcBorders>
              <w:top w:val="single" w:color="auto" w:sz="4" w:space="0"/>
              <w:left w:val="single" w:color="auto" w:sz="4" w:space="0"/>
              <w:bottom w:val="single" w:color="auto" w:sz="4" w:space="0"/>
              <w:right w:val="single" w:color="auto" w:sz="4" w:space="0"/>
            </w:tcBorders>
            <w:vAlign w:val="center"/>
          </w:tcPr>
          <w:p w14:paraId="2D887A8D">
            <w:pPr>
              <w:spacing w:before="20" w:after="20" w:line="300" w:lineRule="auto"/>
              <w:jc w:val="center"/>
            </w:pPr>
            <w:r>
              <w:rPr>
                <w:rFonts w:ascii="Times New Roman" w:hAnsi="Times New Roman" w:eastAsia="仿宋"/>
                <w:sz w:val="21"/>
              </w:rPr>
              <w:t>1.00</w:t>
            </w:r>
          </w:p>
        </w:tc>
        <w:tc>
          <w:tcPr>
            <w:tcW w:w="1000" w:type="dxa"/>
            <w:tcBorders>
              <w:top w:val="single" w:color="auto" w:sz="4" w:space="0"/>
              <w:left w:val="single" w:color="auto" w:sz="4" w:space="0"/>
              <w:bottom w:val="single" w:color="auto" w:sz="4" w:space="0"/>
              <w:right w:val="single" w:color="auto" w:sz="4" w:space="0"/>
            </w:tcBorders>
            <w:vAlign w:val="center"/>
          </w:tcPr>
          <w:p w14:paraId="6381F249">
            <w:pPr>
              <w:spacing w:before="20" w:after="20" w:line="300" w:lineRule="auto"/>
              <w:jc w:val="center"/>
            </w:pPr>
            <w:r>
              <w:rPr>
                <w:rFonts w:ascii="Times New Roman" w:hAnsi="Times New Roman" w:eastAsia="仿宋"/>
                <w:sz w:val="21"/>
              </w:rPr>
              <w:t>1.00</w:t>
            </w:r>
          </w:p>
        </w:tc>
      </w:tr>
      <w:tr w14:paraId="34B0BBC5">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04732BAA">
            <w:pPr>
              <w:spacing w:before="20" w:after="20" w:line="300" w:lineRule="auto"/>
              <w:jc w:val="center"/>
            </w:pPr>
            <w:r>
              <w:rPr>
                <w:rFonts w:ascii="Times New Roman" w:hAnsi="Times New Roman" w:eastAsia="仿宋"/>
                <w:sz w:val="21"/>
              </w:rPr>
              <w:t>6.2</w:t>
            </w:r>
          </w:p>
        </w:tc>
        <w:tc>
          <w:tcPr>
            <w:tcW w:w="2000" w:type="dxa"/>
            <w:tcBorders>
              <w:top w:val="single" w:color="auto" w:sz="4" w:space="0"/>
              <w:left w:val="single" w:color="auto" w:sz="4" w:space="0"/>
              <w:bottom w:val="single" w:color="auto" w:sz="4" w:space="0"/>
              <w:right w:val="single" w:color="auto" w:sz="4" w:space="0"/>
            </w:tcBorders>
            <w:vAlign w:val="center"/>
          </w:tcPr>
          <w:p w14:paraId="22D70402">
            <w:pPr>
              <w:spacing w:before="20" w:after="20" w:line="300" w:lineRule="auto"/>
              <w:jc w:val="center"/>
            </w:pPr>
            <w:r>
              <w:rPr>
                <w:rFonts w:ascii="Times New Roman" w:hAnsi="Times New Roman" w:eastAsia="仿宋"/>
                <w:sz w:val="21"/>
              </w:rPr>
              <w:t>联调与上线保障</w:t>
            </w:r>
          </w:p>
        </w:tc>
        <w:tc>
          <w:tcPr>
            <w:tcW w:w="3600" w:type="dxa"/>
            <w:tcBorders>
              <w:top w:val="single" w:color="auto" w:sz="4" w:space="0"/>
              <w:left w:val="single" w:color="auto" w:sz="4" w:space="0"/>
              <w:bottom w:val="single" w:color="auto" w:sz="4" w:space="0"/>
              <w:right w:val="single" w:color="auto" w:sz="4" w:space="0"/>
            </w:tcBorders>
            <w:vAlign w:val="center"/>
          </w:tcPr>
          <w:p w14:paraId="56A29344">
            <w:pPr>
              <w:spacing w:before="20" w:after="20" w:line="300" w:lineRule="auto"/>
              <w:jc w:val="left"/>
            </w:pPr>
            <w:r>
              <w:rPr>
                <w:rFonts w:ascii="仿宋" w:hAnsi="仿宋" w:eastAsia="仿宋"/>
                <w:sz w:val="21"/>
              </w:rPr>
              <w:t>系统联调测试、分批次切换支持、上线值守、问题应急处理</w:t>
            </w:r>
          </w:p>
        </w:tc>
        <w:tc>
          <w:tcPr>
            <w:tcW w:w="800" w:type="dxa"/>
            <w:tcBorders>
              <w:top w:val="single" w:color="auto" w:sz="4" w:space="0"/>
              <w:left w:val="single" w:color="auto" w:sz="4" w:space="0"/>
              <w:bottom w:val="single" w:color="auto" w:sz="4" w:space="0"/>
              <w:right w:val="single" w:color="auto" w:sz="4" w:space="0"/>
            </w:tcBorders>
            <w:vAlign w:val="center"/>
          </w:tcPr>
          <w:p w14:paraId="39B05201">
            <w:pPr>
              <w:spacing w:before="20" w:after="20" w:line="300" w:lineRule="auto"/>
              <w:jc w:val="center"/>
            </w:pPr>
            <w:r>
              <w:rPr>
                <w:rFonts w:ascii="Times New Roman" w:hAnsi="Times New Roman" w:eastAsia="仿宋"/>
                <w:sz w:val="21"/>
              </w:rPr>
              <w:t>1项</w:t>
            </w:r>
          </w:p>
        </w:tc>
        <w:tc>
          <w:tcPr>
            <w:tcW w:w="1000" w:type="dxa"/>
            <w:tcBorders>
              <w:top w:val="single" w:color="auto" w:sz="4" w:space="0"/>
              <w:left w:val="single" w:color="auto" w:sz="4" w:space="0"/>
              <w:bottom w:val="single" w:color="auto" w:sz="4" w:space="0"/>
              <w:right w:val="single" w:color="auto" w:sz="4" w:space="0"/>
            </w:tcBorders>
            <w:vAlign w:val="center"/>
          </w:tcPr>
          <w:p w14:paraId="19DE9C39">
            <w:pPr>
              <w:spacing w:before="20" w:after="20" w:line="300" w:lineRule="auto"/>
              <w:jc w:val="center"/>
            </w:pPr>
            <w:r>
              <w:rPr>
                <w:rFonts w:ascii="Times New Roman" w:hAnsi="Times New Roman" w:eastAsia="仿宋"/>
                <w:sz w:val="21"/>
              </w:rPr>
              <w:t>0.60</w:t>
            </w:r>
          </w:p>
        </w:tc>
        <w:tc>
          <w:tcPr>
            <w:tcW w:w="1000" w:type="dxa"/>
            <w:tcBorders>
              <w:top w:val="single" w:color="auto" w:sz="4" w:space="0"/>
              <w:left w:val="single" w:color="auto" w:sz="4" w:space="0"/>
              <w:bottom w:val="single" w:color="auto" w:sz="4" w:space="0"/>
              <w:right w:val="single" w:color="auto" w:sz="4" w:space="0"/>
            </w:tcBorders>
            <w:vAlign w:val="center"/>
          </w:tcPr>
          <w:p w14:paraId="0DED929A">
            <w:pPr>
              <w:spacing w:before="20" w:after="20" w:line="300" w:lineRule="auto"/>
              <w:jc w:val="center"/>
            </w:pPr>
            <w:r>
              <w:rPr>
                <w:rFonts w:ascii="Times New Roman" w:hAnsi="Times New Roman" w:eastAsia="仿宋"/>
                <w:sz w:val="21"/>
              </w:rPr>
              <w:t>0.60</w:t>
            </w:r>
          </w:p>
        </w:tc>
      </w:tr>
      <w:tr w14:paraId="37B87370">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shd w:val="clear" w:color="auto" w:fill="F2F2F2"/>
            <w:vAlign w:val="center"/>
          </w:tcPr>
          <w:p w14:paraId="259B229C">
            <w:pPr>
              <w:spacing w:before="20" w:after="20" w:line="300" w:lineRule="auto"/>
              <w:jc w:val="center"/>
            </w:pPr>
            <w:r>
              <w:rPr>
                <w:rFonts w:ascii="黑体" w:hAnsi="黑体" w:eastAsia="黑体"/>
                <w:b/>
                <w:sz w:val="21"/>
              </w:rPr>
              <w:t>七</w:t>
            </w:r>
          </w:p>
        </w:tc>
        <w:tc>
          <w:tcPr>
            <w:tcW w:w="2000" w:type="dxa"/>
            <w:tcBorders>
              <w:top w:val="single" w:color="auto" w:sz="4" w:space="0"/>
              <w:left w:val="single" w:color="auto" w:sz="4" w:space="0"/>
              <w:bottom w:val="single" w:color="auto" w:sz="4" w:space="0"/>
              <w:right w:val="single" w:color="auto" w:sz="4" w:space="0"/>
            </w:tcBorders>
            <w:shd w:val="clear" w:color="auto" w:fill="F2F2F2"/>
            <w:vAlign w:val="center"/>
          </w:tcPr>
          <w:p w14:paraId="1F34F675">
            <w:pPr>
              <w:spacing w:before="20" w:after="20" w:line="300" w:lineRule="auto"/>
              <w:jc w:val="center"/>
            </w:pPr>
            <w:r>
              <w:rPr>
                <w:rFonts w:ascii="黑体" w:hAnsi="黑体" w:eastAsia="黑体"/>
                <w:b/>
                <w:sz w:val="21"/>
              </w:rPr>
              <w:t>培训与文档</w:t>
            </w:r>
          </w:p>
        </w:tc>
        <w:tc>
          <w:tcPr>
            <w:tcW w:w="3600" w:type="dxa"/>
            <w:tcBorders>
              <w:top w:val="single" w:color="auto" w:sz="4" w:space="0"/>
              <w:left w:val="single" w:color="auto" w:sz="4" w:space="0"/>
              <w:bottom w:val="single" w:color="auto" w:sz="4" w:space="0"/>
              <w:right w:val="single" w:color="auto" w:sz="4" w:space="0"/>
            </w:tcBorders>
            <w:shd w:val="clear" w:color="auto" w:fill="F2F2F2"/>
            <w:vAlign w:val="center"/>
          </w:tcPr>
          <w:p w14:paraId="71C41C19">
            <w:pPr>
              <w:spacing w:before="20" w:after="20" w:line="300" w:lineRule="auto"/>
              <w:jc w:val="left"/>
            </w:pPr>
          </w:p>
        </w:tc>
        <w:tc>
          <w:tcPr>
            <w:tcW w:w="800" w:type="dxa"/>
            <w:tcBorders>
              <w:top w:val="single" w:color="auto" w:sz="4" w:space="0"/>
              <w:left w:val="single" w:color="auto" w:sz="4" w:space="0"/>
              <w:bottom w:val="single" w:color="auto" w:sz="4" w:space="0"/>
              <w:right w:val="single" w:color="auto" w:sz="4" w:space="0"/>
            </w:tcBorders>
            <w:shd w:val="clear" w:color="auto" w:fill="F2F2F2"/>
            <w:vAlign w:val="center"/>
          </w:tcPr>
          <w:p w14:paraId="1B072CD1">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57DF8307">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58A28C47">
            <w:pPr>
              <w:spacing w:before="20" w:after="20" w:line="300" w:lineRule="auto"/>
              <w:jc w:val="center"/>
            </w:pPr>
          </w:p>
        </w:tc>
      </w:tr>
      <w:tr w14:paraId="24AACB68">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63994936">
            <w:pPr>
              <w:spacing w:before="20" w:after="20" w:line="300" w:lineRule="auto"/>
              <w:jc w:val="center"/>
            </w:pPr>
            <w:r>
              <w:rPr>
                <w:rFonts w:ascii="Times New Roman" w:hAnsi="Times New Roman" w:eastAsia="仿宋"/>
                <w:sz w:val="21"/>
              </w:rPr>
              <w:t>7.1</w:t>
            </w:r>
          </w:p>
        </w:tc>
        <w:tc>
          <w:tcPr>
            <w:tcW w:w="2000" w:type="dxa"/>
            <w:tcBorders>
              <w:top w:val="single" w:color="auto" w:sz="4" w:space="0"/>
              <w:left w:val="single" w:color="auto" w:sz="4" w:space="0"/>
              <w:bottom w:val="single" w:color="auto" w:sz="4" w:space="0"/>
              <w:right w:val="single" w:color="auto" w:sz="4" w:space="0"/>
            </w:tcBorders>
            <w:vAlign w:val="center"/>
          </w:tcPr>
          <w:p w14:paraId="5477CAFD">
            <w:pPr>
              <w:spacing w:before="20" w:after="20" w:line="300" w:lineRule="auto"/>
              <w:jc w:val="center"/>
            </w:pPr>
            <w:r>
              <w:rPr>
                <w:rFonts w:ascii="Times New Roman" w:hAnsi="Times New Roman" w:eastAsia="仿宋"/>
                <w:sz w:val="21"/>
              </w:rPr>
              <w:t>技术培训</w:t>
            </w:r>
          </w:p>
        </w:tc>
        <w:tc>
          <w:tcPr>
            <w:tcW w:w="3600" w:type="dxa"/>
            <w:tcBorders>
              <w:top w:val="single" w:color="auto" w:sz="4" w:space="0"/>
              <w:left w:val="single" w:color="auto" w:sz="4" w:space="0"/>
              <w:bottom w:val="single" w:color="auto" w:sz="4" w:space="0"/>
              <w:right w:val="single" w:color="auto" w:sz="4" w:space="0"/>
            </w:tcBorders>
            <w:vAlign w:val="center"/>
          </w:tcPr>
          <w:p w14:paraId="64766CFC">
            <w:pPr>
              <w:spacing w:before="20" w:after="20" w:line="300" w:lineRule="auto"/>
              <w:jc w:val="left"/>
            </w:pPr>
            <w:r>
              <w:rPr>
                <w:rFonts w:ascii="仿宋" w:hAnsi="仿宋" w:eastAsia="仿宋"/>
                <w:sz w:val="21"/>
              </w:rPr>
              <w:t>国产化环境操作培训（5天/40学时）、运维及开发人员技术转移</w:t>
            </w:r>
          </w:p>
        </w:tc>
        <w:tc>
          <w:tcPr>
            <w:tcW w:w="800" w:type="dxa"/>
            <w:tcBorders>
              <w:top w:val="single" w:color="auto" w:sz="4" w:space="0"/>
              <w:left w:val="single" w:color="auto" w:sz="4" w:space="0"/>
              <w:bottom w:val="single" w:color="auto" w:sz="4" w:space="0"/>
              <w:right w:val="single" w:color="auto" w:sz="4" w:space="0"/>
            </w:tcBorders>
            <w:vAlign w:val="center"/>
          </w:tcPr>
          <w:p w14:paraId="62EE45D4">
            <w:pPr>
              <w:spacing w:before="20" w:after="20" w:line="300" w:lineRule="auto"/>
              <w:jc w:val="center"/>
            </w:pPr>
            <w:r>
              <w:rPr>
                <w:rFonts w:ascii="Times New Roman" w:hAnsi="Times New Roman" w:eastAsia="仿宋"/>
                <w:sz w:val="21"/>
              </w:rPr>
              <w:t>1项</w:t>
            </w:r>
          </w:p>
        </w:tc>
        <w:tc>
          <w:tcPr>
            <w:tcW w:w="1000" w:type="dxa"/>
            <w:tcBorders>
              <w:top w:val="single" w:color="auto" w:sz="4" w:space="0"/>
              <w:left w:val="single" w:color="auto" w:sz="4" w:space="0"/>
              <w:bottom w:val="single" w:color="auto" w:sz="4" w:space="0"/>
              <w:right w:val="single" w:color="auto" w:sz="4" w:space="0"/>
            </w:tcBorders>
            <w:vAlign w:val="center"/>
          </w:tcPr>
          <w:p w14:paraId="38C82032">
            <w:pPr>
              <w:spacing w:before="20" w:after="20" w:line="300" w:lineRule="auto"/>
              <w:jc w:val="center"/>
            </w:pPr>
            <w:r>
              <w:rPr>
                <w:rFonts w:ascii="Times New Roman" w:hAnsi="Times New Roman" w:eastAsia="仿宋"/>
                <w:sz w:val="21"/>
              </w:rPr>
              <w:t>0.80</w:t>
            </w:r>
          </w:p>
        </w:tc>
        <w:tc>
          <w:tcPr>
            <w:tcW w:w="1000" w:type="dxa"/>
            <w:tcBorders>
              <w:top w:val="single" w:color="auto" w:sz="4" w:space="0"/>
              <w:left w:val="single" w:color="auto" w:sz="4" w:space="0"/>
              <w:bottom w:val="single" w:color="auto" w:sz="4" w:space="0"/>
              <w:right w:val="single" w:color="auto" w:sz="4" w:space="0"/>
            </w:tcBorders>
            <w:vAlign w:val="center"/>
          </w:tcPr>
          <w:p w14:paraId="227B5DEE">
            <w:pPr>
              <w:spacing w:before="20" w:after="20" w:line="300" w:lineRule="auto"/>
              <w:jc w:val="center"/>
            </w:pPr>
            <w:r>
              <w:rPr>
                <w:rFonts w:ascii="Times New Roman" w:hAnsi="Times New Roman" w:eastAsia="仿宋"/>
                <w:sz w:val="21"/>
              </w:rPr>
              <w:t>0.80</w:t>
            </w:r>
          </w:p>
        </w:tc>
      </w:tr>
      <w:tr w14:paraId="3FEB2CF8">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vAlign w:val="center"/>
          </w:tcPr>
          <w:p w14:paraId="59C5E4CE">
            <w:pPr>
              <w:spacing w:before="20" w:after="20" w:line="300" w:lineRule="auto"/>
              <w:jc w:val="center"/>
            </w:pPr>
            <w:r>
              <w:rPr>
                <w:rFonts w:ascii="Times New Roman" w:hAnsi="Times New Roman" w:eastAsia="仿宋"/>
                <w:sz w:val="21"/>
              </w:rPr>
              <w:t>7.2</w:t>
            </w:r>
          </w:p>
        </w:tc>
        <w:tc>
          <w:tcPr>
            <w:tcW w:w="2000" w:type="dxa"/>
            <w:tcBorders>
              <w:top w:val="single" w:color="auto" w:sz="4" w:space="0"/>
              <w:left w:val="single" w:color="auto" w:sz="4" w:space="0"/>
              <w:bottom w:val="single" w:color="auto" w:sz="4" w:space="0"/>
              <w:right w:val="single" w:color="auto" w:sz="4" w:space="0"/>
            </w:tcBorders>
            <w:vAlign w:val="center"/>
          </w:tcPr>
          <w:p w14:paraId="382C6DF8">
            <w:pPr>
              <w:spacing w:before="20" w:after="20" w:line="300" w:lineRule="auto"/>
              <w:jc w:val="center"/>
            </w:pPr>
            <w:r>
              <w:rPr>
                <w:rFonts w:ascii="Times New Roman" w:hAnsi="Times New Roman" w:eastAsia="仿宋"/>
                <w:sz w:val="21"/>
              </w:rPr>
              <w:t>文档交付</w:t>
            </w:r>
          </w:p>
        </w:tc>
        <w:tc>
          <w:tcPr>
            <w:tcW w:w="3600" w:type="dxa"/>
            <w:tcBorders>
              <w:top w:val="single" w:color="auto" w:sz="4" w:space="0"/>
              <w:left w:val="single" w:color="auto" w:sz="4" w:space="0"/>
              <w:bottom w:val="single" w:color="auto" w:sz="4" w:space="0"/>
              <w:right w:val="single" w:color="auto" w:sz="4" w:space="0"/>
            </w:tcBorders>
            <w:vAlign w:val="center"/>
          </w:tcPr>
          <w:p w14:paraId="086C52F6">
            <w:pPr>
              <w:spacing w:before="20" w:after="20" w:line="300" w:lineRule="auto"/>
              <w:jc w:val="left"/>
            </w:pPr>
            <w:r>
              <w:rPr>
                <w:rFonts w:ascii="仿宋" w:hAnsi="仿宋" w:eastAsia="仿宋"/>
                <w:sz w:val="21"/>
              </w:rPr>
              <w:t>系统设计方案、部署手册、运维手册、故障处理手册、源代码</w:t>
            </w:r>
          </w:p>
        </w:tc>
        <w:tc>
          <w:tcPr>
            <w:tcW w:w="800" w:type="dxa"/>
            <w:tcBorders>
              <w:top w:val="single" w:color="auto" w:sz="4" w:space="0"/>
              <w:left w:val="single" w:color="auto" w:sz="4" w:space="0"/>
              <w:bottom w:val="single" w:color="auto" w:sz="4" w:space="0"/>
              <w:right w:val="single" w:color="auto" w:sz="4" w:space="0"/>
            </w:tcBorders>
            <w:vAlign w:val="center"/>
          </w:tcPr>
          <w:p w14:paraId="4CFB637C">
            <w:pPr>
              <w:spacing w:before="20" w:after="20" w:line="300" w:lineRule="auto"/>
              <w:jc w:val="center"/>
            </w:pPr>
            <w:r>
              <w:rPr>
                <w:rFonts w:ascii="Times New Roman" w:hAnsi="Times New Roman" w:eastAsia="仿宋"/>
                <w:sz w:val="21"/>
              </w:rPr>
              <w:t>1套</w:t>
            </w:r>
          </w:p>
        </w:tc>
        <w:tc>
          <w:tcPr>
            <w:tcW w:w="1000" w:type="dxa"/>
            <w:tcBorders>
              <w:top w:val="single" w:color="auto" w:sz="4" w:space="0"/>
              <w:left w:val="single" w:color="auto" w:sz="4" w:space="0"/>
              <w:bottom w:val="single" w:color="auto" w:sz="4" w:space="0"/>
              <w:right w:val="single" w:color="auto" w:sz="4" w:space="0"/>
            </w:tcBorders>
            <w:vAlign w:val="center"/>
          </w:tcPr>
          <w:p w14:paraId="082632F1">
            <w:pPr>
              <w:spacing w:before="20" w:after="20" w:line="300" w:lineRule="auto"/>
              <w:jc w:val="center"/>
            </w:pPr>
            <w:r>
              <w:rPr>
                <w:rFonts w:ascii="Times New Roman" w:hAnsi="Times New Roman" w:eastAsia="仿宋"/>
                <w:sz w:val="21"/>
              </w:rPr>
              <w:t>0.50</w:t>
            </w:r>
          </w:p>
        </w:tc>
        <w:tc>
          <w:tcPr>
            <w:tcW w:w="1000" w:type="dxa"/>
            <w:tcBorders>
              <w:top w:val="single" w:color="auto" w:sz="4" w:space="0"/>
              <w:left w:val="single" w:color="auto" w:sz="4" w:space="0"/>
              <w:bottom w:val="single" w:color="auto" w:sz="4" w:space="0"/>
              <w:right w:val="single" w:color="auto" w:sz="4" w:space="0"/>
            </w:tcBorders>
            <w:vAlign w:val="center"/>
          </w:tcPr>
          <w:p w14:paraId="15E1CD14">
            <w:pPr>
              <w:spacing w:before="20" w:after="20" w:line="300" w:lineRule="auto"/>
              <w:jc w:val="center"/>
            </w:pPr>
            <w:r>
              <w:rPr>
                <w:rFonts w:ascii="Times New Roman" w:hAnsi="Times New Roman" w:eastAsia="仿宋"/>
                <w:sz w:val="21"/>
              </w:rPr>
              <w:t>0.50</w:t>
            </w:r>
          </w:p>
        </w:tc>
      </w:tr>
      <w:tr w14:paraId="18041488">
        <w:tblPrEx>
          <w:tblCellMar>
            <w:top w:w="0" w:type="dxa"/>
            <w:left w:w="108" w:type="dxa"/>
            <w:bottom w:w="0" w:type="dxa"/>
            <w:right w:w="108" w:type="dxa"/>
          </w:tblCellMar>
        </w:tblPrEx>
        <w:trPr>
          <w:trHeight w:val="400" w:hRule="atLeast"/>
          <w:jc w:val="center"/>
        </w:trPr>
        <w:tc>
          <w:tcPr>
            <w:tcW w:w="900" w:type="dxa"/>
            <w:tcBorders>
              <w:top w:val="single" w:color="auto" w:sz="4" w:space="0"/>
              <w:left w:val="single" w:color="auto" w:sz="4" w:space="0"/>
              <w:bottom w:val="single" w:color="auto" w:sz="4" w:space="0"/>
              <w:right w:val="single" w:color="auto" w:sz="4" w:space="0"/>
            </w:tcBorders>
            <w:shd w:val="clear" w:color="auto" w:fill="F2F2F2"/>
            <w:vAlign w:val="center"/>
          </w:tcPr>
          <w:p w14:paraId="679A2A1B">
            <w:pPr>
              <w:spacing w:before="20" w:after="20" w:line="300" w:lineRule="auto"/>
              <w:jc w:val="center"/>
            </w:pPr>
          </w:p>
        </w:tc>
        <w:tc>
          <w:tcPr>
            <w:tcW w:w="2000" w:type="dxa"/>
            <w:tcBorders>
              <w:top w:val="single" w:color="auto" w:sz="4" w:space="0"/>
              <w:left w:val="single" w:color="auto" w:sz="4" w:space="0"/>
              <w:bottom w:val="single" w:color="auto" w:sz="4" w:space="0"/>
              <w:right w:val="single" w:color="auto" w:sz="4" w:space="0"/>
            </w:tcBorders>
            <w:shd w:val="clear" w:color="auto" w:fill="F2F2F2"/>
            <w:vAlign w:val="center"/>
          </w:tcPr>
          <w:p w14:paraId="7381ED5F">
            <w:pPr>
              <w:spacing w:before="20" w:after="20" w:line="300" w:lineRule="auto"/>
              <w:jc w:val="center"/>
            </w:pPr>
            <w:r>
              <w:rPr>
                <w:rFonts w:ascii="黑体" w:hAnsi="黑体" w:eastAsia="黑体"/>
                <w:b/>
                <w:sz w:val="21"/>
              </w:rPr>
              <w:t>合  计</w:t>
            </w:r>
          </w:p>
        </w:tc>
        <w:tc>
          <w:tcPr>
            <w:tcW w:w="3600" w:type="dxa"/>
            <w:tcBorders>
              <w:top w:val="single" w:color="auto" w:sz="4" w:space="0"/>
              <w:left w:val="single" w:color="auto" w:sz="4" w:space="0"/>
              <w:bottom w:val="single" w:color="auto" w:sz="4" w:space="0"/>
              <w:right w:val="single" w:color="auto" w:sz="4" w:space="0"/>
            </w:tcBorders>
            <w:shd w:val="clear" w:color="auto" w:fill="F2F2F2"/>
            <w:vAlign w:val="center"/>
          </w:tcPr>
          <w:p w14:paraId="6D8E8E25">
            <w:pPr>
              <w:spacing w:before="20" w:after="20" w:line="300" w:lineRule="auto"/>
              <w:jc w:val="left"/>
            </w:pPr>
          </w:p>
        </w:tc>
        <w:tc>
          <w:tcPr>
            <w:tcW w:w="800" w:type="dxa"/>
            <w:tcBorders>
              <w:top w:val="single" w:color="auto" w:sz="4" w:space="0"/>
              <w:left w:val="single" w:color="auto" w:sz="4" w:space="0"/>
              <w:bottom w:val="single" w:color="auto" w:sz="4" w:space="0"/>
              <w:right w:val="single" w:color="auto" w:sz="4" w:space="0"/>
            </w:tcBorders>
            <w:shd w:val="clear" w:color="auto" w:fill="F2F2F2"/>
            <w:vAlign w:val="center"/>
          </w:tcPr>
          <w:p w14:paraId="57197F11">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3C4AD586">
            <w:pPr>
              <w:spacing w:before="20" w:after="20" w:line="300" w:lineRule="auto"/>
              <w:jc w:val="center"/>
            </w:pPr>
          </w:p>
        </w:tc>
        <w:tc>
          <w:tcPr>
            <w:tcW w:w="1000" w:type="dxa"/>
            <w:tcBorders>
              <w:top w:val="single" w:color="auto" w:sz="4" w:space="0"/>
              <w:left w:val="single" w:color="auto" w:sz="4" w:space="0"/>
              <w:bottom w:val="single" w:color="auto" w:sz="4" w:space="0"/>
              <w:right w:val="single" w:color="auto" w:sz="4" w:space="0"/>
            </w:tcBorders>
            <w:shd w:val="clear" w:color="auto" w:fill="F2F2F2"/>
            <w:vAlign w:val="center"/>
          </w:tcPr>
          <w:p w14:paraId="093FFECF">
            <w:pPr>
              <w:spacing w:before="20" w:after="20" w:line="300" w:lineRule="auto"/>
              <w:jc w:val="center"/>
            </w:pPr>
            <w:r>
              <w:rPr>
                <w:rFonts w:ascii="黑体" w:hAnsi="黑体" w:eastAsia="黑体"/>
                <w:b/>
                <w:sz w:val="21"/>
              </w:rPr>
              <w:t>49.50</w:t>
            </w:r>
          </w:p>
        </w:tc>
      </w:tr>
    </w:tbl>
    <w:p w14:paraId="59405750">
      <w:pPr>
        <w:spacing w:before="240" w:after="240" w:line="600" w:lineRule="exact"/>
        <w:jc w:val="center"/>
        <w:outlineLvl w:val="0"/>
        <w:rPr>
          <w:rFonts w:ascii="黑体" w:hAnsi="黑体" w:eastAsia="黑体"/>
          <w:b/>
          <w:sz w:val="32"/>
        </w:rPr>
      </w:pPr>
      <w:bookmarkStart w:id="27" w:name="_Toc17077"/>
    </w:p>
    <w:p w14:paraId="3616F381">
      <w:pPr>
        <w:spacing w:before="240" w:after="240" w:line="600" w:lineRule="exact"/>
        <w:jc w:val="center"/>
        <w:outlineLvl w:val="0"/>
      </w:pPr>
      <w:r>
        <w:rPr>
          <w:rFonts w:ascii="黑体" w:hAnsi="黑体" w:eastAsia="黑体"/>
          <w:b/>
          <w:sz w:val="32"/>
        </w:rPr>
        <w:t>七、实施计划与进度安排</w:t>
      </w:r>
      <w:bookmarkEnd w:id="27"/>
    </w:p>
    <w:p w14:paraId="694070B2">
      <w:pPr>
        <w:spacing w:before="120" w:after="120" w:line="600" w:lineRule="exact"/>
        <w:jc w:val="left"/>
        <w:outlineLvl w:val="1"/>
      </w:pPr>
      <w:bookmarkStart w:id="28" w:name="_Toc23699"/>
      <w:r>
        <w:rPr>
          <w:rFonts w:ascii="楷体_GB2312" w:hAnsi="楷体_GB2312" w:eastAsia="楷体_GB2312"/>
          <w:b/>
          <w:sz w:val="32"/>
        </w:rPr>
        <w:t>（一）实施阶段划分</w:t>
      </w:r>
      <w:bookmarkEnd w:id="28"/>
    </w:p>
    <w:p w14:paraId="15FC4F26">
      <w:pPr>
        <w:spacing w:before="0" w:after="0" w:line="600" w:lineRule="exact"/>
        <w:ind w:firstLine="640"/>
      </w:pPr>
      <w:r>
        <w:rPr>
          <w:rFonts w:ascii="Times New Roman" w:hAnsi="Times New Roman" w:eastAsia="仿宋_GB2312"/>
          <w:b w:val="0"/>
          <w:sz w:val="32"/>
        </w:rPr>
        <w:t>本项目计划分五个阶段实施，总工期150天。每个阶段都有明确的工作内容、交付物、质量标准和时间节点，保障项目有序推进、按时完成。各阶段之间设有明确的过渡条件和质量门禁，上一阶段工作未达到质量标准不得进入下一阶段。</w:t>
      </w:r>
    </w:p>
    <w:p w14:paraId="36B3B144">
      <w:pPr>
        <w:spacing w:before="0" w:after="0" w:line="600" w:lineRule="exact"/>
        <w:ind w:firstLine="640"/>
      </w:pPr>
      <w:r>
        <w:rPr>
          <w:rFonts w:ascii="Times New Roman" w:hAnsi="Times New Roman" w:eastAsia="仿宋_GB2312"/>
          <w:b w:val="0"/>
          <w:sz w:val="32"/>
        </w:rPr>
        <w:t>第一阶段为需求调研与方案设计阶段，工期30天，是整个项目的基础和关键阶段。该阶段的工作质量直接影响到后续所有阶段的实施效果。</w:t>
      </w:r>
    </w:p>
    <w:p w14:paraId="45AAB53B">
      <w:pPr>
        <w:spacing w:before="0" w:after="0" w:line="600" w:lineRule="exact"/>
        <w:ind w:firstLine="640"/>
      </w:pPr>
      <w:r>
        <w:rPr>
          <w:rFonts w:ascii="Times New Roman" w:hAnsi="Times New Roman" w:eastAsia="仿宋_GB2312"/>
          <w:b w:val="0"/>
          <w:sz w:val="32"/>
        </w:rPr>
        <w:t>需求调研工作包括：对数字荣成平台（大屏端）进行全面的技术调研，包括技术架构、数据规模、功能模块、接口关系和性能指标；对数字荣成平台（移动端）（人产城境管信）做技术调研，包括系统架构、数据结构、功能需求和用户规模。</w:t>
      </w:r>
    </w:p>
    <w:p w14:paraId="2D20B026">
      <w:pPr>
        <w:spacing w:before="0" w:after="0" w:line="600" w:lineRule="exact"/>
        <w:ind w:firstLine="640"/>
      </w:pPr>
      <w:r>
        <w:rPr>
          <w:rFonts w:ascii="Times New Roman" w:hAnsi="Times New Roman" w:eastAsia="仿宋_GB2312"/>
          <w:b w:val="0"/>
          <w:sz w:val="32"/>
        </w:rPr>
        <w:t>方案设计工作包括：设计国产化改造总体方案，明确改造范围、技术路线、实施步骤；设计数据库迁移方案，包括数据映射规则、迁移策略、校验方法；设计操作系统适配方案，包括兼容性评估、改造内容、验证方法；设计中间件替代方案，包括部署架构、配置参数、性能调优方案。</w:t>
      </w:r>
    </w:p>
    <w:p w14:paraId="673CEE4D">
      <w:pPr>
        <w:spacing w:before="0" w:after="0" w:line="600" w:lineRule="exact"/>
        <w:ind w:firstLine="640"/>
      </w:pPr>
      <w:r>
        <w:rPr>
          <w:rFonts w:ascii="Times New Roman" w:hAnsi="Times New Roman" w:eastAsia="仿宋_GB2312"/>
          <w:b w:val="0"/>
          <w:sz w:val="32"/>
        </w:rPr>
        <w:t>软件选型工作包括：调研国产操作系统产品，评估与现有硬件和应用的兼容性；调研国产数据库产品，评估数据迁移难度和性能表现；调研国产中间件产品，评估与应用框架的兼容性；编制软硬件选型清单，明确产品型号、数量、预算。</w:t>
      </w:r>
    </w:p>
    <w:p w14:paraId="79412E60">
      <w:pPr>
        <w:spacing w:before="0" w:after="0" w:line="600" w:lineRule="exact"/>
        <w:ind w:firstLine="640"/>
      </w:pPr>
      <w:r>
        <w:rPr>
          <w:rFonts w:ascii="Times New Roman" w:hAnsi="Times New Roman" w:eastAsia="仿宋_GB2312"/>
          <w:b w:val="0"/>
          <w:sz w:val="32"/>
        </w:rPr>
        <w:t>第二阶段：软件采购与部署（30天）。完成国产操作系统、数据库、中间件等软件的采购、安装、配置和调试。主要工作：按照选型清单完成软件采购，签订采购合同；在测试环境中安装部署国产操作系统、数据库、中间件；完成网络配置、安全策略配置、存储配置等基础环境搭建；做基础环境测试验证，使各组件运行正常。交付物包括：《软件验收报告》《系统部署手册》《基础环境配置文档》。</w:t>
      </w:r>
    </w:p>
    <w:p w14:paraId="72C9520F">
      <w:pPr>
        <w:spacing w:before="0" w:after="0" w:line="600" w:lineRule="exact"/>
        <w:ind w:firstLine="640"/>
      </w:pPr>
      <w:r>
        <w:rPr>
          <w:rFonts w:ascii="Times New Roman" w:hAnsi="Times New Roman" w:eastAsia="仿宋_GB2312"/>
          <w:b w:val="0"/>
          <w:sz w:val="32"/>
        </w:rPr>
        <w:t>第三阶段：系统适配改造（60天）。完成数据库迁移、应用软件代码修改、接口适配、功能测试、性能优化等工作。主要工作：在测试环境完成数据库全量迁移和增量同步；修改应用代码，适配国产数据库JDBC驱动和SQL语法；修改应用部署脚本，适配国产中间件部署规范；修改操作系统相关代码，适配国产操作系统；逐模块进行功能测试和回归测试。交付物包括：《数据迁移报告》《代码修改说明》《接口适配文档》《功能测试报告》《性能测试报告》。</w:t>
      </w:r>
    </w:p>
    <w:p w14:paraId="40448010">
      <w:pPr>
        <w:spacing w:before="0" w:after="0" w:line="600" w:lineRule="exact"/>
        <w:ind w:firstLine="640"/>
      </w:pPr>
      <w:r>
        <w:rPr>
          <w:rFonts w:ascii="Times New Roman" w:hAnsi="Times New Roman" w:eastAsia="仿宋_GB2312"/>
          <w:b w:val="0"/>
          <w:sz w:val="32"/>
        </w:rPr>
        <w:t>第四阶段：系统测试与优化（20天）。完成功能测试、性能测试、安全测试、兼容性测试，发现并修复问题，优化系统性能。主要工作：执行全面的功能测试，使所有业务功能正常运行；执行性能测试，验证系统响应时间和并发处理能力；执行安全测试，检查系统安全漏洞和风险；执行兼容性测试，验证系统在不同环境下的兼容性；根据测试结果修复缺陷、优化性能。交付物包括：《系统测试报告》《安全测试报告》《性能优化报告》《用户手册》。</w:t>
      </w:r>
    </w:p>
    <w:p w14:paraId="330799F8">
      <w:pPr>
        <w:spacing w:before="0" w:after="0" w:line="600" w:lineRule="exact"/>
        <w:ind w:firstLine="640"/>
      </w:pPr>
      <w:r>
        <w:rPr>
          <w:rFonts w:ascii="Times New Roman" w:hAnsi="Times New Roman" w:eastAsia="仿宋_GB2312"/>
          <w:b w:val="0"/>
          <w:sz w:val="32"/>
        </w:rPr>
        <w:t>第五阶段：上线验收与培训（10天）。完成系统上线、用户培训、文档交付、项目验收等工作。主要工作：制定详细的上线方案和回退预案；在生产环境部署系统，做分批次切换；对运维人员和业务人员进行系统培训；整理交付文档，进行项目验收。交付物包括：《上线方案》《培训记录》《项目验收报告》《竣工文档》。</w:t>
      </w:r>
    </w:p>
    <w:p w14:paraId="474AB5DD">
      <w:pPr>
        <w:spacing w:before="120" w:after="120" w:line="600" w:lineRule="exact"/>
        <w:jc w:val="left"/>
        <w:outlineLvl w:val="1"/>
      </w:pPr>
      <w:bookmarkStart w:id="29" w:name="_Toc11927"/>
      <w:r>
        <w:rPr>
          <w:rFonts w:ascii="楷体_GB2312" w:hAnsi="楷体_GB2312" w:eastAsia="楷体_GB2312"/>
          <w:b/>
          <w:sz w:val="32"/>
        </w:rPr>
        <w:t>（</w:t>
      </w:r>
      <w:r>
        <w:rPr>
          <w:rFonts w:hint="eastAsia" w:ascii="楷体_GB2312" w:hAnsi="楷体_GB2312" w:eastAsia="楷体_GB2312"/>
          <w:b/>
          <w:sz w:val="32"/>
          <w:lang w:val="en-US" w:eastAsia="zh-CN"/>
        </w:rPr>
        <w:t>二</w:t>
      </w:r>
      <w:r>
        <w:rPr>
          <w:rFonts w:ascii="楷体_GB2312" w:hAnsi="楷体_GB2312" w:eastAsia="楷体_GB2312"/>
          <w:b/>
          <w:sz w:val="32"/>
        </w:rPr>
        <w:t>）项目组织与管理</w:t>
      </w:r>
      <w:bookmarkEnd w:id="29"/>
    </w:p>
    <w:p w14:paraId="2EF19461">
      <w:pPr>
        <w:spacing w:before="0" w:after="0" w:line="600" w:lineRule="exact"/>
        <w:ind w:firstLine="640"/>
      </w:pPr>
      <w:r>
        <w:rPr>
          <w:rFonts w:ascii="Times New Roman" w:hAnsi="Times New Roman" w:eastAsia="仿宋_GB2312"/>
          <w:b w:val="0"/>
          <w:sz w:val="32"/>
        </w:rPr>
        <w:t>本项目采用项目经理负责制，由荣成市大数据中心指定项目经理，负责项目的整体管理和协调。项目组下设技术组、测试组、运维组三个工作组，各司其职、协同配合。技术组负责国产化改造的技术实施，包括数据库迁移、应用代码改造、接口适配等工作。测试组负责制定测试计划、执行测试用例、编写测试报告等工作。运维组负责系统部署、环境配置、日常运维等工作。</w:t>
      </w:r>
    </w:p>
    <w:p w14:paraId="004F93F7">
      <w:pPr>
        <w:spacing w:before="0" w:after="0" w:line="600" w:lineRule="exact"/>
        <w:ind w:firstLine="640"/>
      </w:pPr>
      <w:r>
        <w:rPr>
          <w:rFonts w:ascii="Times New Roman" w:hAnsi="Times New Roman" w:eastAsia="仿宋_GB2312"/>
          <w:b w:val="0"/>
          <w:sz w:val="32"/>
        </w:rPr>
        <w:t>项目管理采用周报制度，每周召开项目例会，汇报工作进展、协调解决问题、布置下周工作。对于重大问题或风险，可随时召开专题会议，及时制定解决方案。并建立风险预警机制，对可能影响项目进度的风险提前预判和干预。</w:t>
      </w:r>
    </w:p>
    <w:p w14:paraId="22B6C8FD">
      <w:pPr>
        <w:spacing w:before="0" w:after="0" w:line="600" w:lineRule="exact"/>
        <w:ind w:firstLine="640"/>
      </w:pPr>
      <w:r>
        <w:rPr>
          <w:rFonts w:ascii="Times New Roman" w:hAnsi="Times New Roman" w:eastAsia="仿宋_GB2312"/>
          <w:b w:val="0"/>
          <w:sz w:val="32"/>
        </w:rPr>
        <w:t>项目沟通管理方面，建立多层次的沟通机制。日常沟通通过即时通讯工具和项目管理平台进行，确保信息及时传递。周例会由项目经理主持，全体项目组成员参加，总结本周工作、安排下周任务。月度汇报由项目经理向荣成市大数据中心领导汇报项目整体进展、风险情况和资源需求。重大事项通过专题会议讨论决策，形成会议纪要并跟踪落实。</w:t>
      </w:r>
    </w:p>
    <w:p w14:paraId="7F4B6DD9">
      <w:pPr>
        <w:spacing w:before="120" w:after="120" w:line="600" w:lineRule="exact"/>
        <w:jc w:val="left"/>
        <w:outlineLvl w:val="1"/>
      </w:pPr>
      <w:bookmarkStart w:id="30" w:name="_Toc30302"/>
      <w:r>
        <w:rPr>
          <w:rFonts w:ascii="楷体_GB2312" w:hAnsi="楷体_GB2312" w:eastAsia="楷体_GB2312"/>
          <w:b/>
          <w:sz w:val="32"/>
        </w:rPr>
        <w:t>（</w:t>
      </w:r>
      <w:r>
        <w:rPr>
          <w:rFonts w:hint="eastAsia" w:ascii="楷体_GB2312" w:hAnsi="楷体_GB2312" w:eastAsia="楷体_GB2312"/>
          <w:b/>
          <w:sz w:val="32"/>
          <w:lang w:val="en-US" w:eastAsia="zh-CN"/>
        </w:rPr>
        <w:t>三</w:t>
      </w:r>
      <w:r>
        <w:rPr>
          <w:rFonts w:ascii="楷体_GB2312" w:hAnsi="楷体_GB2312" w:eastAsia="楷体_GB2312"/>
          <w:b/>
          <w:sz w:val="32"/>
        </w:rPr>
        <w:t>）质量管理计划</w:t>
      </w:r>
      <w:bookmarkEnd w:id="30"/>
    </w:p>
    <w:p w14:paraId="74B466C5">
      <w:pPr>
        <w:spacing w:before="0" w:after="0" w:line="600" w:lineRule="exact"/>
        <w:ind w:firstLine="640"/>
      </w:pPr>
      <w:r>
        <w:rPr>
          <w:rFonts w:ascii="Times New Roman" w:hAnsi="Times New Roman" w:eastAsia="仿宋_GB2312"/>
          <w:b w:val="0"/>
          <w:sz w:val="32"/>
        </w:rPr>
        <w:t>1. 质量管理目标。确保国产化改造后的系统功能完整、性能达标、安全可靠，满足荣成市大数据中心的业务需求和使用要求。质量管理贯穿项目全生命周期，从需求分析到项目验收的每个环节都要严格执行质量标准。</w:t>
      </w:r>
    </w:p>
    <w:p w14:paraId="39260C5B">
      <w:pPr>
        <w:spacing w:before="0" w:after="0" w:line="600" w:lineRule="exact"/>
        <w:ind w:firstLine="640"/>
      </w:pPr>
      <w:r>
        <w:rPr>
          <w:rFonts w:ascii="Times New Roman" w:hAnsi="Times New Roman" w:eastAsia="仿宋_GB2312"/>
          <w:b w:val="0"/>
          <w:sz w:val="32"/>
        </w:rPr>
        <w:t>2. 质量管理措施。建立质量管理体系，包括：制定详细的质量计划和验收标准；实行代码审查制度，所有代码修改必须经过至少两人审查；实行测试驱动开发，编写单元测试和集成测试用例；实行配置管理，使用Git进行版本控制，确保代码的可追溯性；实行缺陷管理，使用缺陷跟踪工具记录和管理所有缺陷，保证每个缺陷都得到及时修复。</w:t>
      </w:r>
    </w:p>
    <w:p w14:paraId="3E990425">
      <w:pPr>
        <w:spacing w:before="0" w:after="0" w:line="600" w:lineRule="exact"/>
        <w:ind w:firstLine="640"/>
      </w:pPr>
      <w:r>
        <w:rPr>
          <w:rFonts w:ascii="Times New Roman" w:hAnsi="Times New Roman" w:eastAsia="仿宋_GB2312"/>
          <w:b w:val="0"/>
          <w:sz w:val="32"/>
        </w:rPr>
        <w:t>3. 质量评审机制。在项目的关键节点设置质量评审，包括：方案评审（评审国产化改造方案的可行性和完整性）；代码评审（评审代码修改的质量和规范性）；测试评审（评审测试用例的覆盖率和测试结果）；验收评审（评审系统是否满足验收标准）。每次评审形成评审记录，对评审中发现的问题进行跟踪和整改。</w:t>
      </w:r>
    </w:p>
    <w:p w14:paraId="1AD3B334">
      <w:pPr>
        <w:spacing w:before="120" w:after="120" w:line="600" w:lineRule="exact"/>
        <w:jc w:val="left"/>
        <w:outlineLvl w:val="1"/>
      </w:pPr>
      <w:bookmarkStart w:id="31" w:name="_Toc20355"/>
      <w:r>
        <w:rPr>
          <w:rFonts w:ascii="楷体_GB2312" w:hAnsi="楷体_GB2312" w:eastAsia="楷体_GB2312"/>
          <w:b/>
          <w:sz w:val="32"/>
        </w:rPr>
        <w:t>（</w:t>
      </w:r>
      <w:r>
        <w:rPr>
          <w:rFonts w:hint="eastAsia" w:ascii="楷体_GB2312" w:hAnsi="楷体_GB2312" w:eastAsia="楷体_GB2312"/>
          <w:b/>
          <w:sz w:val="32"/>
          <w:lang w:val="en-US" w:eastAsia="zh-CN"/>
        </w:rPr>
        <w:t>四</w:t>
      </w:r>
      <w:r>
        <w:rPr>
          <w:rFonts w:ascii="楷体_GB2312" w:hAnsi="楷体_GB2312" w:eastAsia="楷体_GB2312"/>
          <w:b/>
          <w:sz w:val="32"/>
        </w:rPr>
        <w:t>）配置管理计划</w:t>
      </w:r>
      <w:bookmarkEnd w:id="31"/>
    </w:p>
    <w:p w14:paraId="11BC3CBD">
      <w:pPr>
        <w:spacing w:before="0" w:after="0" w:line="600" w:lineRule="exact"/>
        <w:ind w:firstLine="640"/>
      </w:pPr>
      <w:r>
        <w:rPr>
          <w:rFonts w:ascii="Times New Roman" w:hAnsi="Times New Roman" w:eastAsia="仿宋_GB2312"/>
          <w:b w:val="0"/>
          <w:sz w:val="32"/>
        </w:rPr>
        <w:t>1. 配置管理目标。对项目过程中产生的所有配置项进行有效管理，保障配置项的完整性、一致性和可追溯性。配置项包括：需求文档、设计文档、源代码、测试用例、部署脚本、配置文件等。</w:t>
      </w:r>
    </w:p>
    <w:p w14:paraId="21771CD6">
      <w:pPr>
        <w:spacing w:before="0" w:after="0" w:line="600" w:lineRule="exact"/>
        <w:ind w:firstLine="640"/>
      </w:pPr>
      <w:r>
        <w:rPr>
          <w:rFonts w:ascii="Times New Roman" w:hAnsi="Times New Roman" w:eastAsia="仿宋_GB2312"/>
          <w:b w:val="0"/>
          <w:sz w:val="32"/>
        </w:rPr>
        <w:t>2. 版本控制策略。采用Git进行版本控制，建立统一的代码仓库。分支策略采用主流分支管理策略，包括主分支（master）、开发分支（develop）、功能分支（feature）、发布分支（release）、热修复分支（hotfix）等。所有代码修改通过分支进行，经过代码审查后合并到主分支。</w:t>
      </w:r>
    </w:p>
    <w:p w14:paraId="2290BC80">
      <w:pPr>
        <w:spacing w:before="0" w:after="0" w:line="600" w:lineRule="exact"/>
        <w:ind w:firstLine="640"/>
      </w:pPr>
      <w:r>
        <w:rPr>
          <w:rFonts w:ascii="Times New Roman" w:hAnsi="Times New Roman" w:eastAsia="仿宋_GB2312"/>
          <w:b w:val="0"/>
          <w:sz w:val="32"/>
        </w:rPr>
        <w:t>3. 变更管理流程。所有变更请求需要经过变更控制委员会审批，变更审批通过后方可实施。变更实施后需要做回归测试，确保变更不会引入新的问题。变更记录纳入配置管理，确保变更的可追溯性。</w:t>
      </w:r>
    </w:p>
    <w:p w14:paraId="38831D43">
      <w:pPr>
        <w:spacing w:before="240" w:after="240" w:line="600" w:lineRule="exact"/>
        <w:jc w:val="center"/>
        <w:outlineLvl w:val="0"/>
      </w:pPr>
      <w:bookmarkStart w:id="32" w:name="_Toc13525"/>
      <w:r>
        <w:rPr>
          <w:rFonts w:ascii="黑体" w:hAnsi="黑体" w:eastAsia="黑体"/>
          <w:b/>
          <w:sz w:val="32"/>
        </w:rPr>
        <w:t>八、风险评估与应对措施</w:t>
      </w:r>
      <w:bookmarkEnd w:id="32"/>
    </w:p>
    <w:p w14:paraId="4CABA69A">
      <w:pPr>
        <w:spacing w:before="120" w:after="120" w:line="600" w:lineRule="exact"/>
        <w:jc w:val="left"/>
        <w:outlineLvl w:val="1"/>
      </w:pPr>
      <w:bookmarkStart w:id="33" w:name="_Toc27664"/>
      <w:r>
        <w:rPr>
          <w:rFonts w:ascii="楷体_GB2312" w:hAnsi="楷体_GB2312" w:eastAsia="楷体_GB2312"/>
          <w:b/>
          <w:sz w:val="32"/>
        </w:rPr>
        <w:t>（一）技术风险</w:t>
      </w:r>
      <w:bookmarkEnd w:id="33"/>
    </w:p>
    <w:p w14:paraId="62A60192">
      <w:pPr>
        <w:spacing w:before="0" w:after="0" w:line="600" w:lineRule="exact"/>
        <w:ind w:firstLine="640"/>
      </w:pPr>
      <w:r>
        <w:rPr>
          <w:rFonts w:ascii="Times New Roman" w:hAnsi="Times New Roman" w:eastAsia="仿宋_GB2312"/>
          <w:b w:val="0"/>
          <w:sz w:val="32"/>
        </w:rPr>
        <w:t>风险描述：国产数据库与原有应用系统可能存在兼容性问题，导致功能异常或性能下降。国产操作系统与现有硬件设备可能存在驱动兼容问题，影响系统稳定性。具体风险点包括：SQL语法差异导致查询结果不一致或报错；数据类型映射不精确导致数据精度丢失；存储过程和触发器语法差异导致业务逻辑异常；国产操作系统缺少某些系统调用或行为不一致导致应用崩溃。</w:t>
      </w:r>
    </w:p>
    <w:p w14:paraId="49F1D59E">
      <w:pPr>
        <w:spacing w:before="0" w:after="0" w:line="600" w:lineRule="exact"/>
        <w:ind w:firstLine="640"/>
      </w:pPr>
      <w:r>
        <w:rPr>
          <w:rFonts w:ascii="Times New Roman" w:hAnsi="Times New Roman" w:eastAsia="仿宋_GB2312"/>
          <w:b w:val="0"/>
          <w:sz w:val="32"/>
        </w:rPr>
        <w:t>应对措施：（1）改造前做全面的技术验证，搭建测试环境，确认国产数据库、操作系统与现有系统的兼容性；（2）制定详细的测试计划，覆盖所有业务场景和异常情况，特别是边界条件和异常处理场景；（3）准备回退方案，一旦出现严重问题可快速恢复至原系统，回退时间不超过2小时；（4）邀请国产数据库、操作系统厂商提供技术支援，及时解决兼容性问题；（5）建立问题跟踪机制，记录所有发现的技术问题，逐一分析和解决。</w:t>
      </w:r>
    </w:p>
    <w:p w14:paraId="2D916B03">
      <w:pPr>
        <w:spacing w:before="120" w:after="120" w:line="600" w:lineRule="exact"/>
        <w:jc w:val="left"/>
        <w:outlineLvl w:val="1"/>
      </w:pPr>
      <w:bookmarkStart w:id="34" w:name="_Toc9338"/>
      <w:r>
        <w:rPr>
          <w:rFonts w:ascii="楷体_GB2312" w:hAnsi="楷体_GB2312" w:eastAsia="楷体_GB2312"/>
          <w:b/>
          <w:sz w:val="32"/>
        </w:rPr>
        <w:t>（二）进度风险</w:t>
      </w:r>
      <w:bookmarkEnd w:id="34"/>
    </w:p>
    <w:p w14:paraId="1C5B4172">
      <w:pPr>
        <w:spacing w:before="0" w:after="0" w:line="600" w:lineRule="exact"/>
        <w:ind w:firstLine="640"/>
      </w:pPr>
      <w:r>
        <w:rPr>
          <w:rFonts w:ascii="Times New Roman" w:hAnsi="Times New Roman" w:eastAsia="仿宋_GB2312"/>
          <w:b w:val="0"/>
          <w:sz w:val="32"/>
        </w:rPr>
        <w:t>风险描述：适配改造工作量可能超出预期，导致项目延期。数据迁移可能出现意外情况，需要额外时间处理。具体风险点包括：应用代码适配工作量被低估，实际需要更多时间；数据迁移过程中发现数据质量问题，需要额外清洗和处理；国产软硬件到货延迟，影响后续工作进度；测试过程中发现严重缺陷，需要大量时间修复。</w:t>
      </w:r>
    </w:p>
    <w:p w14:paraId="21BDEEE9">
      <w:pPr>
        <w:spacing w:before="0" w:after="0" w:line="600" w:lineRule="exact"/>
        <w:ind w:firstLine="640"/>
      </w:pPr>
      <w:r>
        <w:rPr>
          <w:rFonts w:ascii="Times New Roman" w:hAnsi="Times New Roman" w:eastAsia="仿宋_GB2312"/>
          <w:b w:val="0"/>
          <w:sz w:val="32"/>
        </w:rPr>
        <w:t>应对措施：（1）制定详细的实施计划，明确各阶段工作量和时间节点，设置缓冲时间（建议预留15%的缓冲时间）；（2）增加开发人员投入，确保关键路径任务按时完成；（3）建立周报制度，及时发现并解决进度偏差；（4）与供应商签订明确的供货合同，约定延迟交付的违约责任；（5）采用并行工作模式，部分任务可同步推进，缩短总工期；（6）建立变更管理流程，严格控制需求变更对进度的影响。</w:t>
      </w:r>
    </w:p>
    <w:p w14:paraId="1D56C0D3">
      <w:pPr>
        <w:spacing w:before="120" w:after="120" w:line="600" w:lineRule="exact"/>
        <w:jc w:val="left"/>
        <w:outlineLvl w:val="1"/>
      </w:pPr>
      <w:bookmarkStart w:id="35" w:name="_Toc26071"/>
      <w:r>
        <w:rPr>
          <w:rFonts w:ascii="楷体_GB2312" w:hAnsi="楷体_GB2312" w:eastAsia="楷体_GB2312"/>
          <w:b/>
          <w:sz w:val="32"/>
        </w:rPr>
        <w:t>（三）数据安全风险</w:t>
      </w:r>
      <w:bookmarkEnd w:id="35"/>
    </w:p>
    <w:p w14:paraId="73862BFC">
      <w:pPr>
        <w:spacing w:before="0" w:after="0" w:line="600" w:lineRule="exact"/>
        <w:ind w:firstLine="640"/>
      </w:pPr>
      <w:r>
        <w:rPr>
          <w:rFonts w:ascii="Times New Roman" w:hAnsi="Times New Roman" w:eastAsia="仿宋_GB2312"/>
          <w:b w:val="0"/>
          <w:sz w:val="32"/>
        </w:rPr>
        <w:t>风险描述：数据迁移过程中可能出现数据丢失、损坏或泄露风险。国产数据库可能存在安全漏洞，被黑客利用攻击系统。管理员误操作可能导致数据被篡改或删除。具体风险点包括：全量迁移过程中断导致数据不完整；增量同步延迟导致数据不一致；迁移过程中未加密传输导致数据泄露；国产数据库存在未知安全漏洞。</w:t>
      </w:r>
    </w:p>
    <w:p w14:paraId="74AD66CF">
      <w:pPr>
        <w:spacing w:before="0" w:after="0" w:line="600" w:lineRule="exact"/>
        <w:ind w:firstLine="640"/>
      </w:pPr>
      <w:r>
        <w:rPr>
          <w:rFonts w:ascii="Times New Roman" w:hAnsi="Times New Roman" w:eastAsia="仿宋_GB2312"/>
          <w:b w:val="0"/>
          <w:sz w:val="32"/>
        </w:rPr>
        <w:t>应对措施：（1）迁移前进行完整数据备份，采用多种备份方式（全量备份、增量备份、日志备份）保证可恢复；（2）采用成熟可靠的ETL工具进行数据迁移，避免手工操作带来的风险；（3）迁移完成后进行数据一致性校验，包括记录数校验、字段和校验、MD5校验等，保证数据迁移的准确性和完整性；（4）严格权限管理，遵循最小权限原则，防止数据泄露；（5）对国产数据库做安全加固，关闭不必要的端口和服务，修改默认密码，配置审计日志；（6）制定数据恢复预案，定期进行恢复演练，确保备份可用。</w:t>
      </w:r>
    </w:p>
    <w:p w14:paraId="6B874713">
      <w:pPr>
        <w:spacing w:before="120" w:after="120" w:line="600" w:lineRule="exact"/>
        <w:jc w:val="left"/>
        <w:outlineLvl w:val="1"/>
      </w:pPr>
      <w:bookmarkStart w:id="36" w:name="_Toc4897"/>
      <w:r>
        <w:rPr>
          <w:rFonts w:ascii="楷体_GB2312" w:hAnsi="楷体_GB2312" w:eastAsia="楷体_GB2312"/>
          <w:b/>
          <w:sz w:val="32"/>
        </w:rPr>
        <w:t>（四）业务中断风险</w:t>
      </w:r>
      <w:bookmarkEnd w:id="36"/>
    </w:p>
    <w:p w14:paraId="64DFA3CF">
      <w:pPr>
        <w:spacing w:before="0" w:after="0" w:line="600" w:lineRule="exact"/>
        <w:ind w:firstLine="640"/>
      </w:pPr>
      <w:r>
        <w:rPr>
          <w:rFonts w:ascii="Times New Roman" w:hAnsi="Times New Roman" w:eastAsia="仿宋_GB2312"/>
          <w:b w:val="0"/>
          <w:sz w:val="32"/>
        </w:rPr>
        <w:t>风险描述：系统改造期间可能影响正常业务使用，导致市民服务中断，影响政府形象。新旧系统切换时可能出现故障，导致业务长时间中断。具体风险点包括：系统停机维护时间超出预期，影响业务正常使用；新旧系统切换过程中出现数据不一致或功能异常；用户对新系统操作不熟悉，影响工作效率。</w:t>
      </w:r>
    </w:p>
    <w:p w14:paraId="422FEC29">
      <w:pPr>
        <w:spacing w:before="0" w:after="0" w:line="600" w:lineRule="exact"/>
        <w:ind w:firstLine="640"/>
      </w:pPr>
      <w:r>
        <w:rPr>
          <w:rFonts w:ascii="Times New Roman" w:hAnsi="Times New Roman" w:eastAsia="仿宋_GB2312"/>
          <w:b w:val="0"/>
          <w:sz w:val="32"/>
        </w:rPr>
        <w:t>应对措施：（1）采用"双轨运行"策略，新旧系统并行运行一段时间（建议7-14天），验证稳定后再切换；（2）选择业务低峰期（如周末或夜间）进行系统切换，减少业务影响；（3）制定应急预案，一旦出现严重问题可快速回退至原系统，回退操作在2小时内完成；（4）提前通过政府网站、微信公众号等渠道公告系统升级时间，提醒市民合理安排业务办理时间；（5）设置临时服务窗口或热线电话，在系统不可用期间提供人工服务。</w:t>
      </w:r>
    </w:p>
    <w:p w14:paraId="201763BA">
      <w:pPr>
        <w:spacing w:before="120" w:after="120" w:line="600" w:lineRule="exact"/>
        <w:jc w:val="left"/>
        <w:outlineLvl w:val="1"/>
      </w:pPr>
      <w:bookmarkStart w:id="37" w:name="_Toc25490"/>
      <w:r>
        <w:rPr>
          <w:rFonts w:ascii="楷体_GB2312" w:hAnsi="楷体_GB2312" w:eastAsia="楷体_GB2312"/>
          <w:b/>
          <w:sz w:val="32"/>
        </w:rPr>
        <w:t>（五）人员风险</w:t>
      </w:r>
      <w:bookmarkEnd w:id="37"/>
    </w:p>
    <w:p w14:paraId="07B6296E">
      <w:pPr>
        <w:spacing w:before="0" w:after="0" w:line="600" w:lineRule="exact"/>
        <w:ind w:firstLine="640"/>
      </w:pPr>
      <w:r>
        <w:rPr>
          <w:rFonts w:ascii="Times New Roman" w:hAnsi="Times New Roman" w:eastAsia="仿宋_GB2312"/>
          <w:b w:val="0"/>
          <w:sz w:val="32"/>
        </w:rPr>
        <w:t>风险描述：项目团队可能缺乏国产化适配改造经验，影响改造质量。关键人员离职或调动可能导致项目中断。运维人员可能不熟悉国产软硬件，影响后期运维效率。具体风险点包括：开发人员对国产数据库和中间件不熟悉，改造效率低；测试人员缺乏国产化环境测试经验，测试覆盖不全面；运维人员不会使用国产运维工具，影响日常运维工作。</w:t>
      </w:r>
    </w:p>
    <w:p w14:paraId="2F967E51">
      <w:pPr>
        <w:spacing w:before="0" w:after="0" w:line="600" w:lineRule="exact"/>
        <w:ind w:firstLine="640"/>
      </w:pPr>
      <w:r>
        <w:rPr>
          <w:rFonts w:ascii="Times New Roman" w:hAnsi="Times New Roman" w:eastAsia="仿宋_GB2312"/>
          <w:b w:val="0"/>
          <w:sz w:val="32"/>
        </w:rPr>
        <w:t>应对措施：（1）选用有国产化改造经验的开发商，要求其派遣经验丰富的技术人员参与本项目；（2）邀请国产数据库、操作系统厂商提供技术支援，包括技术培训、现场指导、远程支持等；（3）对项目团队进行国产软硬件培训，提升技术能力，培训内容包括产品使用、故障排查、性能调优等；（4）建立人员备份机制，每个关键岗位配备至少一名备份人员；（5）制定知识转移计划，确保项目完成后荣成市大数据中心技术人员能够独立运维系统。</w:t>
      </w:r>
    </w:p>
    <w:p w14:paraId="45F0822A">
      <w:pPr>
        <w:spacing w:before="120" w:after="120" w:line="600" w:lineRule="exact"/>
        <w:jc w:val="left"/>
        <w:outlineLvl w:val="1"/>
      </w:pPr>
      <w:bookmarkStart w:id="38" w:name="_Toc9219"/>
      <w:r>
        <w:rPr>
          <w:rFonts w:ascii="楷体_GB2312" w:hAnsi="楷体_GB2312" w:eastAsia="楷体_GB2312"/>
          <w:b/>
          <w:sz w:val="32"/>
        </w:rPr>
        <w:t>（六）兼容性风险</w:t>
      </w:r>
      <w:bookmarkEnd w:id="38"/>
    </w:p>
    <w:p w14:paraId="4E7A7216">
      <w:pPr>
        <w:spacing w:before="0" w:after="0" w:line="600" w:lineRule="exact"/>
        <w:ind w:firstLine="640"/>
      </w:pPr>
      <w:r>
        <w:rPr>
          <w:rFonts w:ascii="Times New Roman" w:hAnsi="Times New Roman" w:eastAsia="仿宋_GB2312"/>
          <w:b w:val="0"/>
          <w:sz w:val="32"/>
        </w:rPr>
        <w:t>风险描述：国产软硬件产品之间的兼容性可能存在未知问题，影响系统的整体稳定性和功能完整性。具体风险点包括：国产数据库与国产操作系统的兼容性问题可能导致系统崩溃或性能下降；国产中间件与国产数据库的JDBC驱动可能存在兼容性问题；国产浏览器与前端页面的兼容性可能导致页面显示异常。</w:t>
      </w:r>
    </w:p>
    <w:p w14:paraId="31146089">
      <w:pPr>
        <w:spacing w:before="0" w:after="0" w:line="600" w:lineRule="exact"/>
        <w:ind w:firstLine="640"/>
      </w:pPr>
      <w:r>
        <w:rPr>
          <w:rFonts w:ascii="Times New Roman" w:hAnsi="Times New Roman" w:eastAsia="仿宋_GB2312"/>
          <w:b w:val="0"/>
          <w:sz w:val="32"/>
        </w:rPr>
        <w:t>应对措施：（1）在选型阶段做充分的兼容性测试，确保各组件之间能够正常协作；（2）与各产品厂商建立技术沟通渠道，及时获取兼容性补丁和解决方案；（3）建立兼容性问题知识库，记录所有遇到的兼容性问题及解决方案，便于后续排查类似问题；（4）预留充足的联调测试时间，确保发现和解决所有兼容性问题。</w:t>
      </w:r>
    </w:p>
    <w:p w14:paraId="6E25C983">
      <w:pPr>
        <w:spacing w:before="120" w:after="120" w:line="600" w:lineRule="exact"/>
        <w:jc w:val="left"/>
        <w:outlineLvl w:val="1"/>
      </w:pPr>
      <w:bookmarkStart w:id="39" w:name="_Toc23894"/>
      <w:r>
        <w:rPr>
          <w:rFonts w:ascii="楷体_GB2312" w:hAnsi="楷体_GB2312" w:eastAsia="楷体_GB2312"/>
          <w:b/>
          <w:sz w:val="32"/>
        </w:rPr>
        <w:t>（七）风险矩阵与优先级</w:t>
      </w:r>
      <w:bookmarkEnd w:id="39"/>
    </w:p>
    <w:p w14:paraId="6CBB2644">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5AA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344AD9E0">
            <w:pPr>
              <w:spacing w:after="0" w:line="560" w:lineRule="exact"/>
              <w:jc w:val="center"/>
            </w:pPr>
            <w:r>
              <w:rPr>
                <w:rFonts w:ascii="黑体" w:hAnsi="黑体" w:eastAsia="黑体"/>
                <w:b/>
                <w:sz w:val="28"/>
              </w:rPr>
              <w:t>风险类别</w:t>
            </w:r>
          </w:p>
        </w:tc>
        <w:tc>
          <w:tcPr>
            <w:tcW w:w="1803" w:type="dxa"/>
          </w:tcPr>
          <w:p w14:paraId="1805E2C1">
            <w:pPr>
              <w:spacing w:after="0" w:line="560" w:lineRule="exact"/>
              <w:jc w:val="center"/>
            </w:pPr>
            <w:r>
              <w:rPr>
                <w:rFonts w:ascii="黑体" w:hAnsi="黑体" w:eastAsia="黑体"/>
                <w:b/>
                <w:sz w:val="28"/>
              </w:rPr>
              <w:t>发生概率</w:t>
            </w:r>
          </w:p>
        </w:tc>
        <w:tc>
          <w:tcPr>
            <w:tcW w:w="1803" w:type="dxa"/>
          </w:tcPr>
          <w:p w14:paraId="726603F1">
            <w:pPr>
              <w:spacing w:after="0" w:line="560" w:lineRule="exact"/>
              <w:jc w:val="center"/>
            </w:pPr>
            <w:r>
              <w:rPr>
                <w:rFonts w:ascii="黑体" w:hAnsi="黑体" w:eastAsia="黑体"/>
                <w:b/>
                <w:sz w:val="28"/>
              </w:rPr>
              <w:t>影响程度</w:t>
            </w:r>
          </w:p>
        </w:tc>
        <w:tc>
          <w:tcPr>
            <w:tcW w:w="1803" w:type="dxa"/>
          </w:tcPr>
          <w:p w14:paraId="06519C52">
            <w:pPr>
              <w:spacing w:after="0" w:line="560" w:lineRule="exact"/>
              <w:jc w:val="center"/>
            </w:pPr>
            <w:r>
              <w:rPr>
                <w:rFonts w:ascii="黑体" w:hAnsi="黑体" w:eastAsia="黑体"/>
                <w:b/>
                <w:sz w:val="28"/>
              </w:rPr>
              <w:t>风险等级</w:t>
            </w:r>
          </w:p>
        </w:tc>
        <w:tc>
          <w:tcPr>
            <w:tcW w:w="1803" w:type="dxa"/>
          </w:tcPr>
          <w:p w14:paraId="76A9AA18">
            <w:pPr>
              <w:spacing w:after="0" w:line="560" w:lineRule="exact"/>
              <w:jc w:val="center"/>
            </w:pPr>
            <w:r>
              <w:rPr>
                <w:rFonts w:ascii="黑体" w:hAnsi="黑体" w:eastAsia="黑体"/>
                <w:b/>
                <w:sz w:val="28"/>
              </w:rPr>
              <w:t>优先级</w:t>
            </w:r>
          </w:p>
        </w:tc>
      </w:tr>
      <w:tr w14:paraId="30F47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BE90E1B">
            <w:pPr>
              <w:spacing w:after="0" w:line="560" w:lineRule="exact"/>
              <w:jc w:val="center"/>
            </w:pPr>
            <w:r>
              <w:rPr>
                <w:rFonts w:ascii="宋体" w:hAnsi="宋体" w:eastAsia="宋体"/>
                <w:b w:val="0"/>
                <w:sz w:val="24"/>
              </w:rPr>
              <w:t>技术风险</w:t>
            </w:r>
          </w:p>
        </w:tc>
        <w:tc>
          <w:tcPr>
            <w:tcW w:w="1803" w:type="dxa"/>
          </w:tcPr>
          <w:p w14:paraId="2E5098DE">
            <w:pPr>
              <w:spacing w:after="0" w:line="560" w:lineRule="exact"/>
              <w:jc w:val="center"/>
            </w:pPr>
            <w:r>
              <w:rPr>
                <w:rFonts w:ascii="宋体" w:hAnsi="宋体" w:eastAsia="宋体"/>
                <w:b w:val="0"/>
                <w:sz w:val="24"/>
              </w:rPr>
              <w:t>中</w:t>
            </w:r>
          </w:p>
        </w:tc>
        <w:tc>
          <w:tcPr>
            <w:tcW w:w="1803" w:type="dxa"/>
          </w:tcPr>
          <w:p w14:paraId="2BD5DEB4">
            <w:pPr>
              <w:spacing w:after="0" w:line="560" w:lineRule="exact"/>
              <w:jc w:val="center"/>
            </w:pPr>
            <w:r>
              <w:rPr>
                <w:rFonts w:ascii="宋体" w:hAnsi="宋体" w:eastAsia="宋体"/>
                <w:b w:val="0"/>
                <w:sz w:val="24"/>
              </w:rPr>
              <w:t>高</w:t>
            </w:r>
          </w:p>
        </w:tc>
        <w:tc>
          <w:tcPr>
            <w:tcW w:w="1803" w:type="dxa"/>
          </w:tcPr>
          <w:p w14:paraId="6DA82E30">
            <w:pPr>
              <w:spacing w:after="0" w:line="560" w:lineRule="exact"/>
              <w:jc w:val="center"/>
            </w:pPr>
            <w:r>
              <w:rPr>
                <w:rFonts w:ascii="宋体" w:hAnsi="宋体" w:eastAsia="宋体"/>
                <w:b w:val="0"/>
                <w:sz w:val="24"/>
              </w:rPr>
              <w:t>高</w:t>
            </w:r>
          </w:p>
        </w:tc>
        <w:tc>
          <w:tcPr>
            <w:tcW w:w="1803" w:type="dxa"/>
          </w:tcPr>
          <w:p w14:paraId="63289E8E">
            <w:pPr>
              <w:spacing w:after="0" w:line="560" w:lineRule="exact"/>
              <w:jc w:val="center"/>
            </w:pPr>
            <w:r>
              <w:rPr>
                <w:rFonts w:ascii="宋体" w:hAnsi="宋体" w:eastAsia="宋体"/>
                <w:b w:val="0"/>
                <w:sz w:val="24"/>
              </w:rPr>
              <w:t>1</w:t>
            </w:r>
          </w:p>
        </w:tc>
      </w:tr>
      <w:tr w14:paraId="299D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72014D2">
            <w:pPr>
              <w:spacing w:after="0" w:line="560" w:lineRule="exact"/>
              <w:jc w:val="center"/>
            </w:pPr>
            <w:r>
              <w:rPr>
                <w:rFonts w:ascii="宋体" w:hAnsi="宋体" w:eastAsia="宋体"/>
                <w:b w:val="0"/>
                <w:sz w:val="24"/>
              </w:rPr>
              <w:t>进度风险</w:t>
            </w:r>
          </w:p>
        </w:tc>
        <w:tc>
          <w:tcPr>
            <w:tcW w:w="1803" w:type="dxa"/>
          </w:tcPr>
          <w:p w14:paraId="167CA084">
            <w:pPr>
              <w:spacing w:after="0" w:line="560" w:lineRule="exact"/>
              <w:jc w:val="center"/>
            </w:pPr>
            <w:r>
              <w:rPr>
                <w:rFonts w:ascii="宋体" w:hAnsi="宋体" w:eastAsia="宋体"/>
                <w:b w:val="0"/>
                <w:sz w:val="24"/>
              </w:rPr>
              <w:t>中</w:t>
            </w:r>
          </w:p>
        </w:tc>
        <w:tc>
          <w:tcPr>
            <w:tcW w:w="1803" w:type="dxa"/>
          </w:tcPr>
          <w:p w14:paraId="1506BD77">
            <w:pPr>
              <w:spacing w:after="0" w:line="560" w:lineRule="exact"/>
              <w:jc w:val="center"/>
            </w:pPr>
            <w:r>
              <w:rPr>
                <w:rFonts w:ascii="宋体" w:hAnsi="宋体" w:eastAsia="宋体"/>
                <w:b w:val="0"/>
                <w:sz w:val="24"/>
              </w:rPr>
              <w:t>中</w:t>
            </w:r>
          </w:p>
        </w:tc>
        <w:tc>
          <w:tcPr>
            <w:tcW w:w="1803" w:type="dxa"/>
          </w:tcPr>
          <w:p w14:paraId="0FB0E60C">
            <w:pPr>
              <w:spacing w:after="0" w:line="560" w:lineRule="exact"/>
              <w:jc w:val="center"/>
            </w:pPr>
            <w:r>
              <w:rPr>
                <w:rFonts w:ascii="宋体" w:hAnsi="宋体" w:eastAsia="宋体"/>
                <w:b w:val="0"/>
                <w:sz w:val="24"/>
              </w:rPr>
              <w:t>中</w:t>
            </w:r>
          </w:p>
        </w:tc>
        <w:tc>
          <w:tcPr>
            <w:tcW w:w="1803" w:type="dxa"/>
          </w:tcPr>
          <w:p w14:paraId="0F13EB4F">
            <w:pPr>
              <w:spacing w:after="0" w:line="560" w:lineRule="exact"/>
              <w:jc w:val="center"/>
            </w:pPr>
            <w:r>
              <w:rPr>
                <w:rFonts w:ascii="宋体" w:hAnsi="宋体" w:eastAsia="宋体"/>
                <w:b w:val="0"/>
                <w:sz w:val="24"/>
              </w:rPr>
              <w:t>2</w:t>
            </w:r>
          </w:p>
        </w:tc>
      </w:tr>
      <w:tr w14:paraId="2491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7D9FED93">
            <w:pPr>
              <w:spacing w:after="0" w:line="560" w:lineRule="exact"/>
              <w:jc w:val="center"/>
            </w:pPr>
            <w:r>
              <w:rPr>
                <w:rFonts w:ascii="宋体" w:hAnsi="宋体" w:eastAsia="宋体"/>
                <w:b w:val="0"/>
                <w:sz w:val="24"/>
              </w:rPr>
              <w:t>数据安全风险</w:t>
            </w:r>
          </w:p>
        </w:tc>
        <w:tc>
          <w:tcPr>
            <w:tcW w:w="1803" w:type="dxa"/>
          </w:tcPr>
          <w:p w14:paraId="0B6677E9">
            <w:pPr>
              <w:spacing w:after="0" w:line="560" w:lineRule="exact"/>
              <w:jc w:val="center"/>
            </w:pPr>
            <w:r>
              <w:rPr>
                <w:rFonts w:ascii="宋体" w:hAnsi="宋体" w:eastAsia="宋体"/>
                <w:b w:val="0"/>
                <w:sz w:val="24"/>
              </w:rPr>
              <w:t>低</w:t>
            </w:r>
          </w:p>
        </w:tc>
        <w:tc>
          <w:tcPr>
            <w:tcW w:w="1803" w:type="dxa"/>
          </w:tcPr>
          <w:p w14:paraId="3CFAC2D5">
            <w:pPr>
              <w:spacing w:after="0" w:line="560" w:lineRule="exact"/>
              <w:jc w:val="center"/>
            </w:pPr>
            <w:r>
              <w:rPr>
                <w:rFonts w:ascii="宋体" w:hAnsi="宋体" w:eastAsia="宋体"/>
                <w:b w:val="0"/>
                <w:sz w:val="24"/>
              </w:rPr>
              <w:t>高</w:t>
            </w:r>
          </w:p>
        </w:tc>
        <w:tc>
          <w:tcPr>
            <w:tcW w:w="1803" w:type="dxa"/>
          </w:tcPr>
          <w:p w14:paraId="73795006">
            <w:pPr>
              <w:spacing w:after="0" w:line="560" w:lineRule="exact"/>
              <w:jc w:val="center"/>
            </w:pPr>
            <w:r>
              <w:rPr>
                <w:rFonts w:ascii="宋体" w:hAnsi="宋体" w:eastAsia="宋体"/>
                <w:b w:val="0"/>
                <w:sz w:val="24"/>
              </w:rPr>
              <w:t>中</w:t>
            </w:r>
          </w:p>
        </w:tc>
        <w:tc>
          <w:tcPr>
            <w:tcW w:w="1803" w:type="dxa"/>
          </w:tcPr>
          <w:p w14:paraId="32104FA6">
            <w:pPr>
              <w:spacing w:after="0" w:line="560" w:lineRule="exact"/>
              <w:jc w:val="center"/>
            </w:pPr>
            <w:r>
              <w:rPr>
                <w:rFonts w:ascii="宋体" w:hAnsi="宋体" w:eastAsia="宋体"/>
                <w:b w:val="0"/>
                <w:sz w:val="24"/>
              </w:rPr>
              <w:t>2</w:t>
            </w:r>
          </w:p>
        </w:tc>
      </w:tr>
      <w:tr w14:paraId="4CB8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1721AF5B">
            <w:pPr>
              <w:spacing w:after="0" w:line="560" w:lineRule="exact"/>
              <w:jc w:val="center"/>
            </w:pPr>
            <w:r>
              <w:rPr>
                <w:rFonts w:ascii="宋体" w:hAnsi="宋体" w:eastAsia="宋体"/>
                <w:b w:val="0"/>
                <w:sz w:val="24"/>
              </w:rPr>
              <w:t>业务中断风险</w:t>
            </w:r>
          </w:p>
        </w:tc>
        <w:tc>
          <w:tcPr>
            <w:tcW w:w="1803" w:type="dxa"/>
          </w:tcPr>
          <w:p w14:paraId="54612A6D">
            <w:pPr>
              <w:spacing w:after="0" w:line="560" w:lineRule="exact"/>
              <w:jc w:val="center"/>
            </w:pPr>
            <w:r>
              <w:rPr>
                <w:rFonts w:ascii="宋体" w:hAnsi="宋体" w:eastAsia="宋体"/>
                <w:b w:val="0"/>
                <w:sz w:val="24"/>
              </w:rPr>
              <w:t>低</w:t>
            </w:r>
          </w:p>
        </w:tc>
        <w:tc>
          <w:tcPr>
            <w:tcW w:w="1803" w:type="dxa"/>
          </w:tcPr>
          <w:p w14:paraId="5BA9E346">
            <w:pPr>
              <w:spacing w:after="0" w:line="560" w:lineRule="exact"/>
              <w:jc w:val="center"/>
            </w:pPr>
            <w:r>
              <w:rPr>
                <w:rFonts w:ascii="宋体" w:hAnsi="宋体" w:eastAsia="宋体"/>
                <w:b w:val="0"/>
                <w:sz w:val="24"/>
              </w:rPr>
              <w:t>高</w:t>
            </w:r>
          </w:p>
        </w:tc>
        <w:tc>
          <w:tcPr>
            <w:tcW w:w="1803" w:type="dxa"/>
          </w:tcPr>
          <w:p w14:paraId="697FB90A">
            <w:pPr>
              <w:spacing w:after="0" w:line="560" w:lineRule="exact"/>
              <w:jc w:val="center"/>
            </w:pPr>
            <w:r>
              <w:rPr>
                <w:rFonts w:ascii="宋体" w:hAnsi="宋体" w:eastAsia="宋体"/>
                <w:b w:val="0"/>
                <w:sz w:val="24"/>
              </w:rPr>
              <w:t>中</w:t>
            </w:r>
          </w:p>
        </w:tc>
        <w:tc>
          <w:tcPr>
            <w:tcW w:w="1803" w:type="dxa"/>
          </w:tcPr>
          <w:p w14:paraId="0BB924AB">
            <w:pPr>
              <w:spacing w:after="0" w:line="560" w:lineRule="exact"/>
              <w:jc w:val="center"/>
            </w:pPr>
            <w:r>
              <w:rPr>
                <w:rFonts w:ascii="宋体" w:hAnsi="宋体" w:eastAsia="宋体"/>
                <w:b w:val="0"/>
                <w:sz w:val="24"/>
              </w:rPr>
              <w:t>2</w:t>
            </w:r>
          </w:p>
        </w:tc>
      </w:tr>
      <w:tr w14:paraId="5156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42A7EF23">
            <w:pPr>
              <w:spacing w:after="0" w:line="560" w:lineRule="exact"/>
              <w:jc w:val="center"/>
            </w:pPr>
            <w:r>
              <w:rPr>
                <w:rFonts w:ascii="宋体" w:hAnsi="宋体" w:eastAsia="宋体"/>
                <w:b w:val="0"/>
                <w:sz w:val="24"/>
              </w:rPr>
              <w:t>人员风险</w:t>
            </w:r>
          </w:p>
        </w:tc>
        <w:tc>
          <w:tcPr>
            <w:tcW w:w="1803" w:type="dxa"/>
          </w:tcPr>
          <w:p w14:paraId="25033FFA">
            <w:pPr>
              <w:spacing w:after="0" w:line="560" w:lineRule="exact"/>
              <w:jc w:val="center"/>
            </w:pPr>
            <w:r>
              <w:rPr>
                <w:rFonts w:ascii="宋体" w:hAnsi="宋体" w:eastAsia="宋体"/>
                <w:b w:val="0"/>
                <w:sz w:val="24"/>
              </w:rPr>
              <w:t>中</w:t>
            </w:r>
          </w:p>
        </w:tc>
        <w:tc>
          <w:tcPr>
            <w:tcW w:w="1803" w:type="dxa"/>
          </w:tcPr>
          <w:p w14:paraId="1FC0D3B1">
            <w:pPr>
              <w:spacing w:after="0" w:line="560" w:lineRule="exact"/>
              <w:jc w:val="center"/>
            </w:pPr>
            <w:r>
              <w:rPr>
                <w:rFonts w:ascii="宋体" w:hAnsi="宋体" w:eastAsia="宋体"/>
                <w:b w:val="0"/>
                <w:sz w:val="24"/>
              </w:rPr>
              <w:t>中</w:t>
            </w:r>
          </w:p>
        </w:tc>
        <w:tc>
          <w:tcPr>
            <w:tcW w:w="1803" w:type="dxa"/>
          </w:tcPr>
          <w:p w14:paraId="2A2FFA29">
            <w:pPr>
              <w:spacing w:after="0" w:line="560" w:lineRule="exact"/>
              <w:jc w:val="center"/>
            </w:pPr>
            <w:r>
              <w:rPr>
                <w:rFonts w:ascii="宋体" w:hAnsi="宋体" w:eastAsia="宋体"/>
                <w:b w:val="0"/>
                <w:sz w:val="24"/>
              </w:rPr>
              <w:t>中</w:t>
            </w:r>
          </w:p>
        </w:tc>
        <w:tc>
          <w:tcPr>
            <w:tcW w:w="1803" w:type="dxa"/>
          </w:tcPr>
          <w:p w14:paraId="5B38F0CF">
            <w:pPr>
              <w:spacing w:after="0" w:line="560" w:lineRule="exact"/>
              <w:jc w:val="center"/>
            </w:pPr>
            <w:r>
              <w:rPr>
                <w:rFonts w:ascii="宋体" w:hAnsi="宋体" w:eastAsia="宋体"/>
                <w:b w:val="0"/>
                <w:sz w:val="24"/>
              </w:rPr>
              <w:t>3</w:t>
            </w:r>
          </w:p>
        </w:tc>
      </w:tr>
      <w:tr w14:paraId="35E2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03AF1295">
            <w:pPr>
              <w:spacing w:after="0" w:line="560" w:lineRule="exact"/>
              <w:jc w:val="center"/>
            </w:pPr>
            <w:r>
              <w:rPr>
                <w:rFonts w:ascii="宋体" w:hAnsi="宋体" w:eastAsia="宋体"/>
                <w:b w:val="0"/>
                <w:sz w:val="24"/>
              </w:rPr>
              <w:t>兼容性风险</w:t>
            </w:r>
          </w:p>
        </w:tc>
        <w:tc>
          <w:tcPr>
            <w:tcW w:w="1803" w:type="dxa"/>
          </w:tcPr>
          <w:p w14:paraId="70FCCBFF">
            <w:pPr>
              <w:spacing w:after="0" w:line="560" w:lineRule="exact"/>
              <w:jc w:val="center"/>
            </w:pPr>
            <w:r>
              <w:rPr>
                <w:rFonts w:ascii="宋体" w:hAnsi="宋体" w:eastAsia="宋体"/>
                <w:b w:val="0"/>
                <w:sz w:val="24"/>
              </w:rPr>
              <w:t>中</w:t>
            </w:r>
          </w:p>
        </w:tc>
        <w:tc>
          <w:tcPr>
            <w:tcW w:w="1803" w:type="dxa"/>
          </w:tcPr>
          <w:p w14:paraId="6188CE95">
            <w:pPr>
              <w:spacing w:after="0" w:line="560" w:lineRule="exact"/>
              <w:jc w:val="center"/>
            </w:pPr>
            <w:r>
              <w:rPr>
                <w:rFonts w:ascii="宋体" w:hAnsi="宋体" w:eastAsia="宋体"/>
                <w:b w:val="0"/>
                <w:sz w:val="24"/>
              </w:rPr>
              <w:t>中</w:t>
            </w:r>
          </w:p>
        </w:tc>
        <w:tc>
          <w:tcPr>
            <w:tcW w:w="1803" w:type="dxa"/>
          </w:tcPr>
          <w:p w14:paraId="3CD896F7">
            <w:pPr>
              <w:spacing w:after="0" w:line="560" w:lineRule="exact"/>
              <w:jc w:val="center"/>
            </w:pPr>
            <w:r>
              <w:rPr>
                <w:rFonts w:ascii="宋体" w:hAnsi="宋体" w:eastAsia="宋体"/>
                <w:b w:val="0"/>
                <w:sz w:val="24"/>
              </w:rPr>
              <w:t>中</w:t>
            </w:r>
          </w:p>
        </w:tc>
        <w:tc>
          <w:tcPr>
            <w:tcW w:w="1803" w:type="dxa"/>
          </w:tcPr>
          <w:p w14:paraId="1530D1E4">
            <w:pPr>
              <w:spacing w:after="0" w:line="560" w:lineRule="exact"/>
              <w:jc w:val="center"/>
            </w:pPr>
            <w:r>
              <w:rPr>
                <w:rFonts w:ascii="宋体" w:hAnsi="宋体" w:eastAsia="宋体"/>
                <w:b w:val="0"/>
                <w:sz w:val="24"/>
              </w:rPr>
              <w:t>3</w:t>
            </w:r>
          </w:p>
        </w:tc>
      </w:tr>
    </w:tbl>
    <w:p w14:paraId="17B63061">
      <w:pPr>
        <w:spacing w:before="0" w:after="0" w:line="600" w:lineRule="exact"/>
        <w:ind w:firstLine="640"/>
      </w:pPr>
      <w:r>
        <w:rPr>
          <w:rFonts w:ascii="Times New Roman" w:hAnsi="Times New Roman" w:eastAsia="仿宋_GB2312"/>
          <w:b w:val="0"/>
          <w:sz w:val="32"/>
        </w:rPr>
        <w:t>根据风险矩阵分析，技术风险为最高优先级风险，需要重点监控和应对。进度风险、数据安全风险和业务中断风险为中等优先级，需要制定详细的应对预案。人员风险和兼容性风险为一般优先级，需要保持关注并制定基本的应对措施。项目团队将根据风险矩阵，合理分配风险管理资源，确保高风险问题得到充分关注和有效应对。</w:t>
      </w:r>
    </w:p>
    <w:p w14:paraId="3E323D1C">
      <w:pPr>
        <w:spacing w:before="240" w:after="240" w:line="600" w:lineRule="exact"/>
        <w:jc w:val="center"/>
        <w:outlineLvl w:val="0"/>
      </w:pPr>
      <w:bookmarkStart w:id="40" w:name="_Toc20889"/>
      <w:r>
        <w:rPr>
          <w:rFonts w:ascii="黑体" w:hAnsi="黑体" w:eastAsia="黑体"/>
          <w:b/>
          <w:sz w:val="32"/>
        </w:rPr>
        <w:t>九、培训与技术支持</w:t>
      </w:r>
      <w:bookmarkEnd w:id="40"/>
    </w:p>
    <w:p w14:paraId="12BEACED">
      <w:pPr>
        <w:spacing w:before="120" w:after="120" w:line="600" w:lineRule="exact"/>
        <w:jc w:val="left"/>
        <w:outlineLvl w:val="1"/>
      </w:pPr>
      <w:bookmarkStart w:id="41" w:name="_Toc9097"/>
      <w:r>
        <w:rPr>
          <w:rFonts w:ascii="楷体_GB2312" w:hAnsi="楷体_GB2312" w:eastAsia="楷体_GB2312"/>
          <w:b/>
          <w:sz w:val="32"/>
        </w:rPr>
        <w:t>（一）培训计划</w:t>
      </w:r>
      <w:bookmarkEnd w:id="41"/>
    </w:p>
    <w:p w14:paraId="684EDAE4">
      <w:pPr>
        <w:spacing w:before="0" w:after="0" w:line="600" w:lineRule="exact"/>
        <w:ind w:firstLine="640"/>
      </w:pPr>
      <w:r>
        <w:rPr>
          <w:rFonts w:ascii="Times New Roman" w:hAnsi="Times New Roman" w:eastAsia="仿宋_GB2312"/>
          <w:b w:val="0"/>
          <w:sz w:val="32"/>
        </w:rPr>
        <w:t>1. 培训对象：荣成市大数据中心技术人员（5-8人）、系统运维人员（3-5人）、业务操作人员（10-15人）。培训对象根据岗位职责分为三个层次：技术管理员需要掌握系统架构、配置管理、故障诊断等高级技能；系统运维员需要掌握日常巡检、备份恢复、性能监控等运维技能；业务操作员需要掌握系统基本操作、功能使用、常见问题处理等操作技能。</w:t>
      </w:r>
    </w:p>
    <w:p w14:paraId="5926E020">
      <w:pPr>
        <w:spacing w:before="0" w:after="0" w:line="600" w:lineRule="exact"/>
        <w:ind w:firstLine="640"/>
      </w:pPr>
      <w:r>
        <w:rPr>
          <w:rFonts w:ascii="Times New Roman" w:hAnsi="Times New Roman" w:eastAsia="仿宋_GB2312"/>
          <w:b w:val="0"/>
          <w:sz w:val="32"/>
        </w:rPr>
        <w:t>2. 培训内容：</w:t>
      </w:r>
    </w:p>
    <w:p w14:paraId="7E58079F">
      <w:pPr>
        <w:spacing w:before="0" w:after="0" w:line="600" w:lineRule="exact"/>
        <w:ind w:firstLine="640"/>
      </w:pPr>
      <w:r>
        <w:rPr>
          <w:rFonts w:ascii="Times New Roman" w:hAnsi="Times New Roman" w:eastAsia="仿宋_GB2312"/>
          <w:b w:val="0"/>
          <w:sz w:val="32"/>
        </w:rPr>
        <w:t>（1）国产操作系统使用与维护，包括系统安装、配置、升级、故障排查、日志分析、性能监控等。重点培训国产服务器操作系统的系统管理命令、网络配置、用户权限管理、服务管理、安全加固等操作技能。</w:t>
      </w:r>
    </w:p>
    <w:p w14:paraId="3BECD5E9">
      <w:pPr>
        <w:spacing w:before="0" w:after="0" w:line="600" w:lineRule="exact"/>
        <w:ind w:firstLine="640"/>
      </w:pPr>
      <w:r>
        <w:rPr>
          <w:rFonts w:ascii="Times New Roman" w:hAnsi="Times New Roman" w:eastAsia="仿宋_GB2312"/>
          <w:b w:val="0"/>
          <w:sz w:val="32"/>
        </w:rPr>
        <w:t>（2）国产数据库管理与维护，包括数据库安装、备份恢复、性能优化、故障处理、数据迁移、存储过程管理等。重点培训国产数据库管理系统的数据库创建、表空间管理、用户权限管理、备份恢复操作、SQL调优等技能。</w:t>
      </w:r>
    </w:p>
    <w:p w14:paraId="5AAE9807">
      <w:pPr>
        <w:spacing w:before="0" w:after="0" w:line="600" w:lineRule="exact"/>
        <w:ind w:firstLine="640"/>
      </w:pPr>
      <w:r>
        <w:rPr>
          <w:rFonts w:ascii="Times New Roman" w:hAnsi="Times New Roman" w:eastAsia="仿宋_GB2312"/>
          <w:b w:val="0"/>
          <w:sz w:val="32"/>
        </w:rPr>
        <w:t>（3）国产中间件配置与优化，包括应用部署、性能调优、集群配置、日志管理、故障排查等。重点培训国产应用中间件的域配置、数据源配置、应用部署、JVM调优等操作技能。</w:t>
      </w:r>
    </w:p>
    <w:p w14:paraId="7AD4A3FC">
      <w:pPr>
        <w:spacing w:before="0" w:after="0" w:line="600" w:lineRule="exact"/>
        <w:ind w:firstLine="640"/>
      </w:pPr>
      <w:r>
        <w:rPr>
          <w:rFonts w:ascii="Times New Roman" w:hAnsi="Times New Roman" w:eastAsia="仿宋_GB2312"/>
          <w:b w:val="0"/>
          <w:sz w:val="32"/>
        </w:rPr>
        <w:t>（4）系统故障诊断与处理，包括日志分析、问题定位、应急处理、故障恢复等。通过典型案例分析，帮助学员掌握常见故障的排查思路和处理方法。</w:t>
      </w:r>
    </w:p>
    <w:p w14:paraId="548B8314">
      <w:pPr>
        <w:spacing w:before="0" w:after="0" w:line="600" w:lineRule="exact"/>
        <w:ind w:firstLine="640"/>
      </w:pPr>
      <w:r>
        <w:rPr>
          <w:rFonts w:ascii="Times New Roman" w:hAnsi="Times New Roman" w:eastAsia="仿宋_GB2312"/>
          <w:b w:val="0"/>
          <w:sz w:val="32"/>
        </w:rPr>
        <w:t>（5）日常运维操作规范，包括巡检、备份、变更管理、安全管理等。制定标准化的运维操作手册，确保运维工作的规范性和一致性。</w:t>
      </w:r>
    </w:p>
    <w:p w14:paraId="230EEB8F">
      <w:pPr>
        <w:spacing w:before="0" w:after="0" w:line="600" w:lineRule="exact"/>
        <w:ind w:firstLine="640"/>
      </w:pPr>
      <w:r>
        <w:rPr>
          <w:rFonts w:ascii="Times New Roman" w:hAnsi="Times New Roman" w:eastAsia="仿宋_GB2312"/>
          <w:b w:val="0"/>
          <w:sz w:val="32"/>
        </w:rPr>
        <w:t>3. 培训方式：采用集中授课、上机实操、现场指导相结合的方式，确保学员能够熟练掌握相关技能。集中授课侧重理论知识和操作规范，上机实操侧重动手能力和实际操作，现场指导侧重解决实际问题和特殊场景。</w:t>
      </w:r>
    </w:p>
    <w:p w14:paraId="55F367AB">
      <w:pPr>
        <w:spacing w:before="0" w:after="0" w:line="600" w:lineRule="exact"/>
        <w:ind w:firstLine="640"/>
      </w:pPr>
      <w:r>
        <w:rPr>
          <w:rFonts w:ascii="Times New Roman" w:hAnsi="Times New Roman" w:eastAsia="仿宋_GB2312"/>
          <w:b w:val="0"/>
          <w:sz w:val="32"/>
        </w:rPr>
        <w:t>4. 培训时长：合计5天（40学时），其中理论授课2天（16学时），上机实操2天（16学时），现场指导1天（8学时）。培训结束后进行考核，考核合格者发放培训证书。</w:t>
      </w:r>
    </w:p>
    <w:p w14:paraId="18024F90">
      <w:pPr>
        <w:spacing w:before="0" w:after="0" w:line="600" w:lineRule="exact"/>
        <w:ind w:firstLine="640"/>
      </w:pPr>
      <w:r>
        <w:rPr>
          <w:rFonts w:ascii="Times New Roman" w:hAnsi="Times New Roman" w:eastAsia="仿宋_GB2312"/>
          <w:b w:val="0"/>
          <w:sz w:val="32"/>
        </w:rPr>
        <w:t>5. 培训教材：提供完整的培训教材（PPT课件、操作手册、实验指导书等），方便学员课后复习和查阅。培训教材根据实际系统环境编写，包含大量的操作截图和实例说明。</w:t>
      </w:r>
    </w:p>
    <w:p w14:paraId="1BCA551D">
      <w:pPr>
        <w:spacing w:before="0" w:after="0" w:line="600" w:lineRule="exact"/>
        <w:ind w:firstLine="640"/>
      </w:pPr>
      <w:r>
        <w:rPr>
          <w:rFonts w:ascii="Times New Roman" w:hAnsi="Times New Roman" w:eastAsia="仿宋_GB2312"/>
          <w:b w:val="0"/>
          <w:sz w:val="32"/>
        </w:rPr>
        <w:t>6. 培训考核方式：采用理论考试和实操考核相结合的方式。理论考试采用闭卷笔试，重点考核学员对国产化基础知识和运维规范的掌握程度。实操考核采用上机操作，重点考核学员的实际操作能力和问题解决能力。理论考试成绩和实操考核成绩各占50%，总分达到80分及以上为合格。</w:t>
      </w:r>
    </w:p>
    <w:p w14:paraId="3D20F43E">
      <w:pPr>
        <w:spacing w:before="0" w:after="0" w:line="600" w:lineRule="exact"/>
        <w:ind w:firstLine="640"/>
      </w:pPr>
      <w:r>
        <w:rPr>
          <w:rFonts w:ascii="Times New Roman" w:hAnsi="Times New Roman" w:eastAsia="仿宋_GB2312"/>
          <w:b w:val="0"/>
          <w:sz w:val="32"/>
        </w:rPr>
        <w:t>7. 培训效果评估：培训结束后，对学员进行培训效果问卷调查，收集学员对培训内容、培训方式、讲师水平等方面的评价意见。同时，在培训后1个月和3个月分别进行跟踪评估，了解学员在实际工作中对培训知识的应用情况，评估培训的实际效果。</w:t>
      </w:r>
    </w:p>
    <w:p w14:paraId="3426D3A7">
      <w:pPr>
        <w:spacing w:before="120" w:after="120" w:line="600" w:lineRule="exact"/>
        <w:ind w:firstLine="640"/>
        <w:jc w:val="left"/>
      </w:pPr>
      <w:r>
        <w:rPr>
          <w:rFonts w:ascii="Times New Roman" w:hAnsi="Times New Roman" w:eastAsia="仿宋_GB2312"/>
          <w:b w:val="0"/>
          <w:sz w:val="32"/>
        </w:rPr>
        <w:t>8. 培训课程安排</w:t>
      </w:r>
    </w:p>
    <w:p w14:paraId="73CD999C">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741"/>
        <w:gridCol w:w="1695"/>
        <w:gridCol w:w="1696"/>
      </w:tblGrid>
      <w:tr w14:paraId="5EC0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7804F145">
            <w:pPr>
              <w:spacing w:after="0" w:line="560" w:lineRule="exact"/>
              <w:jc w:val="center"/>
            </w:pPr>
            <w:r>
              <w:rPr>
                <w:rFonts w:ascii="黑体" w:hAnsi="黑体" w:eastAsia="黑体"/>
                <w:b/>
                <w:sz w:val="28"/>
              </w:rPr>
              <w:t>时间</w:t>
            </w:r>
          </w:p>
        </w:tc>
        <w:tc>
          <w:tcPr>
            <w:tcW w:w="1741" w:type="dxa"/>
          </w:tcPr>
          <w:p w14:paraId="39DCFB9C">
            <w:pPr>
              <w:spacing w:after="0" w:line="560" w:lineRule="exact"/>
              <w:jc w:val="center"/>
            </w:pPr>
            <w:r>
              <w:rPr>
                <w:rFonts w:ascii="黑体" w:hAnsi="黑体" w:eastAsia="黑体"/>
                <w:b/>
                <w:sz w:val="28"/>
              </w:rPr>
              <w:t>课程内容</w:t>
            </w:r>
          </w:p>
        </w:tc>
        <w:tc>
          <w:tcPr>
            <w:tcW w:w="1695" w:type="dxa"/>
          </w:tcPr>
          <w:p w14:paraId="29B77481">
            <w:pPr>
              <w:spacing w:after="0" w:line="560" w:lineRule="exact"/>
              <w:jc w:val="center"/>
            </w:pPr>
            <w:r>
              <w:rPr>
                <w:rFonts w:ascii="黑体" w:hAnsi="黑体" w:eastAsia="黑体"/>
                <w:b/>
                <w:sz w:val="28"/>
              </w:rPr>
              <w:t>培训方式</w:t>
            </w:r>
          </w:p>
        </w:tc>
        <w:tc>
          <w:tcPr>
            <w:tcW w:w="1696" w:type="dxa"/>
          </w:tcPr>
          <w:p w14:paraId="6E7826DE">
            <w:pPr>
              <w:spacing w:after="0" w:line="560" w:lineRule="exact"/>
              <w:jc w:val="center"/>
            </w:pPr>
            <w:r>
              <w:rPr>
                <w:rFonts w:ascii="黑体" w:hAnsi="黑体" w:eastAsia="黑体"/>
                <w:b/>
                <w:sz w:val="28"/>
              </w:rPr>
              <w:t>学时</w:t>
            </w:r>
          </w:p>
        </w:tc>
      </w:tr>
      <w:tr w14:paraId="381B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19163276">
            <w:pPr>
              <w:spacing w:after="0" w:line="560" w:lineRule="exact"/>
              <w:jc w:val="center"/>
            </w:pPr>
            <w:r>
              <w:rPr>
                <w:rFonts w:ascii="宋体" w:hAnsi="宋体" w:eastAsia="宋体"/>
                <w:b w:val="0"/>
                <w:sz w:val="24"/>
              </w:rPr>
              <w:t>第1天上午</w:t>
            </w:r>
          </w:p>
        </w:tc>
        <w:tc>
          <w:tcPr>
            <w:tcW w:w="1741" w:type="dxa"/>
          </w:tcPr>
          <w:p w14:paraId="1A3575D2">
            <w:pPr>
              <w:spacing w:after="0" w:line="560" w:lineRule="exact"/>
              <w:jc w:val="center"/>
            </w:pPr>
            <w:r>
              <w:rPr>
                <w:rFonts w:ascii="宋体" w:hAnsi="宋体" w:eastAsia="宋体"/>
                <w:b w:val="0"/>
                <w:sz w:val="24"/>
              </w:rPr>
              <w:t>国产化政策与技术概述</w:t>
            </w:r>
          </w:p>
        </w:tc>
        <w:tc>
          <w:tcPr>
            <w:tcW w:w="1695" w:type="dxa"/>
          </w:tcPr>
          <w:p w14:paraId="73F81128">
            <w:pPr>
              <w:spacing w:after="0" w:line="560" w:lineRule="exact"/>
              <w:jc w:val="center"/>
            </w:pPr>
            <w:r>
              <w:rPr>
                <w:rFonts w:ascii="宋体" w:hAnsi="宋体" w:eastAsia="宋体"/>
                <w:b w:val="0"/>
                <w:sz w:val="24"/>
              </w:rPr>
              <w:t>集中授课</w:t>
            </w:r>
          </w:p>
        </w:tc>
        <w:tc>
          <w:tcPr>
            <w:tcW w:w="1696" w:type="dxa"/>
          </w:tcPr>
          <w:p w14:paraId="129BD876">
            <w:pPr>
              <w:spacing w:after="0" w:line="560" w:lineRule="exact"/>
              <w:jc w:val="center"/>
            </w:pPr>
            <w:r>
              <w:rPr>
                <w:rFonts w:ascii="宋体" w:hAnsi="宋体" w:eastAsia="宋体"/>
                <w:b w:val="0"/>
                <w:sz w:val="24"/>
              </w:rPr>
              <w:t>4</w:t>
            </w:r>
          </w:p>
        </w:tc>
      </w:tr>
      <w:tr w14:paraId="057A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262E8E2A">
            <w:pPr>
              <w:spacing w:after="0" w:line="560" w:lineRule="exact"/>
              <w:jc w:val="center"/>
            </w:pPr>
            <w:r>
              <w:rPr>
                <w:rFonts w:ascii="宋体" w:hAnsi="宋体" w:eastAsia="宋体"/>
                <w:b w:val="0"/>
                <w:sz w:val="24"/>
              </w:rPr>
              <w:t>第1天下午</w:t>
            </w:r>
          </w:p>
        </w:tc>
        <w:tc>
          <w:tcPr>
            <w:tcW w:w="1741" w:type="dxa"/>
          </w:tcPr>
          <w:p w14:paraId="08E17D95">
            <w:pPr>
              <w:spacing w:after="0" w:line="560" w:lineRule="exact"/>
              <w:jc w:val="center"/>
            </w:pPr>
            <w:r>
              <w:rPr>
                <w:rFonts w:ascii="宋体" w:hAnsi="宋体" w:eastAsia="宋体"/>
                <w:b w:val="0"/>
                <w:sz w:val="24"/>
              </w:rPr>
              <w:t>国产服务器操作系统管理</w:t>
            </w:r>
          </w:p>
        </w:tc>
        <w:tc>
          <w:tcPr>
            <w:tcW w:w="1695" w:type="dxa"/>
          </w:tcPr>
          <w:p w14:paraId="5FFC46BE">
            <w:pPr>
              <w:spacing w:after="0" w:line="560" w:lineRule="exact"/>
              <w:jc w:val="center"/>
            </w:pPr>
            <w:r>
              <w:rPr>
                <w:rFonts w:ascii="宋体" w:hAnsi="宋体" w:eastAsia="宋体"/>
                <w:b w:val="0"/>
                <w:sz w:val="24"/>
              </w:rPr>
              <w:t>集中授课</w:t>
            </w:r>
          </w:p>
        </w:tc>
        <w:tc>
          <w:tcPr>
            <w:tcW w:w="1696" w:type="dxa"/>
          </w:tcPr>
          <w:p w14:paraId="3FA0042E">
            <w:pPr>
              <w:spacing w:after="0" w:line="560" w:lineRule="exact"/>
              <w:jc w:val="center"/>
            </w:pPr>
            <w:r>
              <w:rPr>
                <w:rFonts w:ascii="宋体" w:hAnsi="宋体" w:eastAsia="宋体"/>
                <w:b w:val="0"/>
                <w:sz w:val="24"/>
              </w:rPr>
              <w:t>4</w:t>
            </w:r>
          </w:p>
        </w:tc>
      </w:tr>
      <w:tr w14:paraId="14B32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54E1EBF6">
            <w:pPr>
              <w:spacing w:after="0" w:line="560" w:lineRule="exact"/>
              <w:jc w:val="center"/>
            </w:pPr>
            <w:r>
              <w:rPr>
                <w:rFonts w:ascii="宋体" w:hAnsi="宋体" w:eastAsia="宋体"/>
                <w:b w:val="0"/>
                <w:sz w:val="24"/>
              </w:rPr>
              <w:t>第2天上午</w:t>
            </w:r>
          </w:p>
        </w:tc>
        <w:tc>
          <w:tcPr>
            <w:tcW w:w="1741" w:type="dxa"/>
          </w:tcPr>
          <w:p w14:paraId="32F7C9B3">
            <w:pPr>
              <w:spacing w:after="0" w:line="560" w:lineRule="exact"/>
              <w:jc w:val="center"/>
            </w:pPr>
            <w:r>
              <w:rPr>
                <w:rFonts w:ascii="宋体" w:hAnsi="宋体" w:eastAsia="宋体"/>
                <w:b w:val="0"/>
                <w:sz w:val="24"/>
              </w:rPr>
              <w:t>国产数据库管理系统管理</w:t>
            </w:r>
          </w:p>
        </w:tc>
        <w:tc>
          <w:tcPr>
            <w:tcW w:w="1695" w:type="dxa"/>
          </w:tcPr>
          <w:p w14:paraId="2D9DD0F3">
            <w:pPr>
              <w:spacing w:after="0" w:line="560" w:lineRule="exact"/>
              <w:jc w:val="center"/>
            </w:pPr>
            <w:r>
              <w:rPr>
                <w:rFonts w:ascii="宋体" w:hAnsi="宋体" w:eastAsia="宋体"/>
                <w:b w:val="0"/>
                <w:sz w:val="24"/>
              </w:rPr>
              <w:t>集中授课</w:t>
            </w:r>
          </w:p>
        </w:tc>
        <w:tc>
          <w:tcPr>
            <w:tcW w:w="1696" w:type="dxa"/>
          </w:tcPr>
          <w:p w14:paraId="1DF86490">
            <w:pPr>
              <w:spacing w:after="0" w:line="560" w:lineRule="exact"/>
              <w:jc w:val="center"/>
            </w:pPr>
            <w:r>
              <w:rPr>
                <w:rFonts w:ascii="宋体" w:hAnsi="宋体" w:eastAsia="宋体"/>
                <w:b w:val="0"/>
                <w:sz w:val="24"/>
              </w:rPr>
              <w:t>4</w:t>
            </w:r>
          </w:p>
        </w:tc>
      </w:tr>
      <w:tr w14:paraId="7C758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1AF14F7D">
            <w:pPr>
              <w:spacing w:after="0" w:line="560" w:lineRule="exact"/>
              <w:jc w:val="center"/>
            </w:pPr>
            <w:r>
              <w:rPr>
                <w:rFonts w:ascii="宋体" w:hAnsi="宋体" w:eastAsia="宋体"/>
                <w:b w:val="0"/>
                <w:sz w:val="24"/>
              </w:rPr>
              <w:t>第2天下午</w:t>
            </w:r>
          </w:p>
        </w:tc>
        <w:tc>
          <w:tcPr>
            <w:tcW w:w="1741" w:type="dxa"/>
          </w:tcPr>
          <w:p w14:paraId="3D77CD7A">
            <w:pPr>
              <w:spacing w:after="0" w:line="560" w:lineRule="exact"/>
              <w:jc w:val="center"/>
            </w:pPr>
            <w:r>
              <w:rPr>
                <w:rFonts w:ascii="宋体" w:hAnsi="宋体" w:eastAsia="宋体"/>
                <w:b w:val="0"/>
                <w:sz w:val="24"/>
              </w:rPr>
              <w:t>国产应用中间件配置管理</w:t>
            </w:r>
          </w:p>
        </w:tc>
        <w:tc>
          <w:tcPr>
            <w:tcW w:w="1695" w:type="dxa"/>
          </w:tcPr>
          <w:p w14:paraId="54782F30">
            <w:pPr>
              <w:spacing w:after="0" w:line="560" w:lineRule="exact"/>
              <w:jc w:val="center"/>
            </w:pPr>
            <w:r>
              <w:rPr>
                <w:rFonts w:ascii="宋体" w:hAnsi="宋体" w:eastAsia="宋体"/>
                <w:b w:val="0"/>
                <w:sz w:val="24"/>
              </w:rPr>
              <w:t>集中授课</w:t>
            </w:r>
          </w:p>
        </w:tc>
        <w:tc>
          <w:tcPr>
            <w:tcW w:w="1696" w:type="dxa"/>
          </w:tcPr>
          <w:p w14:paraId="1161C76D">
            <w:pPr>
              <w:spacing w:after="0" w:line="560" w:lineRule="exact"/>
              <w:jc w:val="center"/>
            </w:pPr>
            <w:r>
              <w:rPr>
                <w:rFonts w:ascii="宋体" w:hAnsi="宋体" w:eastAsia="宋体"/>
                <w:b w:val="0"/>
                <w:sz w:val="24"/>
              </w:rPr>
              <w:t>4</w:t>
            </w:r>
          </w:p>
        </w:tc>
      </w:tr>
      <w:tr w14:paraId="32CC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2D09313C">
            <w:pPr>
              <w:spacing w:after="0" w:line="560" w:lineRule="exact"/>
              <w:jc w:val="center"/>
            </w:pPr>
            <w:r>
              <w:rPr>
                <w:rFonts w:ascii="宋体" w:hAnsi="宋体" w:eastAsia="宋体"/>
                <w:b w:val="0"/>
                <w:sz w:val="24"/>
              </w:rPr>
              <w:t>第3天</w:t>
            </w:r>
          </w:p>
        </w:tc>
        <w:tc>
          <w:tcPr>
            <w:tcW w:w="1741" w:type="dxa"/>
          </w:tcPr>
          <w:p w14:paraId="2A4AE3EA">
            <w:pPr>
              <w:spacing w:after="0" w:line="560" w:lineRule="exact"/>
              <w:jc w:val="center"/>
            </w:pPr>
            <w:r>
              <w:rPr>
                <w:rFonts w:ascii="宋体" w:hAnsi="宋体" w:eastAsia="宋体"/>
                <w:b w:val="0"/>
                <w:sz w:val="24"/>
              </w:rPr>
              <w:t>国产操作系统上机实操</w:t>
            </w:r>
          </w:p>
        </w:tc>
        <w:tc>
          <w:tcPr>
            <w:tcW w:w="1695" w:type="dxa"/>
          </w:tcPr>
          <w:p w14:paraId="3D836266">
            <w:pPr>
              <w:spacing w:after="0" w:line="560" w:lineRule="exact"/>
              <w:jc w:val="center"/>
            </w:pPr>
            <w:r>
              <w:rPr>
                <w:rFonts w:ascii="宋体" w:hAnsi="宋体" w:eastAsia="宋体"/>
                <w:b w:val="0"/>
                <w:sz w:val="24"/>
              </w:rPr>
              <w:t>上机实操</w:t>
            </w:r>
          </w:p>
        </w:tc>
        <w:tc>
          <w:tcPr>
            <w:tcW w:w="1696" w:type="dxa"/>
          </w:tcPr>
          <w:p w14:paraId="440C564E">
            <w:pPr>
              <w:spacing w:after="0" w:line="560" w:lineRule="exact"/>
              <w:jc w:val="center"/>
            </w:pPr>
            <w:r>
              <w:rPr>
                <w:rFonts w:ascii="宋体" w:hAnsi="宋体" w:eastAsia="宋体"/>
                <w:b w:val="0"/>
                <w:sz w:val="24"/>
              </w:rPr>
              <w:t>8</w:t>
            </w:r>
          </w:p>
        </w:tc>
      </w:tr>
      <w:tr w14:paraId="5D6C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5B277E36">
            <w:pPr>
              <w:spacing w:after="0" w:line="560" w:lineRule="exact"/>
              <w:jc w:val="center"/>
            </w:pPr>
            <w:r>
              <w:rPr>
                <w:rFonts w:ascii="宋体" w:hAnsi="宋体" w:eastAsia="宋体"/>
                <w:b w:val="0"/>
                <w:sz w:val="24"/>
              </w:rPr>
              <w:t>第4天</w:t>
            </w:r>
          </w:p>
        </w:tc>
        <w:tc>
          <w:tcPr>
            <w:tcW w:w="1741" w:type="dxa"/>
          </w:tcPr>
          <w:p w14:paraId="12AD97EE">
            <w:pPr>
              <w:spacing w:after="0" w:line="560" w:lineRule="exact"/>
              <w:jc w:val="center"/>
            </w:pPr>
            <w:r>
              <w:rPr>
                <w:rFonts w:ascii="宋体" w:hAnsi="宋体" w:eastAsia="宋体"/>
                <w:b w:val="0"/>
                <w:sz w:val="24"/>
              </w:rPr>
              <w:t>国产数据库厂商+国产中间件厂商上机实操</w:t>
            </w:r>
          </w:p>
        </w:tc>
        <w:tc>
          <w:tcPr>
            <w:tcW w:w="1695" w:type="dxa"/>
          </w:tcPr>
          <w:p w14:paraId="14541EA8">
            <w:pPr>
              <w:spacing w:after="0" w:line="560" w:lineRule="exact"/>
              <w:jc w:val="center"/>
            </w:pPr>
            <w:r>
              <w:rPr>
                <w:rFonts w:ascii="宋体" w:hAnsi="宋体" w:eastAsia="宋体"/>
                <w:b w:val="0"/>
                <w:sz w:val="24"/>
              </w:rPr>
              <w:t>上机实操</w:t>
            </w:r>
          </w:p>
        </w:tc>
        <w:tc>
          <w:tcPr>
            <w:tcW w:w="1696" w:type="dxa"/>
          </w:tcPr>
          <w:p w14:paraId="1B375E55">
            <w:pPr>
              <w:spacing w:after="0" w:line="560" w:lineRule="exact"/>
              <w:jc w:val="center"/>
            </w:pPr>
            <w:r>
              <w:rPr>
                <w:rFonts w:ascii="宋体" w:hAnsi="宋体" w:eastAsia="宋体"/>
                <w:b w:val="0"/>
                <w:sz w:val="24"/>
              </w:rPr>
              <w:t>8</w:t>
            </w:r>
          </w:p>
        </w:tc>
      </w:tr>
      <w:tr w14:paraId="6AEF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7963A129">
            <w:pPr>
              <w:spacing w:after="0" w:line="560" w:lineRule="exact"/>
              <w:jc w:val="center"/>
            </w:pPr>
            <w:r>
              <w:rPr>
                <w:rFonts w:ascii="宋体" w:hAnsi="宋体" w:eastAsia="宋体"/>
                <w:b w:val="0"/>
                <w:sz w:val="24"/>
              </w:rPr>
              <w:t>第5天上午</w:t>
            </w:r>
          </w:p>
        </w:tc>
        <w:tc>
          <w:tcPr>
            <w:tcW w:w="1741" w:type="dxa"/>
          </w:tcPr>
          <w:p w14:paraId="233E4F60">
            <w:pPr>
              <w:spacing w:after="0" w:line="560" w:lineRule="exact"/>
              <w:jc w:val="center"/>
            </w:pPr>
            <w:r>
              <w:rPr>
                <w:rFonts w:ascii="宋体" w:hAnsi="宋体" w:eastAsia="宋体"/>
                <w:b w:val="0"/>
                <w:sz w:val="24"/>
              </w:rPr>
              <w:t>故障诊断与应急处理</w:t>
            </w:r>
          </w:p>
        </w:tc>
        <w:tc>
          <w:tcPr>
            <w:tcW w:w="1695" w:type="dxa"/>
          </w:tcPr>
          <w:p w14:paraId="71E97B7D">
            <w:pPr>
              <w:spacing w:after="0" w:line="560" w:lineRule="exact"/>
              <w:jc w:val="center"/>
            </w:pPr>
            <w:r>
              <w:rPr>
                <w:rFonts w:ascii="宋体" w:hAnsi="宋体" w:eastAsia="宋体"/>
                <w:b w:val="0"/>
                <w:sz w:val="24"/>
              </w:rPr>
              <w:t>集中授课</w:t>
            </w:r>
          </w:p>
        </w:tc>
        <w:tc>
          <w:tcPr>
            <w:tcW w:w="1696" w:type="dxa"/>
          </w:tcPr>
          <w:p w14:paraId="46032F41">
            <w:pPr>
              <w:spacing w:after="0" w:line="560" w:lineRule="exact"/>
              <w:jc w:val="center"/>
            </w:pPr>
            <w:r>
              <w:rPr>
                <w:rFonts w:ascii="宋体" w:hAnsi="宋体" w:eastAsia="宋体"/>
                <w:b w:val="0"/>
                <w:sz w:val="24"/>
              </w:rPr>
              <w:t>4</w:t>
            </w:r>
          </w:p>
        </w:tc>
      </w:tr>
      <w:tr w14:paraId="4F5D2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03F46ADF">
            <w:pPr>
              <w:spacing w:after="0" w:line="560" w:lineRule="exact"/>
              <w:jc w:val="center"/>
            </w:pPr>
            <w:r>
              <w:rPr>
                <w:rFonts w:ascii="宋体" w:hAnsi="宋体" w:eastAsia="宋体"/>
                <w:b w:val="0"/>
                <w:sz w:val="24"/>
              </w:rPr>
              <w:t>第5天下午</w:t>
            </w:r>
          </w:p>
        </w:tc>
        <w:tc>
          <w:tcPr>
            <w:tcW w:w="1741" w:type="dxa"/>
          </w:tcPr>
          <w:p w14:paraId="02BBAEDA">
            <w:pPr>
              <w:spacing w:after="0" w:line="560" w:lineRule="exact"/>
              <w:jc w:val="center"/>
            </w:pPr>
            <w:r>
              <w:rPr>
                <w:rFonts w:ascii="宋体" w:hAnsi="宋体" w:eastAsia="宋体"/>
                <w:b w:val="0"/>
                <w:sz w:val="24"/>
              </w:rPr>
              <w:t>现场答疑与考核</w:t>
            </w:r>
          </w:p>
        </w:tc>
        <w:tc>
          <w:tcPr>
            <w:tcW w:w="1695" w:type="dxa"/>
          </w:tcPr>
          <w:p w14:paraId="352E39AE">
            <w:pPr>
              <w:spacing w:after="0" w:line="560" w:lineRule="exact"/>
              <w:jc w:val="center"/>
            </w:pPr>
            <w:r>
              <w:rPr>
                <w:rFonts w:ascii="宋体" w:hAnsi="宋体" w:eastAsia="宋体"/>
                <w:b w:val="0"/>
                <w:sz w:val="24"/>
              </w:rPr>
              <w:t>现场指导+考试</w:t>
            </w:r>
          </w:p>
        </w:tc>
        <w:tc>
          <w:tcPr>
            <w:tcW w:w="1696" w:type="dxa"/>
          </w:tcPr>
          <w:p w14:paraId="6F23B9E2">
            <w:pPr>
              <w:spacing w:after="0" w:line="560" w:lineRule="exact"/>
              <w:jc w:val="center"/>
            </w:pPr>
            <w:r>
              <w:rPr>
                <w:rFonts w:ascii="宋体" w:hAnsi="宋体" w:eastAsia="宋体"/>
                <w:b w:val="0"/>
                <w:sz w:val="24"/>
              </w:rPr>
              <w:t>4</w:t>
            </w:r>
          </w:p>
        </w:tc>
      </w:tr>
    </w:tbl>
    <w:p w14:paraId="4F65B565">
      <w:pPr>
        <w:spacing w:before="120" w:after="120" w:line="600" w:lineRule="exact"/>
        <w:jc w:val="left"/>
        <w:outlineLvl w:val="1"/>
      </w:pPr>
      <w:bookmarkStart w:id="42" w:name="_Toc13121"/>
      <w:r>
        <w:rPr>
          <w:rFonts w:ascii="楷体_GB2312" w:hAnsi="楷体_GB2312" w:eastAsia="楷体_GB2312"/>
          <w:b/>
          <w:sz w:val="32"/>
        </w:rPr>
        <w:t>（二）技术支持</w:t>
      </w:r>
      <w:bookmarkEnd w:id="42"/>
    </w:p>
    <w:p w14:paraId="5BEFD94E">
      <w:pPr>
        <w:spacing w:before="0" w:after="0" w:line="600" w:lineRule="exact"/>
        <w:ind w:firstLine="640"/>
      </w:pPr>
      <w:r>
        <w:rPr>
          <w:rFonts w:ascii="Times New Roman" w:hAnsi="Times New Roman" w:eastAsia="仿宋_GB2312"/>
          <w:b w:val="0"/>
          <w:sz w:val="32"/>
        </w:rPr>
        <w:t>1. 质保期：项目验收后提供1年免费技术支持服务，质保期从项目验收合格之日起计算。质保期内，开发商承诺对系统缺陷进行免费修复，对系统运行提供免费技术支持。</w:t>
      </w:r>
    </w:p>
    <w:p w14:paraId="2339D5BD">
      <w:pPr>
        <w:spacing w:before="0" w:after="0" w:line="600" w:lineRule="exact"/>
        <w:ind w:firstLine="640"/>
      </w:pPr>
      <w:r>
        <w:rPr>
          <w:rFonts w:ascii="Times New Roman" w:hAnsi="Times New Roman" w:eastAsia="仿宋_GB2312"/>
          <w:b w:val="0"/>
          <w:sz w:val="32"/>
        </w:rPr>
        <w:t>2. 支持方式：</w:t>
      </w:r>
    </w:p>
    <w:p w14:paraId="587DEA59">
      <w:pPr>
        <w:spacing w:before="0" w:after="0" w:line="600" w:lineRule="exact"/>
        <w:ind w:firstLine="640"/>
      </w:pPr>
      <w:r>
        <w:rPr>
          <w:rFonts w:ascii="Times New Roman" w:hAnsi="Times New Roman" w:eastAsia="仿宋_GB2312"/>
          <w:b w:val="0"/>
          <w:sz w:val="32"/>
        </w:rPr>
        <w:t>（1）全天候热线电话支持，随时响应紧急问题。热线电话由经验丰富的技术人员值守，确保任何时间都能及时响应。</w:t>
      </w:r>
    </w:p>
    <w:p w14:paraId="49FBDCF0">
      <w:pPr>
        <w:spacing w:before="0" w:after="0" w:line="600" w:lineRule="exact"/>
        <w:ind w:firstLine="640"/>
      </w:pPr>
      <w:r>
        <w:rPr>
          <w:rFonts w:ascii="Times New Roman" w:hAnsi="Times New Roman" w:eastAsia="仿宋_GB2312"/>
          <w:b w:val="0"/>
          <w:sz w:val="32"/>
        </w:rPr>
        <w:t>（2）远程登录支持，通过VPN或远程桌面快速排查问题。远程支持响应时间不超过30分钟，一般问题4小时内解决。</w:t>
      </w:r>
    </w:p>
    <w:p w14:paraId="4FBB7D1A">
      <w:pPr>
        <w:spacing w:before="0" w:after="0" w:line="600" w:lineRule="exact"/>
        <w:ind w:firstLine="640"/>
      </w:pPr>
      <w:r>
        <w:rPr>
          <w:rFonts w:ascii="Times New Roman" w:hAnsi="Times New Roman" w:eastAsia="仿宋_GB2312"/>
          <w:b w:val="0"/>
          <w:sz w:val="32"/>
        </w:rPr>
        <w:t>（3）现场支持，对于无法远程解决的问题，承诺24小时内到达现场。现场支持由资深技术人员提供，保证问题得到及时有效解决。</w:t>
      </w:r>
    </w:p>
    <w:p w14:paraId="5D33D775">
      <w:pPr>
        <w:spacing w:before="0" w:after="0" w:line="600" w:lineRule="exact"/>
        <w:ind w:firstLine="640"/>
      </w:pPr>
      <w:r>
        <w:rPr>
          <w:rFonts w:ascii="Times New Roman" w:hAnsi="Times New Roman" w:eastAsia="仿宋_GB2312"/>
          <w:b w:val="0"/>
          <w:sz w:val="32"/>
        </w:rPr>
        <w:t>（4）定期巡检，每季度进行一次系统巡检，发现并解决潜在问题。巡检内容包括系统运行状态检查、性能指标分析、安全漏洞排查、日志分析等。</w:t>
      </w:r>
    </w:p>
    <w:p w14:paraId="540F9D17">
      <w:pPr>
        <w:spacing w:before="0" w:after="0" w:line="600" w:lineRule="exact"/>
        <w:ind w:firstLine="640"/>
      </w:pPr>
      <w:r>
        <w:rPr>
          <w:rFonts w:ascii="Times New Roman" w:hAnsi="Times New Roman" w:eastAsia="仿宋_GB2312"/>
          <w:b w:val="0"/>
          <w:sz w:val="32"/>
        </w:rPr>
        <w:t>3. 支持内容：</w:t>
      </w:r>
    </w:p>
    <w:p w14:paraId="3CF6A253">
      <w:pPr>
        <w:spacing w:before="0" w:after="0" w:line="600" w:lineRule="exact"/>
        <w:ind w:firstLine="640"/>
      </w:pPr>
      <w:r>
        <w:rPr>
          <w:rFonts w:ascii="Times New Roman" w:hAnsi="Times New Roman" w:eastAsia="仿宋_GB2312"/>
          <w:b w:val="0"/>
          <w:sz w:val="32"/>
        </w:rPr>
        <w:t>（1）系统故障排查与修复，包括数据库故障、中间件故障、应用故障、网络故障等。对于紧急故障（导致系统不可用），响应时间不超过30分钟，修复时间不超过4小时。对于一般故障，响应时间不超过2小时，修复时间不超过24小时。</w:t>
      </w:r>
    </w:p>
    <w:p w14:paraId="46666E71">
      <w:pPr>
        <w:spacing w:before="0" w:after="0" w:line="600" w:lineRule="exact"/>
        <w:ind w:firstLine="640"/>
      </w:pPr>
      <w:r>
        <w:rPr>
          <w:rFonts w:ascii="Times New Roman" w:hAnsi="Times New Roman" w:eastAsia="仿宋_GB2312"/>
          <w:b w:val="0"/>
          <w:sz w:val="32"/>
        </w:rPr>
        <w:t>（2）性能优化建议，根据系统运行状况提出优化建议。定期分析系统性能指标，发现性能瓶颈并提出优化方案。</w:t>
      </w:r>
    </w:p>
    <w:p w14:paraId="781D5B44">
      <w:pPr>
        <w:spacing w:before="0" w:after="0" w:line="600" w:lineRule="exact"/>
        <w:ind w:firstLine="640"/>
      </w:pPr>
      <w:r>
        <w:rPr>
          <w:rFonts w:ascii="Times New Roman" w:hAnsi="Times New Roman" w:eastAsia="仿宋_GB2312"/>
          <w:b w:val="0"/>
          <w:sz w:val="32"/>
        </w:rPr>
        <w:t>（3）安全漏洞修复，及时提供安全补丁和升级方案。关注国产软硬件产品的安全公告，及时获取安全补丁并进行部署。</w:t>
      </w:r>
    </w:p>
    <w:p w14:paraId="20BC5DE5">
      <w:pPr>
        <w:spacing w:before="0" w:after="0" w:line="600" w:lineRule="exact"/>
        <w:ind w:firstLine="640"/>
      </w:pPr>
      <w:r>
        <w:rPr>
          <w:rFonts w:ascii="Times New Roman" w:hAnsi="Times New Roman" w:eastAsia="仿宋_GB2312"/>
          <w:b w:val="0"/>
          <w:sz w:val="32"/>
        </w:rPr>
        <w:t>（4）版本升级支持，协助进行系统版本升级和迁移。在国产数据库、操作系统、中间件发布新版本时，评估升级必要性和风险，制定升级方案并协助实施。</w:t>
      </w:r>
    </w:p>
    <w:p w14:paraId="3804DB9F">
      <w:pPr>
        <w:spacing w:before="0" w:after="0" w:line="600" w:lineRule="exact"/>
        <w:ind w:firstLine="640"/>
      </w:pPr>
      <w:r>
        <w:rPr>
          <w:rFonts w:ascii="Times New Roman" w:hAnsi="Times New Roman" w:eastAsia="仿宋_GB2312"/>
          <w:b w:val="0"/>
          <w:sz w:val="32"/>
        </w:rPr>
        <w:t>4. 响应时间承诺：</w:t>
      </w:r>
    </w:p>
    <w:p w14:paraId="55AE7501">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17"/>
        <w:gridCol w:w="1701"/>
        <w:gridCol w:w="1701"/>
        <w:gridCol w:w="1702"/>
      </w:tblGrid>
      <w:tr w14:paraId="63D7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5A5F5EE7">
            <w:pPr>
              <w:spacing w:after="0" w:line="560" w:lineRule="exact"/>
              <w:jc w:val="center"/>
            </w:pPr>
            <w:r>
              <w:rPr>
                <w:rFonts w:ascii="黑体" w:hAnsi="黑体" w:eastAsia="黑体"/>
                <w:b/>
                <w:sz w:val="28"/>
              </w:rPr>
              <w:t>故障级别</w:t>
            </w:r>
          </w:p>
        </w:tc>
        <w:tc>
          <w:tcPr>
            <w:tcW w:w="1803" w:type="dxa"/>
          </w:tcPr>
          <w:p w14:paraId="00A7CB13">
            <w:pPr>
              <w:spacing w:after="0" w:line="560" w:lineRule="exact"/>
              <w:jc w:val="center"/>
            </w:pPr>
            <w:r>
              <w:rPr>
                <w:rFonts w:ascii="黑体" w:hAnsi="黑体" w:eastAsia="黑体"/>
                <w:b/>
                <w:sz w:val="28"/>
              </w:rPr>
              <w:t>定义</w:t>
            </w:r>
          </w:p>
        </w:tc>
        <w:tc>
          <w:tcPr>
            <w:tcW w:w="1803" w:type="dxa"/>
          </w:tcPr>
          <w:p w14:paraId="38EB41BC">
            <w:pPr>
              <w:spacing w:after="0" w:line="560" w:lineRule="exact"/>
              <w:jc w:val="center"/>
            </w:pPr>
            <w:r>
              <w:rPr>
                <w:rFonts w:ascii="黑体" w:hAnsi="黑体" w:eastAsia="黑体"/>
                <w:b/>
                <w:sz w:val="28"/>
              </w:rPr>
              <w:t>响应时间</w:t>
            </w:r>
          </w:p>
        </w:tc>
        <w:tc>
          <w:tcPr>
            <w:tcW w:w="1803" w:type="dxa"/>
          </w:tcPr>
          <w:p w14:paraId="480D95DD">
            <w:pPr>
              <w:spacing w:after="0" w:line="560" w:lineRule="exact"/>
              <w:jc w:val="center"/>
            </w:pPr>
            <w:r>
              <w:rPr>
                <w:rFonts w:ascii="黑体" w:hAnsi="黑体" w:eastAsia="黑体"/>
                <w:b/>
                <w:sz w:val="28"/>
              </w:rPr>
              <w:t>解决时间</w:t>
            </w:r>
          </w:p>
        </w:tc>
        <w:tc>
          <w:tcPr>
            <w:tcW w:w="1803" w:type="dxa"/>
          </w:tcPr>
          <w:p w14:paraId="1887E0B9">
            <w:pPr>
              <w:spacing w:after="0" w:line="560" w:lineRule="exact"/>
              <w:jc w:val="center"/>
            </w:pPr>
            <w:r>
              <w:rPr>
                <w:rFonts w:ascii="黑体" w:hAnsi="黑体" w:eastAsia="黑体"/>
                <w:b/>
                <w:sz w:val="28"/>
              </w:rPr>
              <w:t>升级条件</w:t>
            </w:r>
          </w:p>
        </w:tc>
      </w:tr>
      <w:tr w14:paraId="40FF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40CCE48A">
            <w:pPr>
              <w:spacing w:after="0" w:line="560" w:lineRule="exact"/>
              <w:jc w:val="center"/>
            </w:pPr>
            <w:r>
              <w:rPr>
                <w:rFonts w:ascii="宋体" w:hAnsi="宋体" w:eastAsia="宋体"/>
                <w:b w:val="0"/>
                <w:sz w:val="24"/>
              </w:rPr>
              <w:t>紧急</w:t>
            </w:r>
          </w:p>
        </w:tc>
        <w:tc>
          <w:tcPr>
            <w:tcW w:w="1803" w:type="dxa"/>
          </w:tcPr>
          <w:p w14:paraId="754E72EF">
            <w:pPr>
              <w:spacing w:after="0" w:line="560" w:lineRule="exact"/>
              <w:jc w:val="center"/>
            </w:pPr>
            <w:r>
              <w:rPr>
                <w:rFonts w:ascii="宋体" w:hAnsi="宋体" w:eastAsia="宋体"/>
                <w:b w:val="0"/>
                <w:sz w:val="24"/>
              </w:rPr>
              <w:t>系统不可用，业务中断</w:t>
            </w:r>
          </w:p>
        </w:tc>
        <w:tc>
          <w:tcPr>
            <w:tcW w:w="1803" w:type="dxa"/>
          </w:tcPr>
          <w:p w14:paraId="4A3C6BC9">
            <w:pPr>
              <w:spacing w:after="0" w:line="560" w:lineRule="exact"/>
              <w:jc w:val="center"/>
            </w:pPr>
            <w:r>
              <w:rPr>
                <w:rFonts w:ascii="宋体" w:hAnsi="宋体" w:eastAsia="宋体"/>
                <w:b w:val="0"/>
                <w:sz w:val="24"/>
              </w:rPr>
              <w:t>30分钟</w:t>
            </w:r>
          </w:p>
        </w:tc>
        <w:tc>
          <w:tcPr>
            <w:tcW w:w="1803" w:type="dxa"/>
          </w:tcPr>
          <w:p w14:paraId="21DB9FC4">
            <w:pPr>
              <w:spacing w:after="0" w:line="560" w:lineRule="exact"/>
              <w:jc w:val="center"/>
            </w:pPr>
            <w:r>
              <w:rPr>
                <w:rFonts w:ascii="宋体" w:hAnsi="宋体" w:eastAsia="宋体"/>
                <w:b w:val="0"/>
                <w:sz w:val="24"/>
              </w:rPr>
              <w:t>4小时</w:t>
            </w:r>
          </w:p>
        </w:tc>
        <w:tc>
          <w:tcPr>
            <w:tcW w:w="1803" w:type="dxa"/>
          </w:tcPr>
          <w:p w14:paraId="752E244A">
            <w:pPr>
              <w:spacing w:after="0" w:line="560" w:lineRule="exact"/>
              <w:jc w:val="center"/>
            </w:pPr>
            <w:r>
              <w:rPr>
                <w:rFonts w:ascii="宋体" w:hAnsi="宋体" w:eastAsia="宋体"/>
                <w:b w:val="0"/>
                <w:sz w:val="24"/>
              </w:rPr>
              <w:t>立即通知项目经理</w:t>
            </w:r>
          </w:p>
        </w:tc>
      </w:tr>
      <w:tr w14:paraId="17886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2029A115">
            <w:pPr>
              <w:spacing w:after="0" w:line="560" w:lineRule="exact"/>
              <w:jc w:val="center"/>
            </w:pPr>
            <w:r>
              <w:rPr>
                <w:rFonts w:ascii="宋体" w:hAnsi="宋体" w:eastAsia="宋体"/>
                <w:b w:val="0"/>
                <w:sz w:val="24"/>
              </w:rPr>
              <w:t>严重</w:t>
            </w:r>
          </w:p>
        </w:tc>
        <w:tc>
          <w:tcPr>
            <w:tcW w:w="1803" w:type="dxa"/>
          </w:tcPr>
          <w:p w14:paraId="07782D1D">
            <w:pPr>
              <w:spacing w:after="0" w:line="560" w:lineRule="exact"/>
              <w:jc w:val="center"/>
            </w:pPr>
            <w:r>
              <w:rPr>
                <w:rFonts w:ascii="宋体" w:hAnsi="宋体" w:eastAsia="宋体"/>
                <w:b w:val="0"/>
                <w:sz w:val="24"/>
              </w:rPr>
              <w:t>核心功能异常</w:t>
            </w:r>
          </w:p>
        </w:tc>
        <w:tc>
          <w:tcPr>
            <w:tcW w:w="1803" w:type="dxa"/>
          </w:tcPr>
          <w:p w14:paraId="5A3A1399">
            <w:pPr>
              <w:spacing w:after="0" w:line="560" w:lineRule="exact"/>
              <w:jc w:val="center"/>
            </w:pPr>
            <w:r>
              <w:rPr>
                <w:rFonts w:ascii="宋体" w:hAnsi="宋体" w:eastAsia="宋体"/>
                <w:b w:val="0"/>
                <w:sz w:val="24"/>
              </w:rPr>
              <w:t>2小时</w:t>
            </w:r>
          </w:p>
        </w:tc>
        <w:tc>
          <w:tcPr>
            <w:tcW w:w="1803" w:type="dxa"/>
          </w:tcPr>
          <w:p w14:paraId="2B1F9E62">
            <w:pPr>
              <w:spacing w:after="0" w:line="560" w:lineRule="exact"/>
              <w:jc w:val="center"/>
            </w:pPr>
            <w:r>
              <w:rPr>
                <w:rFonts w:ascii="宋体" w:hAnsi="宋体" w:eastAsia="宋体"/>
                <w:b w:val="0"/>
                <w:sz w:val="24"/>
              </w:rPr>
              <w:t>8小时</w:t>
            </w:r>
          </w:p>
        </w:tc>
        <w:tc>
          <w:tcPr>
            <w:tcW w:w="1803" w:type="dxa"/>
          </w:tcPr>
          <w:p w14:paraId="59F2B9B1">
            <w:pPr>
              <w:spacing w:after="0" w:line="560" w:lineRule="exact"/>
              <w:jc w:val="center"/>
            </w:pPr>
            <w:r>
              <w:rPr>
                <w:rFonts w:ascii="宋体" w:hAnsi="宋体" w:eastAsia="宋体"/>
                <w:b w:val="0"/>
                <w:sz w:val="24"/>
              </w:rPr>
              <w:t>2小时内通知项目经理</w:t>
            </w:r>
          </w:p>
        </w:tc>
      </w:tr>
      <w:tr w14:paraId="7365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146AC555">
            <w:pPr>
              <w:spacing w:after="0" w:line="560" w:lineRule="exact"/>
              <w:jc w:val="center"/>
            </w:pPr>
            <w:r>
              <w:rPr>
                <w:rFonts w:ascii="宋体" w:hAnsi="宋体" w:eastAsia="宋体"/>
                <w:b w:val="0"/>
                <w:sz w:val="24"/>
              </w:rPr>
              <w:t>一般</w:t>
            </w:r>
          </w:p>
        </w:tc>
        <w:tc>
          <w:tcPr>
            <w:tcW w:w="1803" w:type="dxa"/>
          </w:tcPr>
          <w:p w14:paraId="19439701">
            <w:pPr>
              <w:spacing w:after="0" w:line="560" w:lineRule="exact"/>
              <w:jc w:val="center"/>
            </w:pPr>
            <w:r>
              <w:rPr>
                <w:rFonts w:ascii="宋体" w:hAnsi="宋体" w:eastAsia="宋体"/>
                <w:b w:val="0"/>
                <w:sz w:val="24"/>
              </w:rPr>
              <w:t>非核心功能异常</w:t>
            </w:r>
          </w:p>
        </w:tc>
        <w:tc>
          <w:tcPr>
            <w:tcW w:w="1803" w:type="dxa"/>
          </w:tcPr>
          <w:p w14:paraId="6F4E4E78">
            <w:pPr>
              <w:spacing w:after="0" w:line="560" w:lineRule="exact"/>
              <w:jc w:val="center"/>
            </w:pPr>
            <w:r>
              <w:rPr>
                <w:rFonts w:ascii="宋体" w:hAnsi="宋体" w:eastAsia="宋体"/>
                <w:b w:val="0"/>
                <w:sz w:val="24"/>
              </w:rPr>
              <w:t>4小时</w:t>
            </w:r>
          </w:p>
        </w:tc>
        <w:tc>
          <w:tcPr>
            <w:tcW w:w="1803" w:type="dxa"/>
          </w:tcPr>
          <w:p w14:paraId="6A312FF2">
            <w:pPr>
              <w:spacing w:after="0" w:line="560" w:lineRule="exact"/>
              <w:jc w:val="center"/>
            </w:pPr>
            <w:r>
              <w:rPr>
                <w:rFonts w:ascii="宋体" w:hAnsi="宋体" w:eastAsia="宋体"/>
                <w:b w:val="0"/>
                <w:sz w:val="24"/>
              </w:rPr>
              <w:t>24小时</w:t>
            </w:r>
          </w:p>
        </w:tc>
        <w:tc>
          <w:tcPr>
            <w:tcW w:w="1803" w:type="dxa"/>
          </w:tcPr>
          <w:p w14:paraId="7111A4F3">
            <w:pPr>
              <w:spacing w:after="0" w:line="560" w:lineRule="exact"/>
              <w:jc w:val="center"/>
            </w:pPr>
            <w:r>
              <w:rPr>
                <w:rFonts w:ascii="宋体" w:hAnsi="宋体" w:eastAsia="宋体"/>
                <w:b w:val="0"/>
                <w:sz w:val="24"/>
              </w:rPr>
              <w:t>24小时内通知项目经理</w:t>
            </w:r>
          </w:p>
        </w:tc>
      </w:tr>
      <w:tr w14:paraId="6D67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3EEAD1C">
            <w:pPr>
              <w:spacing w:after="0" w:line="560" w:lineRule="exact"/>
              <w:jc w:val="center"/>
            </w:pPr>
            <w:r>
              <w:rPr>
                <w:rFonts w:ascii="宋体" w:hAnsi="宋体" w:eastAsia="宋体"/>
                <w:b w:val="0"/>
                <w:sz w:val="24"/>
              </w:rPr>
              <w:t>轻微</w:t>
            </w:r>
          </w:p>
        </w:tc>
        <w:tc>
          <w:tcPr>
            <w:tcW w:w="1803" w:type="dxa"/>
          </w:tcPr>
          <w:p w14:paraId="7DED9535">
            <w:pPr>
              <w:spacing w:after="0" w:line="560" w:lineRule="exact"/>
              <w:jc w:val="center"/>
            </w:pPr>
            <w:r>
              <w:rPr>
                <w:rFonts w:ascii="宋体" w:hAnsi="宋体" w:eastAsia="宋体"/>
                <w:b w:val="0"/>
                <w:sz w:val="24"/>
              </w:rPr>
              <w:t>界面显示或建议类问题</w:t>
            </w:r>
          </w:p>
        </w:tc>
        <w:tc>
          <w:tcPr>
            <w:tcW w:w="1803" w:type="dxa"/>
          </w:tcPr>
          <w:p w14:paraId="208F5FC5">
            <w:pPr>
              <w:spacing w:after="0" w:line="560" w:lineRule="exact"/>
              <w:jc w:val="center"/>
            </w:pPr>
            <w:r>
              <w:rPr>
                <w:rFonts w:ascii="宋体" w:hAnsi="宋体" w:eastAsia="宋体"/>
                <w:b w:val="0"/>
                <w:sz w:val="24"/>
              </w:rPr>
              <w:t>8小时</w:t>
            </w:r>
          </w:p>
        </w:tc>
        <w:tc>
          <w:tcPr>
            <w:tcW w:w="1803" w:type="dxa"/>
          </w:tcPr>
          <w:p w14:paraId="01974D5F">
            <w:pPr>
              <w:spacing w:after="0" w:line="560" w:lineRule="exact"/>
              <w:jc w:val="center"/>
            </w:pPr>
            <w:r>
              <w:rPr>
                <w:rFonts w:ascii="宋体" w:hAnsi="宋体" w:eastAsia="宋体"/>
                <w:b w:val="0"/>
                <w:sz w:val="24"/>
              </w:rPr>
              <w:t>48小时</w:t>
            </w:r>
          </w:p>
        </w:tc>
        <w:tc>
          <w:tcPr>
            <w:tcW w:w="1803" w:type="dxa"/>
          </w:tcPr>
          <w:p w14:paraId="66AA75D2">
            <w:pPr>
              <w:spacing w:after="0" w:line="560" w:lineRule="exact"/>
              <w:jc w:val="center"/>
            </w:pPr>
            <w:r>
              <w:rPr>
                <w:rFonts w:ascii="宋体" w:hAnsi="宋体" w:eastAsia="宋体"/>
                <w:b w:val="0"/>
                <w:sz w:val="24"/>
              </w:rPr>
              <w:t>定期汇总处理</w:t>
            </w:r>
          </w:p>
        </w:tc>
      </w:tr>
    </w:tbl>
    <w:p w14:paraId="0534E0B5">
      <w:pPr>
        <w:spacing w:before="0" w:after="0" w:line="600" w:lineRule="exact"/>
        <w:ind w:firstLine="640"/>
      </w:pPr>
      <w:r>
        <w:rPr>
          <w:rFonts w:ascii="Times New Roman" w:hAnsi="Times New Roman" w:eastAsia="仿宋_GB2312"/>
          <w:b w:val="0"/>
          <w:sz w:val="32"/>
        </w:rPr>
        <w:t>5. 质保期外服务：质保期满后，甲方可选择续签技术支持服务合同。续签服务费用按照市场标准协商确定。续签服务内容包括：系统巡检（每季度一次）、故障处理（按次收费）、性能优化（按项目收费）、版本升级（按项目收费）等。</w:t>
      </w:r>
    </w:p>
    <w:p w14:paraId="5E6A0D0E">
      <w:pPr>
        <w:spacing w:before="120" w:after="120" w:line="600" w:lineRule="exact"/>
        <w:jc w:val="left"/>
        <w:outlineLvl w:val="1"/>
      </w:pPr>
      <w:bookmarkStart w:id="43" w:name="_Toc32375"/>
      <w:r>
        <w:rPr>
          <w:rFonts w:ascii="楷体_GB2312" w:hAnsi="楷体_GB2312" w:eastAsia="楷体_GB2312"/>
          <w:b/>
          <w:sz w:val="32"/>
        </w:rPr>
        <w:t>（三）知识转移</w:t>
      </w:r>
      <w:bookmarkEnd w:id="43"/>
    </w:p>
    <w:p w14:paraId="1EDD394E">
      <w:pPr>
        <w:spacing w:before="0" w:after="0" w:line="600" w:lineRule="exact"/>
        <w:ind w:firstLine="640"/>
      </w:pPr>
      <w:r>
        <w:rPr>
          <w:rFonts w:ascii="Times New Roman" w:hAnsi="Times New Roman" w:eastAsia="仿宋_GB2312"/>
          <w:b w:val="0"/>
          <w:sz w:val="32"/>
        </w:rPr>
        <w:t>1. 交付文档清单：</w:t>
      </w:r>
    </w:p>
    <w:p w14:paraId="7C86925C">
      <w:pPr>
        <w:spacing w:before="0" w:after="0" w:line="600" w:lineRule="exact"/>
        <w:ind w:firstLine="640"/>
      </w:pPr>
      <w:r>
        <w:rPr>
          <w:rFonts w:ascii="Times New Roman" w:hAnsi="Times New Roman" w:eastAsia="仿宋_GB2312"/>
          <w:b w:val="0"/>
          <w:sz w:val="32"/>
        </w:rPr>
        <w:t>（1）系统设计方案，包括总体架构、技术路线、接口设计、数据模型等。文档详细描述系统的整体设计思路和技术实现方案。</w:t>
      </w:r>
    </w:p>
    <w:p w14:paraId="335AF7BA">
      <w:pPr>
        <w:spacing w:before="0" w:after="0" w:line="600" w:lineRule="exact"/>
        <w:ind w:firstLine="640"/>
      </w:pPr>
      <w:r>
        <w:rPr>
          <w:rFonts w:ascii="Times New Roman" w:hAnsi="Times New Roman" w:eastAsia="仿宋_GB2312"/>
          <w:b w:val="0"/>
          <w:sz w:val="32"/>
        </w:rPr>
        <w:t>（2）部署手册，包括软件安装、配置、调优等。手册提供详细的安装步骤和配置参数，确保技术人员能够独立完成系统部署。</w:t>
      </w:r>
    </w:p>
    <w:p w14:paraId="303F2FB0">
      <w:pPr>
        <w:spacing w:before="0" w:after="0" w:line="600" w:lineRule="exact"/>
        <w:ind w:firstLine="640"/>
      </w:pPr>
      <w:r>
        <w:rPr>
          <w:rFonts w:ascii="Times New Roman" w:hAnsi="Times New Roman" w:eastAsia="仿宋_GB2312"/>
          <w:b w:val="0"/>
          <w:sz w:val="32"/>
        </w:rPr>
        <w:t>（3）运维手册，包括日常巡检、故障处理、性能监控等。手册提供标准化的运维操作流程和常见问题处理方法。</w:t>
      </w:r>
    </w:p>
    <w:p w14:paraId="48D1CB65">
      <w:pPr>
        <w:spacing w:before="0" w:after="0" w:line="600" w:lineRule="exact"/>
        <w:ind w:firstLine="640"/>
      </w:pPr>
      <w:r>
        <w:rPr>
          <w:rFonts w:ascii="Times New Roman" w:hAnsi="Times New Roman" w:eastAsia="仿宋_GB2312"/>
          <w:b w:val="0"/>
          <w:sz w:val="32"/>
        </w:rPr>
        <w:t>（4）故障处理手册，包括常见故障现象、原因分析、处理步骤等。手册涵盖数据库故障、中间件故障、应用故障、网络故障等各类常见故障的处理方法。</w:t>
      </w:r>
    </w:p>
    <w:p w14:paraId="296D7A7D">
      <w:pPr>
        <w:spacing w:before="0" w:after="0" w:line="600" w:lineRule="exact"/>
        <w:ind w:firstLine="640"/>
      </w:pPr>
      <w:r>
        <w:rPr>
          <w:rFonts w:ascii="Times New Roman" w:hAnsi="Times New Roman" w:eastAsia="仿宋_GB2312"/>
          <w:b w:val="0"/>
          <w:sz w:val="32"/>
        </w:rPr>
        <w:t>（5）源代码及注释，确保代码可读可维护。源代码符合编码规范，注释清晰，文档齐全，便于后续的二次开发和功能扩展。</w:t>
      </w:r>
    </w:p>
    <w:p w14:paraId="2D4F69E0">
      <w:pPr>
        <w:spacing w:before="0" w:after="0" w:line="600" w:lineRule="exact"/>
        <w:ind w:firstLine="640"/>
      </w:pPr>
      <w:r>
        <w:rPr>
          <w:rFonts w:ascii="Times New Roman" w:hAnsi="Times New Roman" w:eastAsia="仿宋_GB2312"/>
          <w:b w:val="0"/>
          <w:sz w:val="32"/>
        </w:rPr>
        <w:t>2. 代码移交：提供完整源代码，确保荣成市大数据中心可进行二次开发和自主维护。源代码应符合编码规范，注释清晰，文档齐全。代码移交包括所有应用程序源码、配置文件、构建脚本、数据库脚本等。</w:t>
      </w:r>
    </w:p>
    <w:p w14:paraId="178F63D1">
      <w:pPr>
        <w:spacing w:before="0" w:after="0" w:line="600" w:lineRule="exact"/>
        <w:ind w:firstLine="640"/>
      </w:pPr>
      <w:r>
        <w:rPr>
          <w:rFonts w:ascii="Times New Roman" w:hAnsi="Times New Roman" w:eastAsia="仿宋_GB2312"/>
          <w:b w:val="0"/>
          <w:sz w:val="32"/>
        </w:rPr>
        <w:t>3. 技术交流：定期组织技术交流会议（建议每季度一次），分享国产化改造经验和技术心得，解答运维过程中遇到的问题，持续提升技术能力。技术交流可通过线上会议或现场交流的方式进行。</w:t>
      </w:r>
    </w:p>
    <w:p w14:paraId="6BEA8F8C">
      <w:pPr>
        <w:spacing w:before="240" w:after="240" w:line="600" w:lineRule="exact"/>
        <w:jc w:val="center"/>
        <w:outlineLvl w:val="0"/>
      </w:pPr>
      <w:bookmarkStart w:id="44" w:name="_Toc19691"/>
      <w:r>
        <w:rPr>
          <w:rFonts w:ascii="黑体" w:hAnsi="黑体" w:eastAsia="黑体"/>
          <w:b/>
          <w:sz w:val="32"/>
        </w:rPr>
        <w:t>十、验收标准</w:t>
      </w:r>
      <w:bookmarkEnd w:id="44"/>
    </w:p>
    <w:p w14:paraId="6A18C8EC">
      <w:pPr>
        <w:spacing w:before="120" w:after="120" w:line="600" w:lineRule="exact"/>
        <w:jc w:val="left"/>
        <w:outlineLvl w:val="1"/>
      </w:pPr>
      <w:bookmarkStart w:id="45" w:name="_Toc13245"/>
      <w:r>
        <w:rPr>
          <w:rFonts w:ascii="楷体_GB2312" w:hAnsi="楷体_GB2312" w:eastAsia="楷体_GB2312"/>
          <w:b/>
          <w:sz w:val="32"/>
        </w:rPr>
        <w:t>（一）功能验收标准</w:t>
      </w:r>
      <w:bookmarkEnd w:id="45"/>
    </w:p>
    <w:p w14:paraId="6DE85A3F">
      <w:pPr>
        <w:spacing w:before="0" w:after="0" w:line="600" w:lineRule="exact"/>
        <w:ind w:firstLine="640"/>
      </w:pPr>
      <w:r>
        <w:rPr>
          <w:rFonts w:ascii="Times New Roman" w:hAnsi="Times New Roman" w:eastAsia="仿宋_GB2312"/>
          <w:b w:val="0"/>
          <w:sz w:val="32"/>
        </w:rPr>
        <w:t>1. 所有业务功能正常运行，无丢失或降级。对照需求规格说明书，逐项验证功能完整性，做到无遗漏。功能测试覆盖率达到100%，关键功能测试通过率达到100%。</w:t>
      </w:r>
    </w:p>
    <w:p w14:paraId="0DB9D9B7">
      <w:pPr>
        <w:spacing w:before="0" w:after="0" w:line="600" w:lineRule="exact"/>
        <w:ind w:firstLine="640"/>
      </w:pPr>
      <w:r>
        <w:rPr>
          <w:rFonts w:ascii="Times New Roman" w:hAnsi="Times New Roman" w:eastAsia="仿宋_GB2312"/>
          <w:b w:val="0"/>
          <w:sz w:val="32"/>
        </w:rPr>
        <w:t>2. 与政务云对接正常，数据交换稳定可靠，支持定时同步和实时同步两种模式。数据交换测试覆盖所有数据接口，验证数据传输的完整性和准确性。</w:t>
      </w:r>
    </w:p>
    <w:p w14:paraId="75F584BD">
      <w:pPr>
        <w:spacing w:before="0" w:after="0" w:line="600" w:lineRule="exact"/>
        <w:ind w:firstLine="640"/>
      </w:pPr>
      <w:r>
        <w:rPr>
          <w:rFonts w:ascii="Times New Roman" w:hAnsi="Times New Roman" w:eastAsia="仿宋_GB2312"/>
          <w:b w:val="0"/>
          <w:sz w:val="32"/>
        </w:rPr>
        <w:t>3. 用户界面友好，操作便捷，符合原有使用习惯，用户无需重新培训即可上手使用。界面一致性测试验证新旧系统的界面风格和操作方式保持一致。</w:t>
      </w:r>
    </w:p>
    <w:p w14:paraId="20C13846">
      <w:pPr>
        <w:spacing w:before="0" w:after="0" w:line="600" w:lineRule="exact"/>
        <w:ind w:firstLine="640"/>
      </w:pPr>
      <w:r>
        <w:rPr>
          <w:rFonts w:ascii="Times New Roman" w:hAnsi="Times New Roman" w:eastAsia="仿宋_GB2312"/>
          <w:b w:val="0"/>
          <w:sz w:val="32"/>
        </w:rPr>
        <w:t>4. 数据完整性验证：迁移后所有数据表记录数与迁移前一致，关键字段数据校验通过率100%，存储过程和触发器执行结果一致。</w:t>
      </w:r>
    </w:p>
    <w:p w14:paraId="20D6566B">
      <w:pPr>
        <w:spacing w:before="120" w:after="120" w:line="600" w:lineRule="exact"/>
        <w:jc w:val="left"/>
        <w:outlineLvl w:val="1"/>
      </w:pPr>
      <w:bookmarkStart w:id="46" w:name="_Toc8554"/>
      <w:r>
        <w:rPr>
          <w:rFonts w:ascii="楷体_GB2312" w:hAnsi="楷体_GB2312" w:eastAsia="楷体_GB2312"/>
          <w:b/>
          <w:sz w:val="32"/>
        </w:rPr>
        <w:t>（二）性能验收标准</w:t>
      </w:r>
      <w:bookmarkEnd w:id="46"/>
    </w:p>
    <w:p w14:paraId="56676B0E">
      <w:pPr>
        <w:spacing w:before="0" w:after="0" w:line="600" w:lineRule="exact"/>
        <w:ind w:firstLine="640"/>
      </w:pPr>
      <w:r>
        <w:rPr>
          <w:rFonts w:ascii="Times New Roman" w:hAnsi="Times New Roman" w:eastAsia="仿宋_GB2312"/>
          <w:b w:val="0"/>
          <w:sz w:val="32"/>
        </w:rPr>
        <w:t>1. 系统响应时间：常规查询≤3秒，复杂查询≤10秒，报表生成≤30秒。响应时间在正常负载条件下测试，取多次测试的平均值。</w:t>
      </w:r>
    </w:p>
    <w:p w14:paraId="6DA442C9">
      <w:pPr>
        <w:spacing w:before="0" w:after="0" w:line="600" w:lineRule="exact"/>
        <w:ind w:firstLine="640"/>
      </w:pPr>
      <w:r>
        <w:rPr>
          <w:rFonts w:ascii="Times New Roman" w:hAnsi="Times New Roman" w:eastAsia="仿宋_GB2312"/>
          <w:b w:val="0"/>
          <w:sz w:val="32"/>
        </w:rPr>
        <w:t>2. 并发用户数：支持≥100并发用户同时在线操作，系统性能无明显下降。并发测试模拟真实业务场景，验证系统在高并发条件下的稳定性和响应能力。</w:t>
      </w:r>
    </w:p>
    <w:p w14:paraId="39AB55F1">
      <w:pPr>
        <w:spacing w:before="0" w:after="0" w:line="600" w:lineRule="exact"/>
        <w:ind w:firstLine="640"/>
      </w:pPr>
      <w:r>
        <w:rPr>
          <w:rFonts w:ascii="Times New Roman" w:hAnsi="Times New Roman" w:eastAsia="仿宋_GB2312"/>
          <w:b w:val="0"/>
          <w:sz w:val="32"/>
        </w:rPr>
        <w:t>3. 系统可用性：≥99.9%（即全年宕机时间≤8.76小时），确保业务连续性。可用性通过系统运行日志和监控数据验证。</w:t>
      </w:r>
    </w:p>
    <w:p w14:paraId="0B05CEE3">
      <w:pPr>
        <w:spacing w:before="0" w:after="0" w:line="600" w:lineRule="exact"/>
        <w:ind w:firstLine="640"/>
      </w:pPr>
      <w:r>
        <w:rPr>
          <w:rFonts w:ascii="Times New Roman" w:hAnsi="Times New Roman" w:eastAsia="仿宋_GB2312"/>
          <w:b w:val="0"/>
          <w:sz w:val="32"/>
        </w:rPr>
        <w:t>4. 数据备份恢复：全量备份≤2小时，增量备份≤30分钟，数据恢复≤1小时，满足业务连续性要求。备份恢复测试在测试环境中验证。</w:t>
      </w:r>
    </w:p>
    <w:p w14:paraId="0DD0B0AE">
      <w:pPr>
        <w:spacing w:before="0" w:after="0" w:line="600" w:lineRule="exact"/>
        <w:ind w:firstLine="640"/>
      </w:pPr>
      <w:r>
        <w:rPr>
          <w:rFonts w:ascii="Times New Roman" w:hAnsi="Times New Roman" w:eastAsia="仿宋_GB2312"/>
          <w:b w:val="0"/>
          <w:sz w:val="32"/>
        </w:rPr>
        <w:t>5. 资源利用率：CPU利用率≤70%（正常负载），内存利用率≤80%，磁盘IO利用率≤60%。资源利用率在峰值负载条件下测试。</w:t>
      </w:r>
    </w:p>
    <w:p w14:paraId="288A15DB">
      <w:pPr>
        <w:spacing w:before="120" w:after="120" w:line="600" w:lineRule="exact"/>
        <w:jc w:val="left"/>
        <w:outlineLvl w:val="1"/>
      </w:pPr>
      <w:bookmarkStart w:id="47" w:name="_Toc26596"/>
      <w:r>
        <w:rPr>
          <w:rFonts w:ascii="楷体_GB2312" w:hAnsi="楷体_GB2312" w:eastAsia="楷体_GB2312"/>
          <w:b/>
          <w:sz w:val="32"/>
        </w:rPr>
        <w:t>（三）安全验收标准</w:t>
      </w:r>
      <w:bookmarkEnd w:id="47"/>
    </w:p>
    <w:p w14:paraId="5307318C">
      <w:pPr>
        <w:spacing w:before="0" w:after="0" w:line="600" w:lineRule="exact"/>
        <w:ind w:firstLine="640"/>
      </w:pPr>
      <w:r>
        <w:rPr>
          <w:rFonts w:ascii="Times New Roman" w:hAnsi="Times New Roman" w:eastAsia="仿宋_GB2312"/>
          <w:b w:val="0"/>
          <w:sz w:val="32"/>
        </w:rPr>
        <w:t>1. 通过第三方安全测评机构的安全测试，无高危漏洞，中危漏洞数量≤5个，且已制定整改计划。安全测试覆盖网络安全、主机安全、应用安全、数据安全等多个维度。</w:t>
      </w:r>
    </w:p>
    <w:p w14:paraId="752A4858">
      <w:pPr>
        <w:spacing w:before="0" w:after="0" w:line="600" w:lineRule="exact"/>
        <w:ind w:firstLine="640"/>
      </w:pPr>
      <w:r>
        <w:rPr>
          <w:rFonts w:ascii="Times New Roman" w:hAnsi="Times New Roman" w:eastAsia="仿宋_GB2312"/>
          <w:b w:val="0"/>
          <w:sz w:val="32"/>
        </w:rPr>
        <w:t>2. 通过等保三级测评，符合国家信息安全等级保护要求。等保测评由具有资质的测评机构执行，测评结果符合GB/T 22239-2019标准要求。</w:t>
      </w:r>
    </w:p>
    <w:p w14:paraId="5EC1CB45">
      <w:pPr>
        <w:spacing w:before="0" w:after="0" w:line="600" w:lineRule="exact"/>
        <w:ind w:firstLine="640"/>
      </w:pPr>
      <w:r>
        <w:rPr>
          <w:rFonts w:ascii="Times New Roman" w:hAnsi="Times New Roman" w:eastAsia="仿宋_GB2312"/>
          <w:b w:val="0"/>
          <w:sz w:val="32"/>
        </w:rPr>
        <w:t>3. 数据加密传输和存储，采用国密算法（SM2/SM3/SM4），符合《个人信息保护法》要求。加密功能验证覆盖数据传输加密、数据存储加密、密钥管理等方面。</w:t>
      </w:r>
    </w:p>
    <w:p w14:paraId="68FF88CA">
      <w:pPr>
        <w:spacing w:before="0" w:after="0" w:line="600" w:lineRule="exact"/>
        <w:ind w:firstLine="640"/>
      </w:pPr>
      <w:r>
        <w:rPr>
          <w:rFonts w:ascii="Times New Roman" w:hAnsi="Times New Roman" w:eastAsia="仿宋_GB2312"/>
          <w:b w:val="0"/>
          <w:sz w:val="32"/>
        </w:rPr>
        <w:t>4. 完善的操作审计日志，可追踪所有敏感操作（包括数据查询、修改、删除、导出等），日志保留时间≥6个月。审计日志测试验证日志记录的完整性、准确性和不可篡改性。</w:t>
      </w:r>
    </w:p>
    <w:p w14:paraId="7B8EB392">
      <w:pPr>
        <w:spacing w:before="0" w:after="0" w:line="600" w:lineRule="exact"/>
        <w:ind w:firstLine="640"/>
      </w:pPr>
      <w:r>
        <w:rPr>
          <w:rFonts w:ascii="Times New Roman" w:hAnsi="Times New Roman" w:eastAsia="仿宋_GB2312"/>
          <w:b w:val="0"/>
          <w:sz w:val="32"/>
        </w:rPr>
        <w:t>5. 访问控制测试：验证系统权限管理功能，确保用户只能访问其权限范围内的数据和功能，不存在越权访问问题。</w:t>
      </w:r>
    </w:p>
    <w:p w14:paraId="55B078B3">
      <w:pPr>
        <w:spacing w:before="120" w:after="120" w:line="600" w:lineRule="exact"/>
        <w:jc w:val="left"/>
        <w:outlineLvl w:val="1"/>
      </w:pPr>
      <w:bookmarkStart w:id="48" w:name="_Toc17442"/>
      <w:r>
        <w:rPr>
          <w:rFonts w:ascii="楷体_GB2312" w:hAnsi="楷体_GB2312" w:eastAsia="楷体_GB2312"/>
          <w:b/>
          <w:sz w:val="32"/>
        </w:rPr>
        <w:t>（四）文档验收标准</w:t>
      </w:r>
      <w:bookmarkEnd w:id="48"/>
    </w:p>
    <w:p w14:paraId="57B753B6">
      <w:pPr>
        <w:spacing w:before="0" w:after="0" w:line="600" w:lineRule="exact"/>
        <w:ind w:firstLine="640"/>
      </w:pPr>
      <w:r>
        <w:rPr>
          <w:rFonts w:ascii="Times New Roman" w:hAnsi="Times New Roman" w:eastAsia="仿宋_GB2312"/>
          <w:b w:val="0"/>
          <w:sz w:val="32"/>
        </w:rPr>
        <w:t>1. 交付文档齐全，符合《政务信息系统文档编制规范》要求，包括需求文档、设计文档、测试文档、用户手册、运维手册等。文档清单对照项目合同和实施方案逐项核对。</w:t>
      </w:r>
    </w:p>
    <w:p w14:paraId="0DF44893">
      <w:pPr>
        <w:spacing w:before="0" w:after="0" w:line="600" w:lineRule="exact"/>
        <w:ind w:firstLine="640"/>
      </w:pPr>
      <w:r>
        <w:rPr>
          <w:rFonts w:ascii="Times New Roman" w:hAnsi="Times New Roman" w:eastAsia="仿宋_GB2312"/>
          <w:b w:val="0"/>
          <w:sz w:val="32"/>
        </w:rPr>
        <w:t>2. 文档内容准确、完整、清晰，具备可操作性，能够指导系统运维和二次开发。文档评审由荣成市大数据中心组织相关技术人员进行。</w:t>
      </w:r>
    </w:p>
    <w:p w14:paraId="300F095F">
      <w:pPr>
        <w:spacing w:before="0" w:after="0" w:line="600" w:lineRule="exact"/>
        <w:ind w:firstLine="640"/>
      </w:pPr>
      <w:r>
        <w:rPr>
          <w:rFonts w:ascii="Times New Roman" w:hAnsi="Times New Roman" w:eastAsia="仿宋_GB2312"/>
          <w:b w:val="0"/>
          <w:sz w:val="32"/>
        </w:rPr>
        <w:t>3. 源代码注释清晰，具备可读性，符合编码规范，能够通过代码审查。代码审查重点关注代码结构、命名规范、注释完整性、异常处理等方面。</w:t>
      </w:r>
    </w:p>
    <w:p w14:paraId="0EA117E4">
      <w:pPr>
        <w:spacing w:before="120" w:after="120" w:line="600" w:lineRule="exact"/>
        <w:jc w:val="left"/>
        <w:outlineLvl w:val="1"/>
      </w:pPr>
      <w:bookmarkStart w:id="49" w:name="_Toc17879"/>
      <w:r>
        <w:rPr>
          <w:rFonts w:ascii="楷体_GB2312" w:hAnsi="楷体_GB2312" w:eastAsia="楷体_GB2312"/>
          <w:b/>
          <w:sz w:val="32"/>
        </w:rPr>
        <w:t>（五）验收流程</w:t>
      </w:r>
      <w:bookmarkEnd w:id="49"/>
    </w:p>
    <w:p w14:paraId="480C6E5B">
      <w:pPr>
        <w:spacing w:before="0" w:after="0" w:line="600" w:lineRule="exact"/>
        <w:ind w:firstLine="640"/>
      </w:pPr>
      <w:r>
        <w:rPr>
          <w:rFonts w:ascii="Times New Roman" w:hAnsi="Times New Roman" w:eastAsia="仿宋_GB2312"/>
          <w:b w:val="0"/>
          <w:sz w:val="32"/>
        </w:rPr>
        <w:t>1. 初验。系统开发和测试完成后，由开发商提交初验申请，荣成市大数据中心组织相关人员进行初步验收。初验内容包括：功能检查、文档检查、代码审查。初验通过后，进入试运行阶段。</w:t>
      </w:r>
    </w:p>
    <w:p w14:paraId="0FF351C3">
      <w:pPr>
        <w:spacing w:before="0" w:after="0" w:line="600" w:lineRule="exact"/>
        <w:ind w:firstLine="640"/>
      </w:pPr>
      <w:r>
        <w:rPr>
          <w:rFonts w:ascii="Times New Roman" w:hAnsi="Times New Roman" w:eastAsia="仿宋_GB2312"/>
          <w:b w:val="0"/>
          <w:sz w:val="32"/>
        </w:rPr>
        <w:t>2. 试运行。系统进入试运行阶段，试运行期不少于30天。试运行期间，开发商提供现场技术支持，及时处理发现的问题。试运行期间记录系统运行日志、故障记录、用户反馈等信息，作为终验的参考依据。</w:t>
      </w:r>
    </w:p>
    <w:p w14:paraId="5703C106">
      <w:pPr>
        <w:spacing w:before="0" w:after="0" w:line="600" w:lineRule="exact"/>
        <w:ind w:firstLine="640"/>
      </w:pPr>
      <w:r>
        <w:rPr>
          <w:rFonts w:ascii="Times New Roman" w:hAnsi="Times New Roman" w:eastAsia="仿宋_GB2312"/>
          <w:b w:val="0"/>
          <w:sz w:val="32"/>
        </w:rPr>
        <w:t>3. 终验。试运行期满后，由荣成市大数据中心组织终验评审。终验内容包括：功能验收（对照验收标准逐项检查）、性能验收（检查性能测试报告）、安全验收（检查安全测试报告和等保测评报告）、文档验收（检查交付文档的完整性和规范性）。终验通过后，签署项目验收报告。</w:t>
      </w:r>
    </w:p>
    <w:p w14:paraId="43C48B48">
      <w:pPr>
        <w:spacing w:before="0" w:after="0" w:line="600" w:lineRule="exact"/>
        <w:ind w:firstLine="640"/>
      </w:pPr>
      <w:r>
        <w:rPr>
          <w:rFonts w:ascii="Times New Roman" w:hAnsi="Times New Roman" w:eastAsia="仿宋_GB2312"/>
          <w:b w:val="0"/>
          <w:sz w:val="32"/>
        </w:rPr>
        <w:t>4. 验收不合格处理。如果验收过程中发现不符合验收标准的问题，由开发商限期整改，整改完成后重新提交验收。如果同一问题连续两次验收不合格，荣成市大数据中心有权要求更换技术人员或采取其他措施。</w:t>
      </w:r>
    </w:p>
    <w:p w14:paraId="528F49AB">
      <w:pPr>
        <w:spacing w:before="0" w:after="0" w:line="600" w:lineRule="exact"/>
        <w:ind w:firstLine="640"/>
      </w:pPr>
      <w:r>
        <w:rPr>
          <w:rFonts w:ascii="Times New Roman" w:hAnsi="Times New Roman" w:eastAsia="仿宋_GB2312"/>
          <w:b w:val="0"/>
          <w:sz w:val="32"/>
        </w:rPr>
        <w:t>5. 验收标准细化。针对各部分的验收，制定详细的验收检查表，包括功能检查项、性能检查项、安全检查项、文档检查项等。验收检查表由荣成市大数据中心和开发商共同制定，经双方确认后作为验收依据。每个检查项明确检查方法、合格标准和检查结果，确保验收工作的客观性和可追溯性。</w:t>
      </w:r>
    </w:p>
    <w:p w14:paraId="7C8BBFDD"/>
    <w:sectPr>
      <w:footerReference r:id="rId5"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A31C778-7C12-4C56-BD06-32A2C63D530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2" w:fontKey="{08A79277-707B-4EC6-94D2-F1DC0F10BE11}"/>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00000000000000000"/>
    <w:charset w:val="86"/>
    <w:family w:val="auto"/>
    <w:pitch w:val="default"/>
    <w:sig w:usb0="00000001" w:usb1="080E0000" w:usb2="00000000" w:usb3="00000000" w:csb0="00040000" w:csb1="00000000"/>
    <w:embedRegular r:id="rId3" w:fontKey="{A2BAB254-F2C9-4B72-B004-4B1BD1CDB14A}"/>
  </w:font>
  <w:font w:name="仿宋_GB2312">
    <w:panose1 w:val="02010609030101010101"/>
    <w:charset w:val="86"/>
    <w:family w:val="auto"/>
    <w:pitch w:val="default"/>
    <w:sig w:usb0="00000001" w:usb1="080E0000" w:usb2="00000000" w:usb3="00000000" w:csb0="00040000" w:csb1="00000000"/>
    <w:embedRegular r:id="rId4" w:fontKey="{CA89A6A2-36D2-4DCE-9966-455E919876E3}"/>
  </w:font>
  <w:font w:name="楷体_GB2312">
    <w:panose1 w:val="02010609030101010101"/>
    <w:charset w:val="86"/>
    <w:family w:val="auto"/>
    <w:pitch w:val="default"/>
    <w:sig w:usb0="00000001" w:usb1="080E0000" w:usb2="00000000" w:usb3="00000000" w:csb0="00040000" w:csb1="00000000"/>
    <w:embedRegular r:id="rId5" w:fontKey="{6DEE4FA8-7A19-48F8-AE0C-4C3B26E956B2}"/>
  </w:font>
  <w:font w:name="仿宋">
    <w:panose1 w:val="02010609060101010101"/>
    <w:charset w:val="86"/>
    <w:family w:val="auto"/>
    <w:pitch w:val="default"/>
    <w:sig w:usb0="800002BF" w:usb1="38CF7CFA" w:usb2="00000016" w:usb3="00000000" w:csb0="00040001" w:csb1="00000000"/>
    <w:embedRegular r:id="rId6" w:fontKey="{C34126FC-4317-49EC-96C2-015A2AFD81DF}"/>
  </w:font>
  <w:font w:name="ＭＳ 明朝">
    <w:altName w:val="AMGDT"/>
    <w:panose1 w:val="00000000000000000000"/>
    <w:charset w:val="00"/>
    <w:family w:val="auto"/>
    <w:pitch w:val="default"/>
    <w:sig w:usb0="00000000" w:usb1="00000000" w:usb2="00000000" w:usb3="00000000" w:csb0="00000000" w:csb1="00000000"/>
    <w:embedRegular r:id="rId7" w:fontKey="{E4317C1B-552A-4323-AD20-51808E2C9298}"/>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BE0D9">
    <w:pPr>
      <w:pStyle w:val="24"/>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1FB31F">
                          <w:pPr>
                            <w:pStyle w:val="24"/>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 PAGE </w:instrText>
                          </w:r>
                          <w:r>
                            <w:rPr>
                              <w:rFonts w:ascii="Times New Roman" w:hAnsi="Times New Roman" w:eastAsia="宋体"/>
                              <w:b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61FB31F">
                    <w:pPr>
                      <w:pStyle w:val="24"/>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 PAGE </w:instrText>
                    </w:r>
                    <w:r>
                      <w:rPr>
                        <w:rFonts w:ascii="Times New Roman" w:hAnsi="Times New Roman" w:eastAsia="宋体"/>
                        <w:b w:val="0"/>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594D7C"/>
    <w:rsid w:val="07F5348B"/>
    <w:rsid w:val="0EFA6181"/>
    <w:rsid w:val="1090553E"/>
    <w:rsid w:val="11FC3C7B"/>
    <w:rsid w:val="16CF0211"/>
    <w:rsid w:val="172A0F77"/>
    <w:rsid w:val="173E7703"/>
    <w:rsid w:val="18514C97"/>
    <w:rsid w:val="1BA43C08"/>
    <w:rsid w:val="1D4D5CD3"/>
    <w:rsid w:val="1DE31D50"/>
    <w:rsid w:val="1F28557B"/>
    <w:rsid w:val="2626314C"/>
    <w:rsid w:val="29BA46F0"/>
    <w:rsid w:val="2A4A36B6"/>
    <w:rsid w:val="2A7643DA"/>
    <w:rsid w:val="2CDA5BCC"/>
    <w:rsid w:val="33791F77"/>
    <w:rsid w:val="39866318"/>
    <w:rsid w:val="3E2C1FF0"/>
    <w:rsid w:val="3FE52CA1"/>
    <w:rsid w:val="455E3D2A"/>
    <w:rsid w:val="46C0191F"/>
    <w:rsid w:val="4FC21359"/>
    <w:rsid w:val="50813281"/>
    <w:rsid w:val="50F176BC"/>
    <w:rsid w:val="51D72F7E"/>
    <w:rsid w:val="5A8B5169"/>
    <w:rsid w:val="5CB364D3"/>
    <w:rsid w:val="61F22829"/>
    <w:rsid w:val="63861052"/>
    <w:rsid w:val="66DD20EA"/>
    <w:rsid w:val="74AC2604"/>
    <w:rsid w:val="776D5A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11182</Words>
  <Characters>11825</Characters>
  <Lines>0</Lines>
  <Paragraphs>0</Paragraphs>
  <TotalTime>1</TotalTime>
  <ScaleCrop>false</ScaleCrop>
  <LinksUpToDate>false</LinksUpToDate>
  <CharactersWithSpaces>12037</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 李逍遥. </cp:lastModifiedBy>
  <dcterms:modified xsi:type="dcterms:W3CDTF">2026-06-11T10:18:13Z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eyJoZGlkIjoiMDY5NmFjMmM4ZTljMGJiZDAxN2JmYTc0NGI0NmFiNDgiLCJ1c2VySWQiOiI1Njc3NTg4MDIifQ==</vt:lpwstr>
  </property>
  <property fmtid="{D5CDD505-2E9C-101B-9397-08002B2CF9AE}" pid="3" name="KSOProductBuildVer">
    <vt:lpwstr>2052-12.1.0.22089</vt:lpwstr>
  </property>
  <property fmtid="{D5CDD505-2E9C-101B-9397-08002B2CF9AE}" pid="4" name="ICV">
    <vt:lpwstr>B456917661594B0EBF074C9CC0DC0F61_12</vt:lpwstr>
  </property>
</Properties>
</file>