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F1B64">
      <w:pPr>
        <w:jc w:val="center"/>
      </w:pPr>
    </w:p>
    <w:p w14:paraId="0AB50D5F">
      <w:pPr>
        <w:jc w:val="center"/>
      </w:pPr>
    </w:p>
    <w:p w14:paraId="47CB0252">
      <w:pPr>
        <w:jc w:val="center"/>
      </w:pPr>
    </w:p>
    <w:p w14:paraId="78F2A141">
      <w:pPr>
        <w:jc w:val="center"/>
      </w:pPr>
    </w:p>
    <w:p w14:paraId="56654DD1">
      <w:pPr>
        <w:jc w:val="center"/>
      </w:pPr>
    </w:p>
    <w:p w14:paraId="7457432C">
      <w:pPr>
        <w:jc w:val="center"/>
      </w:pPr>
    </w:p>
    <w:p w14:paraId="3BA2CA2F">
      <w:pPr>
        <w:spacing w:line="600" w:lineRule="exact"/>
        <w:jc w:val="center"/>
      </w:pPr>
      <w:r>
        <w:rPr>
          <w:rFonts w:ascii="方正小标宋简体" w:hAnsi="方正小标宋简体" w:eastAsia="方正小标宋简体"/>
          <w:b w:val="0"/>
          <w:sz w:val="44"/>
        </w:rPr>
        <w:t>集成化应急管理指挥系统</w:t>
      </w:r>
    </w:p>
    <w:p w14:paraId="718A652E">
      <w:pPr>
        <w:spacing w:line="600" w:lineRule="exact"/>
        <w:jc w:val="center"/>
      </w:pPr>
      <w:r>
        <w:rPr>
          <w:rFonts w:ascii="方正小标宋简体" w:hAnsi="方正小标宋简体" w:eastAsia="方正小标宋简体"/>
          <w:b w:val="0"/>
          <w:sz w:val="44"/>
        </w:rPr>
        <w:t>国产化适配改造方案</w:t>
      </w:r>
    </w:p>
    <w:p w14:paraId="171CC2A0">
      <w:pPr>
        <w:jc w:val="center"/>
      </w:pPr>
    </w:p>
    <w:p w14:paraId="6E1D620D">
      <w:pPr>
        <w:jc w:val="center"/>
      </w:pPr>
    </w:p>
    <w:p w14:paraId="0ECB2D26">
      <w:pPr>
        <w:jc w:val="center"/>
      </w:pPr>
    </w:p>
    <w:p w14:paraId="09BC6F29">
      <w:pPr>
        <w:jc w:val="center"/>
      </w:pPr>
    </w:p>
    <w:p w14:paraId="6B32932B">
      <w:pPr>
        <w:jc w:val="center"/>
      </w:pPr>
    </w:p>
    <w:p w14:paraId="2C5E007D">
      <w:pPr>
        <w:jc w:val="center"/>
      </w:pPr>
    </w:p>
    <w:p w14:paraId="5C34123B">
      <w:pPr>
        <w:jc w:val="center"/>
      </w:pPr>
    </w:p>
    <w:p w14:paraId="604BCAC9">
      <w:pPr>
        <w:jc w:val="center"/>
      </w:pPr>
    </w:p>
    <w:p w14:paraId="67045C48">
      <w:pPr>
        <w:jc w:val="center"/>
      </w:pPr>
    </w:p>
    <w:p w14:paraId="6A1D9346">
      <w:pPr>
        <w:jc w:val="center"/>
      </w:pPr>
    </w:p>
    <w:p w14:paraId="79554669">
      <w:pPr>
        <w:jc w:val="center"/>
      </w:pPr>
    </w:p>
    <w:p w14:paraId="0F60A7DF">
      <w:pPr>
        <w:jc w:val="center"/>
      </w:pPr>
    </w:p>
    <w:p w14:paraId="179C9666">
      <w:pPr>
        <w:spacing w:line="600" w:lineRule="exact"/>
        <w:jc w:val="center"/>
      </w:pPr>
      <w:r>
        <w:rPr>
          <w:rFonts w:ascii="Times New Roman" w:hAnsi="Times New Roman" w:eastAsia="仿宋_GB2312"/>
          <w:b w:val="0"/>
          <w:sz w:val="32"/>
        </w:rPr>
        <w:t>荣成市应急管理局</w:t>
      </w:r>
    </w:p>
    <w:p w14:paraId="7A5F96BA">
      <w:pPr>
        <w:spacing w:line="600" w:lineRule="exact"/>
        <w:jc w:val="center"/>
      </w:pPr>
      <w:r>
        <w:rPr>
          <w:rFonts w:hint="eastAsia" w:ascii="Times New Roman" w:hAnsi="Times New Roman" w:eastAsia="仿宋_GB2312"/>
          <w:b w:val="0"/>
          <w:sz w:val="32"/>
          <w:lang w:val="en-US" w:eastAsia="zh-CN"/>
        </w:rPr>
        <w:t>2026</w:t>
      </w:r>
      <w:r>
        <w:rPr>
          <w:rFonts w:ascii="Times New Roman" w:hAnsi="Times New Roman" w:eastAsia="仿宋_GB2312"/>
          <w:b w:val="0"/>
          <w:sz w:val="32"/>
        </w:rPr>
        <w:t>年</w:t>
      </w:r>
      <w:r>
        <w:rPr>
          <w:rFonts w:hint="eastAsia" w:ascii="Times New Roman" w:hAnsi="Times New Roman" w:eastAsia="仿宋_GB2312"/>
          <w:b w:val="0"/>
          <w:sz w:val="32"/>
          <w:lang w:val="en-US" w:eastAsia="zh-CN"/>
        </w:rPr>
        <w:t>5</w:t>
      </w:r>
      <w:r>
        <w:rPr>
          <w:rFonts w:ascii="Times New Roman" w:hAnsi="Times New Roman" w:eastAsia="仿宋_GB2312"/>
          <w:b w:val="0"/>
          <w:sz w:val="32"/>
        </w:rPr>
        <w:t>月</w:t>
      </w:r>
    </w:p>
    <w:p w14:paraId="05ED82C8">
      <w:pPr>
        <w:spacing w:after="200"/>
      </w:pPr>
      <w:r>
        <w:br w:type="page"/>
      </w:r>
    </w:p>
    <w:sdt>
      <w:sdtPr>
        <w:rPr>
          <w:rFonts w:ascii="宋体" w:hAnsi="宋体" w:eastAsia="宋体" w:cstheme="minorBidi"/>
          <w:sz w:val="21"/>
          <w:szCs w:val="22"/>
          <w:lang w:val="en-US" w:eastAsia="en-US" w:bidi="ar-SA"/>
        </w:rPr>
        <w:id w:val="14745684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E791E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00A6B63">
          <w:pPr>
            <w:pStyle w:val="26"/>
            <w:tabs>
              <w:tab w:val="right" w:leader="dot" w:pos="8640"/>
            </w:tabs>
          </w:pPr>
          <w:r>
            <w:fldChar w:fldCharType="begin"/>
          </w:r>
          <w:r>
            <w:instrText xml:space="preserve">TOC \o "1-3" \h \u </w:instrText>
          </w:r>
          <w:r>
            <w:fldChar w:fldCharType="separate"/>
          </w:r>
          <w:r>
            <w:fldChar w:fldCharType="begin"/>
          </w:r>
          <w:r>
            <w:instrText xml:space="preserve"> HYPERLINK \l _Toc18433 </w:instrText>
          </w:r>
          <w:r>
            <w:fldChar w:fldCharType="separate"/>
          </w:r>
          <w:r>
            <w:rPr>
              <w:rFonts w:ascii="黑体" w:hAnsi="黑体" w:eastAsia="黑体"/>
            </w:rPr>
            <w:t>一、项目概述</w:t>
          </w:r>
          <w:r>
            <w:tab/>
          </w:r>
          <w:r>
            <w:fldChar w:fldCharType="begin"/>
          </w:r>
          <w:r>
            <w:instrText xml:space="preserve"> PAGEREF _Toc18433 \h </w:instrText>
          </w:r>
          <w:r>
            <w:fldChar w:fldCharType="separate"/>
          </w:r>
          <w:r>
            <w:t>1</w:t>
          </w:r>
          <w:r>
            <w:fldChar w:fldCharType="end"/>
          </w:r>
          <w:r>
            <w:fldChar w:fldCharType="end"/>
          </w:r>
        </w:p>
        <w:p w14:paraId="0D0FEA90">
          <w:pPr>
            <w:pStyle w:val="29"/>
            <w:tabs>
              <w:tab w:val="right" w:leader="dot" w:pos="8640"/>
            </w:tabs>
          </w:pPr>
          <w:r>
            <w:fldChar w:fldCharType="begin"/>
          </w:r>
          <w:r>
            <w:instrText xml:space="preserve"> HYPERLINK \l _Toc31588 </w:instrText>
          </w:r>
          <w:r>
            <w:fldChar w:fldCharType="separate"/>
          </w:r>
          <w:r>
            <w:rPr>
              <w:rFonts w:ascii="楷体_GB2312" w:hAnsi="楷体_GB2312" w:eastAsia="楷体_GB2312"/>
            </w:rPr>
            <w:t>（一）项目背景</w:t>
          </w:r>
          <w:r>
            <w:tab/>
          </w:r>
          <w:r>
            <w:fldChar w:fldCharType="begin"/>
          </w:r>
          <w:r>
            <w:instrText xml:space="preserve"> PAGEREF _Toc31588 \h </w:instrText>
          </w:r>
          <w:r>
            <w:fldChar w:fldCharType="separate"/>
          </w:r>
          <w:r>
            <w:t>1</w:t>
          </w:r>
          <w:r>
            <w:fldChar w:fldCharType="end"/>
          </w:r>
          <w:r>
            <w:fldChar w:fldCharType="end"/>
          </w:r>
        </w:p>
        <w:p w14:paraId="30CFE0C9">
          <w:pPr>
            <w:pStyle w:val="29"/>
            <w:tabs>
              <w:tab w:val="right" w:leader="dot" w:pos="8640"/>
            </w:tabs>
          </w:pPr>
          <w:r>
            <w:fldChar w:fldCharType="begin"/>
          </w:r>
          <w:r>
            <w:instrText xml:space="preserve"> HYPERLINK \l _Toc21716 </w:instrText>
          </w:r>
          <w:r>
            <w:fldChar w:fldCharType="separate"/>
          </w:r>
          <w:r>
            <w:rPr>
              <w:rFonts w:ascii="楷体_GB2312" w:hAnsi="楷体_GB2312" w:eastAsia="楷体_GB2312"/>
            </w:rPr>
            <w:t>（二）国产化改造范围</w:t>
          </w:r>
          <w:r>
            <w:tab/>
          </w:r>
          <w:r>
            <w:fldChar w:fldCharType="begin"/>
          </w:r>
          <w:r>
            <w:instrText xml:space="preserve"> PAGEREF _Toc21716 \h </w:instrText>
          </w:r>
          <w:r>
            <w:fldChar w:fldCharType="separate"/>
          </w:r>
          <w:r>
            <w:t>1</w:t>
          </w:r>
          <w:r>
            <w:fldChar w:fldCharType="end"/>
          </w:r>
          <w:r>
            <w:fldChar w:fldCharType="end"/>
          </w:r>
        </w:p>
        <w:p w14:paraId="6B81CA11">
          <w:pPr>
            <w:pStyle w:val="29"/>
            <w:tabs>
              <w:tab w:val="right" w:leader="dot" w:pos="8640"/>
            </w:tabs>
          </w:pPr>
          <w:r>
            <w:fldChar w:fldCharType="begin"/>
          </w:r>
          <w:r>
            <w:instrText xml:space="preserve"> HYPERLINK \l _Toc3881 </w:instrText>
          </w:r>
          <w:r>
            <w:fldChar w:fldCharType="separate"/>
          </w:r>
          <w:r>
            <w:rPr>
              <w:rFonts w:ascii="楷体_GB2312" w:hAnsi="楷体_GB2312" w:eastAsia="楷体_GB2312"/>
            </w:rPr>
            <w:t>（三）项目意义</w:t>
          </w:r>
          <w:r>
            <w:tab/>
          </w:r>
          <w:r>
            <w:fldChar w:fldCharType="begin"/>
          </w:r>
          <w:r>
            <w:instrText xml:space="preserve"> PAGEREF _Toc3881 \h </w:instrText>
          </w:r>
          <w:r>
            <w:fldChar w:fldCharType="separate"/>
          </w:r>
          <w:r>
            <w:t>2</w:t>
          </w:r>
          <w:r>
            <w:fldChar w:fldCharType="end"/>
          </w:r>
          <w:r>
            <w:fldChar w:fldCharType="end"/>
          </w:r>
        </w:p>
        <w:p w14:paraId="54F53CD3">
          <w:pPr>
            <w:pStyle w:val="29"/>
            <w:tabs>
              <w:tab w:val="right" w:leader="dot" w:pos="8640"/>
            </w:tabs>
          </w:pPr>
          <w:r>
            <w:fldChar w:fldCharType="begin"/>
          </w:r>
          <w:r>
            <w:instrText xml:space="preserve"> HYPERLINK \l _Toc26606 </w:instrText>
          </w:r>
          <w:r>
            <w:fldChar w:fldCharType="separate"/>
          </w:r>
          <w:r>
            <w:rPr>
              <w:rFonts w:ascii="楷体_GB2312" w:hAnsi="楷体_GB2312" w:eastAsia="楷体_GB2312"/>
            </w:rPr>
            <w:t>（四）技术架构概述</w:t>
          </w:r>
          <w:r>
            <w:tab/>
          </w:r>
          <w:r>
            <w:fldChar w:fldCharType="begin"/>
          </w:r>
          <w:r>
            <w:instrText xml:space="preserve"> PAGEREF _Toc26606 \h </w:instrText>
          </w:r>
          <w:r>
            <w:fldChar w:fldCharType="separate"/>
          </w:r>
          <w:r>
            <w:t>3</w:t>
          </w:r>
          <w:r>
            <w:fldChar w:fldCharType="end"/>
          </w:r>
          <w:r>
            <w:fldChar w:fldCharType="end"/>
          </w:r>
        </w:p>
        <w:p w14:paraId="0672847C">
          <w:pPr>
            <w:pStyle w:val="29"/>
            <w:tabs>
              <w:tab w:val="right" w:leader="dot" w:pos="8640"/>
            </w:tabs>
          </w:pPr>
          <w:r>
            <w:fldChar w:fldCharType="begin"/>
          </w:r>
          <w:r>
            <w:instrText xml:space="preserve"> HYPERLINK \l _Toc29500 </w:instrText>
          </w:r>
          <w:r>
            <w:fldChar w:fldCharType="separate"/>
          </w:r>
          <w:r>
            <w:rPr>
              <w:rFonts w:ascii="楷体_GB2312" w:hAnsi="楷体_GB2312" w:eastAsia="楷体_GB2312"/>
            </w:rPr>
            <w:t>（五）现有系统数据规模</w:t>
          </w:r>
          <w:r>
            <w:tab/>
          </w:r>
          <w:r>
            <w:fldChar w:fldCharType="begin"/>
          </w:r>
          <w:r>
            <w:instrText xml:space="preserve"> PAGEREF _Toc29500 \h </w:instrText>
          </w:r>
          <w:r>
            <w:fldChar w:fldCharType="separate"/>
          </w:r>
          <w:r>
            <w:t>4</w:t>
          </w:r>
          <w:r>
            <w:fldChar w:fldCharType="end"/>
          </w:r>
          <w:r>
            <w:fldChar w:fldCharType="end"/>
          </w:r>
        </w:p>
        <w:p w14:paraId="44DEA9A5">
          <w:pPr>
            <w:pStyle w:val="26"/>
            <w:tabs>
              <w:tab w:val="right" w:leader="dot" w:pos="8640"/>
            </w:tabs>
          </w:pPr>
          <w:r>
            <w:fldChar w:fldCharType="begin"/>
          </w:r>
          <w:r>
            <w:instrText xml:space="preserve"> HYPERLINK \l _Toc18860 </w:instrText>
          </w:r>
          <w:r>
            <w:fldChar w:fldCharType="separate"/>
          </w:r>
          <w:r>
            <w:rPr>
              <w:rFonts w:ascii="黑体" w:hAnsi="黑体" w:eastAsia="黑体"/>
            </w:rPr>
            <w:t>二、改造背景与必要性</w:t>
          </w:r>
          <w:r>
            <w:tab/>
          </w:r>
          <w:r>
            <w:fldChar w:fldCharType="begin"/>
          </w:r>
          <w:r>
            <w:instrText xml:space="preserve"> PAGEREF _Toc18860 \h </w:instrText>
          </w:r>
          <w:r>
            <w:fldChar w:fldCharType="separate"/>
          </w:r>
          <w:r>
            <w:t>5</w:t>
          </w:r>
          <w:r>
            <w:fldChar w:fldCharType="end"/>
          </w:r>
          <w:r>
            <w:fldChar w:fldCharType="end"/>
          </w:r>
        </w:p>
        <w:p w14:paraId="636A8085">
          <w:pPr>
            <w:pStyle w:val="29"/>
            <w:tabs>
              <w:tab w:val="right" w:leader="dot" w:pos="8640"/>
            </w:tabs>
          </w:pPr>
          <w:r>
            <w:fldChar w:fldCharType="begin"/>
          </w:r>
          <w:r>
            <w:instrText xml:space="preserve"> HYPERLINK \l _Toc29118 </w:instrText>
          </w:r>
          <w:r>
            <w:fldChar w:fldCharType="separate"/>
          </w:r>
          <w:r>
            <w:rPr>
              <w:rFonts w:ascii="楷体_GB2312" w:hAnsi="楷体_GB2312" w:eastAsia="楷体_GB2312"/>
            </w:rPr>
            <w:t>（一）国家安全要求</w:t>
          </w:r>
          <w:r>
            <w:tab/>
          </w:r>
          <w:r>
            <w:fldChar w:fldCharType="begin"/>
          </w:r>
          <w:r>
            <w:instrText xml:space="preserve"> PAGEREF _Toc29118 \h </w:instrText>
          </w:r>
          <w:r>
            <w:fldChar w:fldCharType="separate"/>
          </w:r>
          <w:r>
            <w:t>5</w:t>
          </w:r>
          <w:r>
            <w:fldChar w:fldCharType="end"/>
          </w:r>
          <w:r>
            <w:fldChar w:fldCharType="end"/>
          </w:r>
        </w:p>
        <w:p w14:paraId="481ED52E">
          <w:pPr>
            <w:pStyle w:val="29"/>
            <w:tabs>
              <w:tab w:val="right" w:leader="dot" w:pos="8640"/>
            </w:tabs>
          </w:pPr>
          <w:r>
            <w:fldChar w:fldCharType="begin"/>
          </w:r>
          <w:r>
            <w:instrText xml:space="preserve"> HYPERLINK \l _Toc31254 </w:instrText>
          </w:r>
          <w:r>
            <w:fldChar w:fldCharType="separate"/>
          </w:r>
          <w:r>
            <w:rPr>
              <w:rFonts w:ascii="楷体_GB2312" w:hAnsi="楷体_GB2312" w:eastAsia="楷体_GB2312"/>
            </w:rPr>
            <w:t>（二）数据安全防护</w:t>
          </w:r>
          <w:r>
            <w:tab/>
          </w:r>
          <w:r>
            <w:fldChar w:fldCharType="begin"/>
          </w:r>
          <w:r>
            <w:instrText xml:space="preserve"> PAGEREF _Toc31254 \h </w:instrText>
          </w:r>
          <w:r>
            <w:fldChar w:fldCharType="separate"/>
          </w:r>
          <w:r>
            <w:t>5</w:t>
          </w:r>
          <w:r>
            <w:fldChar w:fldCharType="end"/>
          </w:r>
          <w:r>
            <w:fldChar w:fldCharType="end"/>
          </w:r>
        </w:p>
        <w:p w14:paraId="64F79948">
          <w:pPr>
            <w:pStyle w:val="29"/>
            <w:tabs>
              <w:tab w:val="right" w:leader="dot" w:pos="8640"/>
            </w:tabs>
          </w:pPr>
          <w:r>
            <w:fldChar w:fldCharType="begin"/>
          </w:r>
          <w:r>
            <w:instrText xml:space="preserve"> HYPERLINK \l _Toc5975 </w:instrText>
          </w:r>
          <w:r>
            <w:fldChar w:fldCharType="separate"/>
          </w:r>
          <w:r>
            <w:rPr>
              <w:rFonts w:ascii="楷体_GB2312" w:hAnsi="楷体_GB2312" w:eastAsia="楷体_GB2312"/>
            </w:rPr>
            <w:t>（三）业务持续保障</w:t>
          </w:r>
          <w:r>
            <w:tab/>
          </w:r>
          <w:r>
            <w:fldChar w:fldCharType="begin"/>
          </w:r>
          <w:r>
            <w:instrText xml:space="preserve"> PAGEREF _Toc5975 \h </w:instrText>
          </w:r>
          <w:r>
            <w:fldChar w:fldCharType="separate"/>
          </w:r>
          <w:r>
            <w:t>6</w:t>
          </w:r>
          <w:r>
            <w:fldChar w:fldCharType="end"/>
          </w:r>
          <w:r>
            <w:fldChar w:fldCharType="end"/>
          </w:r>
        </w:p>
        <w:p w14:paraId="32547128">
          <w:pPr>
            <w:pStyle w:val="29"/>
            <w:tabs>
              <w:tab w:val="right" w:leader="dot" w:pos="8640"/>
            </w:tabs>
          </w:pPr>
          <w:r>
            <w:fldChar w:fldCharType="begin"/>
          </w:r>
          <w:r>
            <w:instrText xml:space="preserve"> HYPERLINK \l _Toc13545 </w:instrText>
          </w:r>
          <w:r>
            <w:fldChar w:fldCharType="separate"/>
          </w:r>
          <w:r>
            <w:rPr>
              <w:rFonts w:ascii="楷体_GB2312" w:hAnsi="楷体_GB2312" w:eastAsia="楷体_GB2312"/>
            </w:rPr>
            <w:t>（四）降本提效</w:t>
          </w:r>
          <w:r>
            <w:tab/>
          </w:r>
          <w:r>
            <w:fldChar w:fldCharType="begin"/>
          </w:r>
          <w:r>
            <w:instrText xml:space="preserve"> PAGEREF _Toc13545 \h </w:instrText>
          </w:r>
          <w:r>
            <w:fldChar w:fldCharType="separate"/>
          </w:r>
          <w:r>
            <w:t>6</w:t>
          </w:r>
          <w:r>
            <w:fldChar w:fldCharType="end"/>
          </w:r>
          <w:r>
            <w:fldChar w:fldCharType="end"/>
          </w:r>
        </w:p>
        <w:p w14:paraId="0FB5BDEB">
          <w:pPr>
            <w:pStyle w:val="29"/>
            <w:tabs>
              <w:tab w:val="right" w:leader="dot" w:pos="8640"/>
            </w:tabs>
          </w:pPr>
          <w:r>
            <w:fldChar w:fldCharType="begin"/>
          </w:r>
          <w:r>
            <w:instrText xml:space="preserve"> HYPERLINK \l _Toc29599 </w:instrText>
          </w:r>
          <w:r>
            <w:fldChar w:fldCharType="separate"/>
          </w:r>
          <w:r>
            <w:rPr>
              <w:rFonts w:ascii="楷体_GB2312" w:hAnsi="楷体_GB2312" w:eastAsia="楷体_GB2312"/>
            </w:rPr>
            <w:t>（五）政策合规性</w:t>
          </w:r>
          <w:r>
            <w:tab/>
          </w:r>
          <w:r>
            <w:fldChar w:fldCharType="begin"/>
          </w:r>
          <w:r>
            <w:instrText xml:space="preserve"> PAGEREF _Toc29599 \h </w:instrText>
          </w:r>
          <w:r>
            <w:fldChar w:fldCharType="separate"/>
          </w:r>
          <w:r>
            <w:t>7</w:t>
          </w:r>
          <w:r>
            <w:fldChar w:fldCharType="end"/>
          </w:r>
          <w:r>
            <w:fldChar w:fldCharType="end"/>
          </w:r>
        </w:p>
        <w:p w14:paraId="1E36EB54">
          <w:pPr>
            <w:pStyle w:val="26"/>
            <w:tabs>
              <w:tab w:val="right" w:leader="dot" w:pos="8640"/>
            </w:tabs>
          </w:pPr>
          <w:r>
            <w:fldChar w:fldCharType="begin"/>
          </w:r>
          <w:r>
            <w:instrText xml:space="preserve"> HYPERLINK \l _Toc19181 </w:instrText>
          </w:r>
          <w:r>
            <w:fldChar w:fldCharType="separate"/>
          </w:r>
          <w:r>
            <w:rPr>
              <w:rFonts w:ascii="黑体" w:hAnsi="黑体" w:eastAsia="黑体"/>
            </w:rPr>
            <w:t>三、改造目标与原则</w:t>
          </w:r>
          <w:r>
            <w:tab/>
          </w:r>
          <w:r>
            <w:fldChar w:fldCharType="begin"/>
          </w:r>
          <w:r>
            <w:instrText xml:space="preserve"> PAGEREF _Toc19181 \h </w:instrText>
          </w:r>
          <w:r>
            <w:fldChar w:fldCharType="separate"/>
          </w:r>
          <w:r>
            <w:t>8</w:t>
          </w:r>
          <w:r>
            <w:fldChar w:fldCharType="end"/>
          </w:r>
          <w:r>
            <w:fldChar w:fldCharType="end"/>
          </w:r>
        </w:p>
        <w:p w14:paraId="4EB70692">
          <w:pPr>
            <w:pStyle w:val="29"/>
            <w:tabs>
              <w:tab w:val="right" w:leader="dot" w:pos="8640"/>
            </w:tabs>
          </w:pPr>
          <w:r>
            <w:fldChar w:fldCharType="begin"/>
          </w:r>
          <w:r>
            <w:instrText xml:space="preserve"> HYPERLINK \l _Toc15777 </w:instrText>
          </w:r>
          <w:r>
            <w:fldChar w:fldCharType="separate"/>
          </w:r>
          <w:r>
            <w:rPr>
              <w:rFonts w:ascii="楷体_GB2312" w:hAnsi="楷体_GB2312" w:eastAsia="楷体_GB2312"/>
            </w:rPr>
            <w:t>（一）改造目标</w:t>
          </w:r>
          <w:r>
            <w:tab/>
          </w:r>
          <w:r>
            <w:fldChar w:fldCharType="begin"/>
          </w:r>
          <w:r>
            <w:instrText xml:space="preserve"> PAGEREF _Toc15777 \h </w:instrText>
          </w:r>
          <w:r>
            <w:fldChar w:fldCharType="separate"/>
          </w:r>
          <w:r>
            <w:t>8</w:t>
          </w:r>
          <w:r>
            <w:fldChar w:fldCharType="end"/>
          </w:r>
          <w:r>
            <w:fldChar w:fldCharType="end"/>
          </w:r>
        </w:p>
        <w:p w14:paraId="32F3BCAA">
          <w:pPr>
            <w:pStyle w:val="29"/>
            <w:tabs>
              <w:tab w:val="right" w:leader="dot" w:pos="8640"/>
            </w:tabs>
          </w:pPr>
          <w:r>
            <w:fldChar w:fldCharType="begin"/>
          </w:r>
          <w:r>
            <w:instrText xml:space="preserve"> HYPERLINK \l _Toc8917 </w:instrText>
          </w:r>
          <w:r>
            <w:fldChar w:fldCharType="separate"/>
          </w:r>
          <w:r>
            <w:rPr>
              <w:rFonts w:ascii="楷体_GB2312" w:hAnsi="楷体_GB2312" w:eastAsia="楷体_GB2312"/>
            </w:rPr>
            <w:t>（二）改造原则</w:t>
          </w:r>
          <w:r>
            <w:tab/>
          </w:r>
          <w:r>
            <w:fldChar w:fldCharType="begin"/>
          </w:r>
          <w:r>
            <w:instrText xml:space="preserve"> PAGEREF _Toc8917 \h </w:instrText>
          </w:r>
          <w:r>
            <w:fldChar w:fldCharType="separate"/>
          </w:r>
          <w:r>
            <w:t>9</w:t>
          </w:r>
          <w:r>
            <w:fldChar w:fldCharType="end"/>
          </w:r>
          <w:r>
            <w:fldChar w:fldCharType="end"/>
          </w:r>
        </w:p>
        <w:p w14:paraId="444288EB">
          <w:pPr>
            <w:pStyle w:val="26"/>
            <w:tabs>
              <w:tab w:val="right" w:leader="dot" w:pos="8640"/>
            </w:tabs>
          </w:pPr>
          <w:r>
            <w:fldChar w:fldCharType="begin"/>
          </w:r>
          <w:r>
            <w:instrText xml:space="preserve"> HYPERLINK \l _Toc1466 </w:instrText>
          </w:r>
          <w:r>
            <w:fldChar w:fldCharType="separate"/>
          </w:r>
          <w:r>
            <w:rPr>
              <w:rFonts w:ascii="黑体" w:hAnsi="黑体" w:eastAsia="黑体"/>
            </w:rPr>
            <w:t>四、技术路线与改造方案</w:t>
          </w:r>
          <w:r>
            <w:tab/>
          </w:r>
          <w:r>
            <w:fldChar w:fldCharType="begin"/>
          </w:r>
          <w:r>
            <w:instrText xml:space="preserve"> PAGEREF _Toc1466 \h </w:instrText>
          </w:r>
          <w:r>
            <w:fldChar w:fldCharType="separate"/>
          </w:r>
          <w:r>
            <w:t>10</w:t>
          </w:r>
          <w:r>
            <w:fldChar w:fldCharType="end"/>
          </w:r>
          <w:r>
            <w:fldChar w:fldCharType="end"/>
          </w:r>
        </w:p>
        <w:p w14:paraId="2BE8B107">
          <w:pPr>
            <w:pStyle w:val="29"/>
            <w:tabs>
              <w:tab w:val="right" w:leader="dot" w:pos="8640"/>
            </w:tabs>
          </w:pPr>
          <w:r>
            <w:fldChar w:fldCharType="begin"/>
          </w:r>
          <w:r>
            <w:instrText xml:space="preserve"> HYPERLINK \l _Toc1595 </w:instrText>
          </w:r>
          <w:r>
            <w:fldChar w:fldCharType="separate"/>
          </w:r>
          <w:r>
            <w:rPr>
              <w:rFonts w:ascii="楷体_GB2312" w:hAnsi="楷体_GB2312" w:eastAsia="楷体_GB2312"/>
            </w:rPr>
            <w:t>（一）总体技术架构</w:t>
          </w:r>
          <w:r>
            <w:tab/>
          </w:r>
          <w:r>
            <w:fldChar w:fldCharType="begin"/>
          </w:r>
          <w:r>
            <w:instrText xml:space="preserve"> PAGEREF _Toc1595 \h </w:instrText>
          </w:r>
          <w:r>
            <w:fldChar w:fldCharType="separate"/>
          </w:r>
          <w:r>
            <w:t>10</w:t>
          </w:r>
          <w:r>
            <w:fldChar w:fldCharType="end"/>
          </w:r>
          <w:r>
            <w:fldChar w:fldCharType="end"/>
          </w:r>
        </w:p>
        <w:p w14:paraId="686AF475">
          <w:pPr>
            <w:pStyle w:val="29"/>
            <w:tabs>
              <w:tab w:val="right" w:leader="dot" w:pos="8640"/>
            </w:tabs>
          </w:pPr>
          <w:r>
            <w:fldChar w:fldCharType="begin"/>
          </w:r>
          <w:r>
            <w:instrText xml:space="preserve"> HYPERLINK \l _Toc10012 </w:instrText>
          </w:r>
          <w:r>
            <w:fldChar w:fldCharType="separate"/>
          </w:r>
          <w:r>
            <w:rPr>
              <w:rFonts w:ascii="楷体_GB2312" w:hAnsi="楷体_GB2312" w:eastAsia="楷体_GB2312"/>
            </w:rPr>
            <w:t>（二）数据库适配改造方案</w:t>
          </w:r>
          <w:r>
            <w:tab/>
          </w:r>
          <w:r>
            <w:fldChar w:fldCharType="begin"/>
          </w:r>
          <w:r>
            <w:instrText xml:space="preserve"> PAGEREF _Toc10012 \h </w:instrText>
          </w:r>
          <w:r>
            <w:fldChar w:fldCharType="separate"/>
          </w:r>
          <w:r>
            <w:t>11</w:t>
          </w:r>
          <w:r>
            <w:fldChar w:fldCharType="end"/>
          </w:r>
          <w:r>
            <w:fldChar w:fldCharType="end"/>
          </w:r>
        </w:p>
        <w:p w14:paraId="7863E610">
          <w:pPr>
            <w:pStyle w:val="29"/>
            <w:tabs>
              <w:tab w:val="right" w:leader="dot" w:pos="8640"/>
            </w:tabs>
          </w:pPr>
          <w:r>
            <w:fldChar w:fldCharType="begin"/>
          </w:r>
          <w:r>
            <w:instrText xml:space="preserve"> HYPERLINK \l _Toc17277 </w:instrText>
          </w:r>
          <w:r>
            <w:fldChar w:fldCharType="separate"/>
          </w:r>
          <w:r>
            <w:rPr>
              <w:rFonts w:ascii="楷体_GB2312" w:hAnsi="楷体_GB2312" w:eastAsia="楷体_GB2312"/>
            </w:rPr>
            <w:t>（三）操作系统适配改造方案</w:t>
          </w:r>
          <w:r>
            <w:tab/>
          </w:r>
          <w:r>
            <w:fldChar w:fldCharType="begin"/>
          </w:r>
          <w:r>
            <w:instrText xml:space="preserve"> PAGEREF _Toc17277 \h </w:instrText>
          </w:r>
          <w:r>
            <w:fldChar w:fldCharType="separate"/>
          </w:r>
          <w:r>
            <w:t>12</w:t>
          </w:r>
          <w:r>
            <w:fldChar w:fldCharType="end"/>
          </w:r>
          <w:r>
            <w:fldChar w:fldCharType="end"/>
          </w:r>
        </w:p>
        <w:p w14:paraId="78D99B96">
          <w:pPr>
            <w:pStyle w:val="29"/>
            <w:tabs>
              <w:tab w:val="right" w:leader="dot" w:pos="8640"/>
            </w:tabs>
          </w:pPr>
          <w:r>
            <w:fldChar w:fldCharType="begin"/>
          </w:r>
          <w:r>
            <w:instrText xml:space="preserve"> HYPERLINK \l _Toc32445 </w:instrText>
          </w:r>
          <w:r>
            <w:fldChar w:fldCharType="separate"/>
          </w:r>
          <w:r>
            <w:rPr>
              <w:rFonts w:ascii="楷体_GB2312" w:hAnsi="楷体_GB2312" w:eastAsia="楷体_GB2312"/>
            </w:rPr>
            <w:t>（四）中间件适配改造方案</w:t>
          </w:r>
          <w:r>
            <w:tab/>
          </w:r>
          <w:r>
            <w:fldChar w:fldCharType="begin"/>
          </w:r>
          <w:r>
            <w:instrText xml:space="preserve"> PAGEREF _Toc32445 \h </w:instrText>
          </w:r>
          <w:r>
            <w:fldChar w:fldCharType="separate"/>
          </w:r>
          <w:r>
            <w:t>13</w:t>
          </w:r>
          <w:r>
            <w:fldChar w:fldCharType="end"/>
          </w:r>
          <w:r>
            <w:fldChar w:fldCharType="end"/>
          </w:r>
        </w:p>
        <w:p w14:paraId="0DEB9768">
          <w:pPr>
            <w:pStyle w:val="29"/>
            <w:tabs>
              <w:tab w:val="right" w:leader="dot" w:pos="8640"/>
            </w:tabs>
          </w:pPr>
          <w:r>
            <w:fldChar w:fldCharType="begin"/>
          </w:r>
          <w:r>
            <w:instrText xml:space="preserve"> HYPERLINK \l _Toc13189 </w:instrText>
          </w:r>
          <w:r>
            <w:fldChar w:fldCharType="separate"/>
          </w:r>
          <w:r>
            <w:rPr>
              <w:rFonts w:ascii="楷体_GB2312" w:hAnsi="楷体_GB2312" w:eastAsia="楷体_GB2312"/>
            </w:rPr>
            <w:t>（五）应急指挥联合调度改造方案</w:t>
          </w:r>
          <w:r>
            <w:tab/>
          </w:r>
          <w:r>
            <w:fldChar w:fldCharType="begin"/>
          </w:r>
          <w:r>
            <w:instrText xml:space="preserve"> PAGEREF _Toc13189 \h </w:instrText>
          </w:r>
          <w:r>
            <w:fldChar w:fldCharType="separate"/>
          </w:r>
          <w:r>
            <w:t>13</w:t>
          </w:r>
          <w:r>
            <w:fldChar w:fldCharType="end"/>
          </w:r>
          <w:r>
            <w:fldChar w:fldCharType="end"/>
          </w:r>
        </w:p>
        <w:p w14:paraId="4247F809">
          <w:pPr>
            <w:pStyle w:val="29"/>
            <w:tabs>
              <w:tab w:val="right" w:leader="dot" w:pos="8640"/>
            </w:tabs>
          </w:pPr>
          <w:r>
            <w:fldChar w:fldCharType="begin"/>
          </w:r>
          <w:r>
            <w:instrText xml:space="preserve"> HYPERLINK \l _Toc23170 </w:instrText>
          </w:r>
          <w:r>
            <w:fldChar w:fldCharType="separate"/>
          </w:r>
          <w:r>
            <w:rPr>
              <w:rFonts w:ascii="楷体_GB2312" w:hAnsi="楷体_GB2312" w:eastAsia="楷体_GB2312"/>
            </w:rPr>
            <w:t>（六）应用层代码改造方案</w:t>
          </w:r>
          <w:r>
            <w:tab/>
          </w:r>
          <w:r>
            <w:fldChar w:fldCharType="begin"/>
          </w:r>
          <w:r>
            <w:instrText xml:space="preserve"> PAGEREF _Toc23170 \h </w:instrText>
          </w:r>
          <w:r>
            <w:fldChar w:fldCharType="separate"/>
          </w:r>
          <w:r>
            <w:t>15</w:t>
          </w:r>
          <w:r>
            <w:fldChar w:fldCharType="end"/>
          </w:r>
          <w:r>
            <w:fldChar w:fldCharType="end"/>
          </w:r>
        </w:p>
        <w:p w14:paraId="134B7A04">
          <w:pPr>
            <w:pStyle w:val="26"/>
            <w:tabs>
              <w:tab w:val="right" w:leader="dot" w:pos="8640"/>
            </w:tabs>
          </w:pPr>
          <w:r>
            <w:fldChar w:fldCharType="begin"/>
          </w:r>
          <w:r>
            <w:instrText xml:space="preserve"> HYPERLINK \l _Toc27327 </w:instrText>
          </w:r>
          <w:r>
            <w:fldChar w:fldCharType="separate"/>
          </w:r>
          <w:r>
            <w:rPr>
              <w:rFonts w:ascii="黑体" w:hAnsi="黑体" w:eastAsia="黑体"/>
            </w:rPr>
            <w:t>五、国产化软件选型</w:t>
          </w:r>
          <w:r>
            <w:tab/>
          </w:r>
          <w:r>
            <w:fldChar w:fldCharType="begin"/>
          </w:r>
          <w:r>
            <w:instrText xml:space="preserve"> PAGEREF _Toc27327 \h </w:instrText>
          </w:r>
          <w:r>
            <w:fldChar w:fldCharType="separate"/>
          </w:r>
          <w:r>
            <w:t>16</w:t>
          </w:r>
          <w:r>
            <w:fldChar w:fldCharType="end"/>
          </w:r>
          <w:r>
            <w:fldChar w:fldCharType="end"/>
          </w:r>
        </w:p>
        <w:p w14:paraId="0562BFB1">
          <w:pPr>
            <w:pStyle w:val="29"/>
            <w:tabs>
              <w:tab w:val="right" w:leader="dot" w:pos="8640"/>
            </w:tabs>
          </w:pPr>
          <w:r>
            <w:fldChar w:fldCharType="begin"/>
          </w:r>
          <w:r>
            <w:instrText xml:space="preserve"> HYPERLINK \l _Toc27354 </w:instrText>
          </w:r>
          <w:r>
            <w:fldChar w:fldCharType="separate"/>
          </w:r>
          <w:r>
            <w:rPr>
              <w:rFonts w:ascii="楷体_GB2312" w:hAnsi="楷体_GB2312" w:eastAsia="楷体_GB2312"/>
            </w:rPr>
            <w:t>（一）操作系统选型</w:t>
          </w:r>
          <w:r>
            <w:tab/>
          </w:r>
          <w:r>
            <w:fldChar w:fldCharType="begin"/>
          </w:r>
          <w:r>
            <w:instrText xml:space="preserve"> PAGEREF _Toc27354 \h </w:instrText>
          </w:r>
          <w:r>
            <w:fldChar w:fldCharType="separate"/>
          </w:r>
          <w:r>
            <w:t>16</w:t>
          </w:r>
          <w:r>
            <w:fldChar w:fldCharType="end"/>
          </w:r>
          <w:r>
            <w:fldChar w:fldCharType="end"/>
          </w:r>
        </w:p>
        <w:p w14:paraId="6CCBE944">
          <w:pPr>
            <w:pStyle w:val="29"/>
            <w:tabs>
              <w:tab w:val="right" w:leader="dot" w:pos="8640"/>
            </w:tabs>
          </w:pPr>
          <w:r>
            <w:fldChar w:fldCharType="begin"/>
          </w:r>
          <w:r>
            <w:instrText xml:space="preserve"> HYPERLINK \l _Toc22216 </w:instrText>
          </w:r>
          <w:r>
            <w:fldChar w:fldCharType="separate"/>
          </w:r>
          <w:r>
            <w:rPr>
              <w:rFonts w:ascii="楷体_GB2312" w:hAnsi="楷体_GB2312" w:eastAsia="楷体_GB2312"/>
            </w:rPr>
            <w:t>（二）数据库选型</w:t>
          </w:r>
          <w:r>
            <w:tab/>
          </w:r>
          <w:r>
            <w:fldChar w:fldCharType="begin"/>
          </w:r>
          <w:r>
            <w:instrText xml:space="preserve"> PAGEREF _Toc22216 \h </w:instrText>
          </w:r>
          <w:r>
            <w:fldChar w:fldCharType="separate"/>
          </w:r>
          <w:r>
            <w:t>16</w:t>
          </w:r>
          <w:r>
            <w:fldChar w:fldCharType="end"/>
          </w:r>
          <w:r>
            <w:fldChar w:fldCharType="end"/>
          </w:r>
        </w:p>
        <w:p w14:paraId="7720E71A">
          <w:pPr>
            <w:pStyle w:val="29"/>
            <w:tabs>
              <w:tab w:val="right" w:leader="dot" w:pos="8640"/>
            </w:tabs>
          </w:pPr>
          <w:r>
            <w:fldChar w:fldCharType="begin"/>
          </w:r>
          <w:r>
            <w:instrText xml:space="preserve"> HYPERLINK \l _Toc4652 </w:instrText>
          </w:r>
          <w:r>
            <w:fldChar w:fldCharType="separate"/>
          </w:r>
          <w:r>
            <w:rPr>
              <w:rFonts w:ascii="楷体_GB2312" w:hAnsi="楷体_GB2312" w:eastAsia="楷体_GB2312"/>
            </w:rPr>
            <w:t>（三）中间件选型</w:t>
          </w:r>
          <w:r>
            <w:tab/>
          </w:r>
          <w:r>
            <w:fldChar w:fldCharType="begin"/>
          </w:r>
          <w:r>
            <w:instrText xml:space="preserve"> PAGEREF _Toc4652 \h </w:instrText>
          </w:r>
          <w:r>
            <w:fldChar w:fldCharType="separate"/>
          </w:r>
          <w:r>
            <w:t>16</w:t>
          </w:r>
          <w:r>
            <w:fldChar w:fldCharType="end"/>
          </w:r>
          <w:r>
            <w:fldChar w:fldCharType="end"/>
          </w:r>
        </w:p>
        <w:p w14:paraId="337969A2">
          <w:pPr>
            <w:pStyle w:val="26"/>
            <w:tabs>
              <w:tab w:val="right" w:leader="dot" w:pos="8640"/>
            </w:tabs>
          </w:pPr>
          <w:r>
            <w:fldChar w:fldCharType="begin"/>
          </w:r>
          <w:r>
            <w:instrText xml:space="preserve"> HYPERLINK \l _Toc22179 </w:instrText>
          </w:r>
          <w:r>
            <w:fldChar w:fldCharType="separate"/>
          </w:r>
          <w:r>
            <w:rPr>
              <w:rFonts w:ascii="黑体" w:hAnsi="黑体" w:eastAsia="黑体"/>
            </w:rPr>
            <w:t>六、实施计划与进度安排</w:t>
          </w:r>
          <w:r>
            <w:tab/>
          </w:r>
          <w:r>
            <w:fldChar w:fldCharType="begin"/>
          </w:r>
          <w:r>
            <w:instrText xml:space="preserve"> PAGEREF _Toc22179 \h </w:instrText>
          </w:r>
          <w:r>
            <w:fldChar w:fldCharType="separate"/>
          </w:r>
          <w:r>
            <w:t>17</w:t>
          </w:r>
          <w:r>
            <w:fldChar w:fldCharType="end"/>
          </w:r>
          <w:r>
            <w:fldChar w:fldCharType="end"/>
          </w:r>
        </w:p>
        <w:p w14:paraId="12D9F74F">
          <w:pPr>
            <w:pStyle w:val="29"/>
            <w:tabs>
              <w:tab w:val="right" w:leader="dot" w:pos="8640"/>
            </w:tabs>
          </w:pPr>
          <w:r>
            <w:fldChar w:fldCharType="begin"/>
          </w:r>
          <w:r>
            <w:instrText xml:space="preserve"> HYPERLINK \l _Toc2248 </w:instrText>
          </w:r>
          <w:r>
            <w:fldChar w:fldCharType="separate"/>
          </w:r>
          <w:r>
            <w:rPr>
              <w:rFonts w:ascii="楷体_GB2312" w:hAnsi="楷体_GB2312" w:eastAsia="楷体_GB2312"/>
            </w:rPr>
            <w:t>（一）实施阶段划分</w:t>
          </w:r>
          <w:r>
            <w:tab/>
          </w:r>
          <w:r>
            <w:fldChar w:fldCharType="begin"/>
          </w:r>
          <w:r>
            <w:instrText xml:space="preserve"> PAGEREF _Toc2248 \h </w:instrText>
          </w:r>
          <w:r>
            <w:fldChar w:fldCharType="separate"/>
          </w:r>
          <w:r>
            <w:t>17</w:t>
          </w:r>
          <w:r>
            <w:fldChar w:fldCharType="end"/>
          </w:r>
          <w:r>
            <w:fldChar w:fldCharType="end"/>
          </w:r>
        </w:p>
        <w:p w14:paraId="17EE31F9">
          <w:pPr>
            <w:pStyle w:val="29"/>
            <w:tabs>
              <w:tab w:val="right" w:leader="dot" w:pos="8640"/>
            </w:tabs>
          </w:pPr>
          <w:r>
            <w:fldChar w:fldCharType="begin"/>
          </w:r>
          <w:r>
            <w:instrText xml:space="preserve"> HYPERLINK \l _Toc2414 </w:instrText>
          </w:r>
          <w:r>
            <w:fldChar w:fldCharType="separate"/>
          </w:r>
          <w:r>
            <w:rPr>
              <w:rFonts w:ascii="楷体_GB2312" w:hAnsi="楷体_GB2312" w:eastAsia="楷体_GB2312"/>
            </w:rPr>
            <w:t>（二）关键里程碑</w:t>
          </w:r>
          <w:r>
            <w:tab/>
          </w:r>
          <w:r>
            <w:fldChar w:fldCharType="begin"/>
          </w:r>
          <w:r>
            <w:instrText xml:space="preserve"> PAGEREF _Toc2414 \h </w:instrText>
          </w:r>
          <w:r>
            <w:fldChar w:fldCharType="separate"/>
          </w:r>
          <w:r>
            <w:t>18</w:t>
          </w:r>
          <w:r>
            <w:fldChar w:fldCharType="end"/>
          </w:r>
          <w:r>
            <w:fldChar w:fldCharType="end"/>
          </w:r>
        </w:p>
        <w:p w14:paraId="39A72D2C">
          <w:pPr>
            <w:pStyle w:val="29"/>
            <w:tabs>
              <w:tab w:val="right" w:leader="dot" w:pos="8640"/>
            </w:tabs>
          </w:pPr>
          <w:r>
            <w:fldChar w:fldCharType="begin"/>
          </w:r>
          <w:r>
            <w:instrText xml:space="preserve"> HYPERLINK \l _Toc16690 </w:instrText>
          </w:r>
          <w:r>
            <w:fldChar w:fldCharType="separate"/>
          </w:r>
          <w:r>
            <w:rPr>
              <w:rFonts w:ascii="楷体_GB2312" w:hAnsi="楷体_GB2312" w:eastAsia="楷体_GB2312"/>
            </w:rPr>
            <w:t>（三）项目组织与管理</w:t>
          </w:r>
          <w:r>
            <w:tab/>
          </w:r>
          <w:r>
            <w:fldChar w:fldCharType="begin"/>
          </w:r>
          <w:r>
            <w:instrText xml:space="preserve"> PAGEREF _Toc16690 \h </w:instrText>
          </w:r>
          <w:r>
            <w:fldChar w:fldCharType="separate"/>
          </w:r>
          <w:r>
            <w:t>18</w:t>
          </w:r>
          <w:r>
            <w:fldChar w:fldCharType="end"/>
          </w:r>
          <w:r>
            <w:fldChar w:fldCharType="end"/>
          </w:r>
        </w:p>
        <w:p w14:paraId="5D0D0335">
          <w:pPr>
            <w:pStyle w:val="29"/>
            <w:tabs>
              <w:tab w:val="right" w:leader="dot" w:pos="8640"/>
            </w:tabs>
          </w:pPr>
          <w:r>
            <w:fldChar w:fldCharType="begin"/>
          </w:r>
          <w:r>
            <w:instrText xml:space="preserve"> HYPERLINK \l _Toc12271 </w:instrText>
          </w:r>
          <w:r>
            <w:fldChar w:fldCharType="separate"/>
          </w:r>
          <w:r>
            <w:rPr>
              <w:rFonts w:ascii="楷体_GB2312" w:hAnsi="楷体_GB2312" w:eastAsia="楷体_GB2312"/>
            </w:rPr>
            <w:t>（四）质量管理计划</w:t>
          </w:r>
          <w:r>
            <w:tab/>
          </w:r>
          <w:r>
            <w:fldChar w:fldCharType="begin"/>
          </w:r>
          <w:r>
            <w:instrText xml:space="preserve"> PAGEREF _Toc12271 \h </w:instrText>
          </w:r>
          <w:r>
            <w:fldChar w:fldCharType="separate"/>
          </w:r>
          <w:r>
            <w:t>19</w:t>
          </w:r>
          <w:r>
            <w:fldChar w:fldCharType="end"/>
          </w:r>
          <w:r>
            <w:fldChar w:fldCharType="end"/>
          </w:r>
        </w:p>
        <w:p w14:paraId="57DA6779">
          <w:pPr>
            <w:pStyle w:val="29"/>
            <w:tabs>
              <w:tab w:val="right" w:leader="dot" w:pos="8640"/>
            </w:tabs>
          </w:pPr>
          <w:r>
            <w:fldChar w:fldCharType="begin"/>
          </w:r>
          <w:r>
            <w:instrText xml:space="preserve"> HYPERLINK \l _Toc6154 </w:instrText>
          </w:r>
          <w:r>
            <w:fldChar w:fldCharType="separate"/>
          </w:r>
          <w:r>
            <w:rPr>
              <w:rFonts w:ascii="楷体_GB2312" w:hAnsi="楷体_GB2312" w:eastAsia="楷体_GB2312"/>
            </w:rPr>
            <w:t>（五）配置管理计划</w:t>
          </w:r>
          <w:r>
            <w:tab/>
          </w:r>
          <w:r>
            <w:fldChar w:fldCharType="begin"/>
          </w:r>
          <w:r>
            <w:instrText xml:space="preserve"> PAGEREF _Toc6154 \h </w:instrText>
          </w:r>
          <w:r>
            <w:fldChar w:fldCharType="separate"/>
          </w:r>
          <w:r>
            <w:t>19</w:t>
          </w:r>
          <w:r>
            <w:fldChar w:fldCharType="end"/>
          </w:r>
          <w:r>
            <w:fldChar w:fldCharType="end"/>
          </w:r>
        </w:p>
        <w:p w14:paraId="57490C37">
          <w:pPr>
            <w:pStyle w:val="26"/>
            <w:tabs>
              <w:tab w:val="right" w:leader="dot" w:pos="8640"/>
            </w:tabs>
          </w:pPr>
          <w:r>
            <w:fldChar w:fldCharType="begin"/>
          </w:r>
          <w:r>
            <w:instrText xml:space="preserve"> HYPERLINK \l _Toc8058 </w:instrText>
          </w:r>
          <w:r>
            <w:fldChar w:fldCharType="separate"/>
          </w:r>
          <w:r>
            <w:rPr>
              <w:rFonts w:ascii="黑体" w:hAnsi="黑体" w:eastAsia="黑体"/>
            </w:rPr>
            <w:t>七、预算明细</w:t>
          </w:r>
          <w:r>
            <w:tab/>
          </w:r>
          <w:r>
            <w:fldChar w:fldCharType="begin"/>
          </w:r>
          <w:r>
            <w:instrText xml:space="preserve"> PAGEREF _Toc8058 \h </w:instrText>
          </w:r>
          <w:r>
            <w:fldChar w:fldCharType="separate"/>
          </w:r>
          <w:r>
            <w:t>21</w:t>
          </w:r>
          <w:r>
            <w:fldChar w:fldCharType="end"/>
          </w:r>
          <w:r>
            <w:fldChar w:fldCharType="end"/>
          </w:r>
        </w:p>
        <w:p w14:paraId="552B4DD2">
          <w:pPr>
            <w:pStyle w:val="26"/>
            <w:tabs>
              <w:tab w:val="right" w:leader="dot" w:pos="8640"/>
            </w:tabs>
          </w:pPr>
          <w:r>
            <w:fldChar w:fldCharType="begin"/>
          </w:r>
          <w:r>
            <w:instrText xml:space="preserve"> HYPERLINK \l _Toc29652 </w:instrText>
          </w:r>
          <w:r>
            <w:fldChar w:fldCharType="separate"/>
          </w:r>
          <w:r>
            <w:rPr>
              <w:rFonts w:ascii="黑体" w:hAnsi="黑体" w:eastAsia="黑体"/>
            </w:rPr>
            <w:t>八、风险评估与应对措施</w:t>
          </w:r>
          <w:r>
            <w:tab/>
          </w:r>
          <w:r>
            <w:fldChar w:fldCharType="begin"/>
          </w:r>
          <w:r>
            <w:instrText xml:space="preserve"> PAGEREF _Toc29652 \h </w:instrText>
          </w:r>
          <w:r>
            <w:fldChar w:fldCharType="separate"/>
          </w:r>
          <w:r>
            <w:t>24</w:t>
          </w:r>
          <w:r>
            <w:fldChar w:fldCharType="end"/>
          </w:r>
          <w:r>
            <w:fldChar w:fldCharType="end"/>
          </w:r>
        </w:p>
        <w:p w14:paraId="1E409F0A">
          <w:pPr>
            <w:pStyle w:val="29"/>
            <w:tabs>
              <w:tab w:val="right" w:leader="dot" w:pos="8640"/>
            </w:tabs>
          </w:pPr>
          <w:r>
            <w:fldChar w:fldCharType="begin"/>
          </w:r>
          <w:r>
            <w:instrText xml:space="preserve"> HYPERLINK \l _Toc30965 </w:instrText>
          </w:r>
          <w:r>
            <w:fldChar w:fldCharType="separate"/>
          </w:r>
          <w:r>
            <w:rPr>
              <w:rFonts w:ascii="楷体_GB2312" w:hAnsi="楷体_GB2312" w:eastAsia="楷体_GB2312"/>
            </w:rPr>
            <w:t>（一）技术风险</w:t>
          </w:r>
          <w:r>
            <w:tab/>
          </w:r>
          <w:r>
            <w:fldChar w:fldCharType="begin"/>
          </w:r>
          <w:r>
            <w:instrText xml:space="preserve"> PAGEREF _Toc30965 \h </w:instrText>
          </w:r>
          <w:r>
            <w:fldChar w:fldCharType="separate"/>
          </w:r>
          <w:r>
            <w:t>24</w:t>
          </w:r>
          <w:r>
            <w:fldChar w:fldCharType="end"/>
          </w:r>
          <w:r>
            <w:fldChar w:fldCharType="end"/>
          </w:r>
        </w:p>
        <w:p w14:paraId="0DCA5070">
          <w:pPr>
            <w:pStyle w:val="29"/>
            <w:tabs>
              <w:tab w:val="right" w:leader="dot" w:pos="8640"/>
            </w:tabs>
          </w:pPr>
          <w:r>
            <w:fldChar w:fldCharType="begin"/>
          </w:r>
          <w:r>
            <w:instrText xml:space="preserve"> HYPERLINK \l _Toc23667 </w:instrText>
          </w:r>
          <w:r>
            <w:fldChar w:fldCharType="separate"/>
          </w:r>
          <w:r>
            <w:rPr>
              <w:rFonts w:ascii="楷体_GB2312" w:hAnsi="楷体_GB2312" w:eastAsia="楷体_GB2312"/>
            </w:rPr>
            <w:t>（二）进度风险</w:t>
          </w:r>
          <w:r>
            <w:tab/>
          </w:r>
          <w:r>
            <w:fldChar w:fldCharType="begin"/>
          </w:r>
          <w:r>
            <w:instrText xml:space="preserve"> PAGEREF _Toc23667 \h </w:instrText>
          </w:r>
          <w:r>
            <w:fldChar w:fldCharType="separate"/>
          </w:r>
          <w:r>
            <w:t>24</w:t>
          </w:r>
          <w:r>
            <w:fldChar w:fldCharType="end"/>
          </w:r>
          <w:r>
            <w:fldChar w:fldCharType="end"/>
          </w:r>
        </w:p>
        <w:p w14:paraId="3AFB196D">
          <w:pPr>
            <w:pStyle w:val="29"/>
            <w:tabs>
              <w:tab w:val="right" w:leader="dot" w:pos="8640"/>
            </w:tabs>
          </w:pPr>
          <w:r>
            <w:fldChar w:fldCharType="begin"/>
          </w:r>
          <w:r>
            <w:instrText xml:space="preserve"> HYPERLINK \l _Toc11526 </w:instrText>
          </w:r>
          <w:r>
            <w:fldChar w:fldCharType="separate"/>
          </w:r>
          <w:r>
            <w:rPr>
              <w:rFonts w:ascii="楷体_GB2312" w:hAnsi="楷体_GB2312" w:eastAsia="楷体_GB2312"/>
            </w:rPr>
            <w:t>（三）数据安全风险</w:t>
          </w:r>
          <w:r>
            <w:tab/>
          </w:r>
          <w:r>
            <w:fldChar w:fldCharType="begin"/>
          </w:r>
          <w:r>
            <w:instrText xml:space="preserve"> PAGEREF _Toc11526 \h </w:instrText>
          </w:r>
          <w:r>
            <w:fldChar w:fldCharType="separate"/>
          </w:r>
          <w:r>
            <w:t>24</w:t>
          </w:r>
          <w:r>
            <w:fldChar w:fldCharType="end"/>
          </w:r>
          <w:r>
            <w:fldChar w:fldCharType="end"/>
          </w:r>
        </w:p>
        <w:p w14:paraId="79BD1CB4">
          <w:pPr>
            <w:pStyle w:val="29"/>
            <w:tabs>
              <w:tab w:val="right" w:leader="dot" w:pos="8640"/>
            </w:tabs>
          </w:pPr>
          <w:r>
            <w:fldChar w:fldCharType="begin"/>
          </w:r>
          <w:r>
            <w:instrText xml:space="preserve"> HYPERLINK \l _Toc3865 </w:instrText>
          </w:r>
          <w:r>
            <w:fldChar w:fldCharType="separate"/>
          </w:r>
          <w:r>
            <w:rPr>
              <w:rFonts w:ascii="楷体_GB2312" w:hAnsi="楷体_GB2312" w:eastAsia="楷体_GB2312"/>
            </w:rPr>
            <w:t>（四）业务中断风险</w:t>
          </w:r>
          <w:r>
            <w:tab/>
          </w:r>
          <w:r>
            <w:fldChar w:fldCharType="begin"/>
          </w:r>
          <w:r>
            <w:instrText xml:space="preserve"> PAGEREF _Toc3865 \h </w:instrText>
          </w:r>
          <w:r>
            <w:fldChar w:fldCharType="separate"/>
          </w:r>
          <w:r>
            <w:t>25</w:t>
          </w:r>
          <w:r>
            <w:fldChar w:fldCharType="end"/>
          </w:r>
          <w:r>
            <w:fldChar w:fldCharType="end"/>
          </w:r>
        </w:p>
        <w:p w14:paraId="16A30AD0">
          <w:pPr>
            <w:pStyle w:val="29"/>
            <w:tabs>
              <w:tab w:val="right" w:leader="dot" w:pos="8640"/>
            </w:tabs>
          </w:pPr>
          <w:r>
            <w:fldChar w:fldCharType="begin"/>
          </w:r>
          <w:r>
            <w:instrText xml:space="preserve"> HYPERLINK \l _Toc24240 </w:instrText>
          </w:r>
          <w:r>
            <w:fldChar w:fldCharType="separate"/>
          </w:r>
          <w:r>
            <w:rPr>
              <w:rFonts w:ascii="楷体_GB2312" w:hAnsi="楷体_GB2312" w:eastAsia="楷体_GB2312"/>
            </w:rPr>
            <w:t>（五）人员风险</w:t>
          </w:r>
          <w:r>
            <w:tab/>
          </w:r>
          <w:r>
            <w:fldChar w:fldCharType="begin"/>
          </w:r>
          <w:r>
            <w:instrText xml:space="preserve"> PAGEREF _Toc24240 \h </w:instrText>
          </w:r>
          <w:r>
            <w:fldChar w:fldCharType="separate"/>
          </w:r>
          <w:r>
            <w:t>25</w:t>
          </w:r>
          <w:r>
            <w:fldChar w:fldCharType="end"/>
          </w:r>
          <w:r>
            <w:fldChar w:fldCharType="end"/>
          </w:r>
        </w:p>
        <w:p w14:paraId="5B4F2000">
          <w:pPr>
            <w:pStyle w:val="29"/>
            <w:tabs>
              <w:tab w:val="right" w:leader="dot" w:pos="8640"/>
            </w:tabs>
          </w:pPr>
          <w:r>
            <w:fldChar w:fldCharType="begin"/>
          </w:r>
          <w:r>
            <w:instrText xml:space="preserve"> HYPERLINK \l _Toc31466 </w:instrText>
          </w:r>
          <w:r>
            <w:fldChar w:fldCharType="separate"/>
          </w:r>
          <w:r>
            <w:rPr>
              <w:rFonts w:ascii="楷体_GB2312" w:hAnsi="楷体_GB2312" w:eastAsia="楷体_GB2312"/>
            </w:rPr>
            <w:t>（六）兼容性风险</w:t>
          </w:r>
          <w:r>
            <w:tab/>
          </w:r>
          <w:r>
            <w:fldChar w:fldCharType="begin"/>
          </w:r>
          <w:r>
            <w:instrText xml:space="preserve"> PAGEREF _Toc31466 \h </w:instrText>
          </w:r>
          <w:r>
            <w:fldChar w:fldCharType="separate"/>
          </w:r>
          <w:r>
            <w:t>26</w:t>
          </w:r>
          <w:r>
            <w:fldChar w:fldCharType="end"/>
          </w:r>
          <w:r>
            <w:fldChar w:fldCharType="end"/>
          </w:r>
        </w:p>
        <w:p w14:paraId="44FBAC2D">
          <w:pPr>
            <w:pStyle w:val="26"/>
            <w:tabs>
              <w:tab w:val="right" w:leader="dot" w:pos="8640"/>
            </w:tabs>
          </w:pPr>
          <w:r>
            <w:fldChar w:fldCharType="begin"/>
          </w:r>
          <w:r>
            <w:instrText xml:space="preserve"> HYPERLINK \l _Toc32751 </w:instrText>
          </w:r>
          <w:r>
            <w:fldChar w:fldCharType="separate"/>
          </w:r>
          <w:r>
            <w:rPr>
              <w:rFonts w:ascii="黑体" w:hAnsi="黑体" w:eastAsia="黑体"/>
            </w:rPr>
            <w:t>九、培训与技术支持</w:t>
          </w:r>
          <w:r>
            <w:tab/>
          </w:r>
          <w:r>
            <w:fldChar w:fldCharType="begin"/>
          </w:r>
          <w:r>
            <w:instrText xml:space="preserve"> PAGEREF _Toc32751 \h </w:instrText>
          </w:r>
          <w:r>
            <w:fldChar w:fldCharType="separate"/>
          </w:r>
          <w:r>
            <w:t>27</w:t>
          </w:r>
          <w:r>
            <w:fldChar w:fldCharType="end"/>
          </w:r>
          <w:r>
            <w:fldChar w:fldCharType="end"/>
          </w:r>
        </w:p>
        <w:p w14:paraId="6FD7C3F5">
          <w:pPr>
            <w:pStyle w:val="29"/>
            <w:tabs>
              <w:tab w:val="right" w:leader="dot" w:pos="8640"/>
            </w:tabs>
          </w:pPr>
          <w:r>
            <w:fldChar w:fldCharType="begin"/>
          </w:r>
          <w:r>
            <w:instrText xml:space="preserve"> HYPERLINK \l _Toc13237 </w:instrText>
          </w:r>
          <w:r>
            <w:fldChar w:fldCharType="separate"/>
          </w:r>
          <w:r>
            <w:rPr>
              <w:rFonts w:ascii="楷体_GB2312" w:hAnsi="楷体_GB2312" w:eastAsia="楷体_GB2312"/>
            </w:rPr>
            <w:t>（一）培训计划</w:t>
          </w:r>
          <w:r>
            <w:tab/>
          </w:r>
          <w:r>
            <w:fldChar w:fldCharType="begin"/>
          </w:r>
          <w:r>
            <w:instrText xml:space="preserve"> PAGEREF _Toc13237 \h </w:instrText>
          </w:r>
          <w:r>
            <w:fldChar w:fldCharType="separate"/>
          </w:r>
          <w:r>
            <w:t>27</w:t>
          </w:r>
          <w:r>
            <w:fldChar w:fldCharType="end"/>
          </w:r>
          <w:r>
            <w:fldChar w:fldCharType="end"/>
          </w:r>
        </w:p>
        <w:p w14:paraId="246EB668">
          <w:pPr>
            <w:pStyle w:val="29"/>
            <w:tabs>
              <w:tab w:val="right" w:leader="dot" w:pos="8640"/>
            </w:tabs>
          </w:pPr>
          <w:r>
            <w:fldChar w:fldCharType="begin"/>
          </w:r>
          <w:r>
            <w:instrText xml:space="preserve"> HYPERLINK \l _Toc8207 </w:instrText>
          </w:r>
          <w:r>
            <w:fldChar w:fldCharType="separate"/>
          </w:r>
          <w:r>
            <w:rPr>
              <w:rFonts w:ascii="楷体_GB2312" w:hAnsi="楷体_GB2312" w:eastAsia="楷体_GB2312"/>
            </w:rPr>
            <w:t>（二）技术支持</w:t>
          </w:r>
          <w:r>
            <w:tab/>
          </w:r>
          <w:r>
            <w:fldChar w:fldCharType="begin"/>
          </w:r>
          <w:r>
            <w:instrText xml:space="preserve"> PAGEREF _Toc8207 \h </w:instrText>
          </w:r>
          <w:r>
            <w:fldChar w:fldCharType="separate"/>
          </w:r>
          <w:r>
            <w:t>28</w:t>
          </w:r>
          <w:r>
            <w:fldChar w:fldCharType="end"/>
          </w:r>
          <w:r>
            <w:fldChar w:fldCharType="end"/>
          </w:r>
        </w:p>
        <w:p w14:paraId="3F6D1D04">
          <w:pPr>
            <w:pStyle w:val="29"/>
            <w:tabs>
              <w:tab w:val="right" w:leader="dot" w:pos="8640"/>
            </w:tabs>
          </w:pPr>
          <w:r>
            <w:fldChar w:fldCharType="begin"/>
          </w:r>
          <w:r>
            <w:instrText xml:space="preserve"> HYPERLINK \l _Toc4971 </w:instrText>
          </w:r>
          <w:r>
            <w:fldChar w:fldCharType="separate"/>
          </w:r>
          <w:r>
            <w:rPr>
              <w:rFonts w:ascii="楷体_GB2312" w:hAnsi="楷体_GB2312" w:eastAsia="楷体_GB2312"/>
            </w:rPr>
            <w:t>（三）知识转移</w:t>
          </w:r>
          <w:r>
            <w:tab/>
          </w:r>
          <w:r>
            <w:fldChar w:fldCharType="begin"/>
          </w:r>
          <w:r>
            <w:instrText xml:space="preserve"> PAGEREF _Toc4971 \h </w:instrText>
          </w:r>
          <w:r>
            <w:fldChar w:fldCharType="separate"/>
          </w:r>
          <w:r>
            <w:t>28</w:t>
          </w:r>
          <w:r>
            <w:fldChar w:fldCharType="end"/>
          </w:r>
          <w:r>
            <w:fldChar w:fldCharType="end"/>
          </w:r>
        </w:p>
        <w:p w14:paraId="6D624EF7">
          <w:pPr>
            <w:pStyle w:val="26"/>
            <w:tabs>
              <w:tab w:val="right" w:leader="dot" w:pos="8640"/>
            </w:tabs>
          </w:pPr>
          <w:r>
            <w:fldChar w:fldCharType="begin"/>
          </w:r>
          <w:r>
            <w:instrText xml:space="preserve"> HYPERLINK \l _Toc25039 </w:instrText>
          </w:r>
          <w:r>
            <w:fldChar w:fldCharType="separate"/>
          </w:r>
          <w:r>
            <w:rPr>
              <w:rFonts w:ascii="黑体" w:hAnsi="黑体" w:eastAsia="黑体"/>
            </w:rPr>
            <w:t>十、验收标准</w:t>
          </w:r>
          <w:r>
            <w:tab/>
          </w:r>
          <w:r>
            <w:fldChar w:fldCharType="begin"/>
          </w:r>
          <w:r>
            <w:instrText xml:space="preserve"> PAGEREF _Toc25039 \h </w:instrText>
          </w:r>
          <w:r>
            <w:fldChar w:fldCharType="separate"/>
          </w:r>
          <w:r>
            <w:t>28</w:t>
          </w:r>
          <w:r>
            <w:fldChar w:fldCharType="end"/>
          </w:r>
          <w:r>
            <w:fldChar w:fldCharType="end"/>
          </w:r>
        </w:p>
        <w:p w14:paraId="03B4DDB7">
          <w:pPr>
            <w:pStyle w:val="29"/>
            <w:tabs>
              <w:tab w:val="right" w:leader="dot" w:pos="8640"/>
            </w:tabs>
          </w:pPr>
          <w:r>
            <w:fldChar w:fldCharType="begin"/>
          </w:r>
          <w:r>
            <w:instrText xml:space="preserve"> HYPERLINK \l _Toc18480 </w:instrText>
          </w:r>
          <w:r>
            <w:fldChar w:fldCharType="separate"/>
          </w:r>
          <w:r>
            <w:rPr>
              <w:rFonts w:ascii="楷体_GB2312" w:hAnsi="楷体_GB2312" w:eastAsia="楷体_GB2312"/>
            </w:rPr>
            <w:t>（一）功能验收标准</w:t>
          </w:r>
          <w:r>
            <w:tab/>
          </w:r>
          <w:r>
            <w:fldChar w:fldCharType="begin"/>
          </w:r>
          <w:r>
            <w:instrText xml:space="preserve"> PAGEREF _Toc18480 \h </w:instrText>
          </w:r>
          <w:r>
            <w:fldChar w:fldCharType="separate"/>
          </w:r>
          <w:r>
            <w:t>28</w:t>
          </w:r>
          <w:r>
            <w:fldChar w:fldCharType="end"/>
          </w:r>
          <w:r>
            <w:fldChar w:fldCharType="end"/>
          </w:r>
        </w:p>
        <w:p w14:paraId="03564483">
          <w:pPr>
            <w:pStyle w:val="29"/>
            <w:tabs>
              <w:tab w:val="right" w:leader="dot" w:pos="8640"/>
            </w:tabs>
          </w:pPr>
          <w:r>
            <w:fldChar w:fldCharType="begin"/>
          </w:r>
          <w:r>
            <w:instrText xml:space="preserve"> HYPERLINK \l _Toc32657 </w:instrText>
          </w:r>
          <w:r>
            <w:fldChar w:fldCharType="separate"/>
          </w:r>
          <w:r>
            <w:rPr>
              <w:rFonts w:ascii="楷体_GB2312" w:hAnsi="楷体_GB2312" w:eastAsia="楷体_GB2312"/>
            </w:rPr>
            <w:t>（二）性能验收标准</w:t>
          </w:r>
          <w:r>
            <w:tab/>
          </w:r>
          <w:r>
            <w:fldChar w:fldCharType="begin"/>
          </w:r>
          <w:r>
            <w:instrText xml:space="preserve"> PAGEREF _Toc32657 \h </w:instrText>
          </w:r>
          <w:r>
            <w:fldChar w:fldCharType="separate"/>
          </w:r>
          <w:r>
            <w:t>29</w:t>
          </w:r>
          <w:r>
            <w:fldChar w:fldCharType="end"/>
          </w:r>
          <w:r>
            <w:fldChar w:fldCharType="end"/>
          </w:r>
        </w:p>
        <w:p w14:paraId="585630DC">
          <w:pPr>
            <w:pStyle w:val="29"/>
            <w:tabs>
              <w:tab w:val="right" w:leader="dot" w:pos="8640"/>
            </w:tabs>
          </w:pPr>
          <w:r>
            <w:fldChar w:fldCharType="begin"/>
          </w:r>
          <w:r>
            <w:instrText xml:space="preserve"> HYPERLINK \l _Toc15438 </w:instrText>
          </w:r>
          <w:r>
            <w:fldChar w:fldCharType="separate"/>
          </w:r>
          <w:r>
            <w:rPr>
              <w:rFonts w:ascii="楷体_GB2312" w:hAnsi="楷体_GB2312" w:eastAsia="楷体_GB2312"/>
            </w:rPr>
            <w:t>（三）安全验收标准</w:t>
          </w:r>
          <w:r>
            <w:tab/>
          </w:r>
          <w:r>
            <w:fldChar w:fldCharType="begin"/>
          </w:r>
          <w:r>
            <w:instrText xml:space="preserve"> PAGEREF _Toc15438 \h </w:instrText>
          </w:r>
          <w:r>
            <w:fldChar w:fldCharType="separate"/>
          </w:r>
          <w:r>
            <w:t>29</w:t>
          </w:r>
          <w:r>
            <w:fldChar w:fldCharType="end"/>
          </w:r>
          <w:r>
            <w:fldChar w:fldCharType="end"/>
          </w:r>
        </w:p>
        <w:p w14:paraId="227AF918">
          <w:pPr>
            <w:pStyle w:val="29"/>
            <w:tabs>
              <w:tab w:val="right" w:leader="dot" w:pos="8640"/>
            </w:tabs>
          </w:pPr>
          <w:r>
            <w:fldChar w:fldCharType="begin"/>
          </w:r>
          <w:r>
            <w:instrText xml:space="preserve"> HYPERLINK \l _Toc13867 </w:instrText>
          </w:r>
          <w:r>
            <w:fldChar w:fldCharType="separate"/>
          </w:r>
          <w:r>
            <w:rPr>
              <w:rFonts w:ascii="楷体_GB2312" w:hAnsi="楷体_GB2312" w:eastAsia="楷体_GB2312"/>
            </w:rPr>
            <w:t>（四）文档验收标准</w:t>
          </w:r>
          <w:r>
            <w:tab/>
          </w:r>
          <w:r>
            <w:fldChar w:fldCharType="begin"/>
          </w:r>
          <w:r>
            <w:instrText xml:space="preserve"> PAGEREF _Toc13867 \h </w:instrText>
          </w:r>
          <w:r>
            <w:fldChar w:fldCharType="separate"/>
          </w:r>
          <w:r>
            <w:t>30</w:t>
          </w:r>
          <w:r>
            <w:fldChar w:fldCharType="end"/>
          </w:r>
          <w:r>
            <w:fldChar w:fldCharType="end"/>
          </w:r>
        </w:p>
        <w:p w14:paraId="1555A373">
          <w:pPr>
            <w:pStyle w:val="29"/>
            <w:tabs>
              <w:tab w:val="right" w:leader="dot" w:pos="8640"/>
            </w:tabs>
          </w:pPr>
          <w:r>
            <w:fldChar w:fldCharType="begin"/>
          </w:r>
          <w:r>
            <w:instrText xml:space="preserve"> HYPERLINK \l _Toc28229 </w:instrText>
          </w:r>
          <w:r>
            <w:fldChar w:fldCharType="separate"/>
          </w:r>
          <w:r>
            <w:rPr>
              <w:rFonts w:ascii="楷体_GB2312" w:hAnsi="楷体_GB2312" w:eastAsia="楷体_GB2312"/>
            </w:rPr>
            <w:t>（五）验收流程</w:t>
          </w:r>
          <w:r>
            <w:tab/>
          </w:r>
          <w:r>
            <w:fldChar w:fldCharType="begin"/>
          </w:r>
          <w:r>
            <w:instrText xml:space="preserve"> PAGEREF _Toc28229 \h </w:instrText>
          </w:r>
          <w:r>
            <w:fldChar w:fldCharType="separate"/>
          </w:r>
          <w:r>
            <w:t>30</w:t>
          </w:r>
          <w:r>
            <w:fldChar w:fldCharType="end"/>
          </w:r>
          <w:r>
            <w:fldChar w:fldCharType="end"/>
          </w:r>
        </w:p>
        <w:p w14:paraId="704E6BE4">
          <w:r>
            <w:fldChar w:fldCharType="end"/>
          </w:r>
        </w:p>
      </w:sdtContent>
    </w:sdt>
    <w:p w14:paraId="1933C97B">
      <w:pPr>
        <w:spacing w:line="600" w:lineRule="exact"/>
        <w:outlineLvl w:val="0"/>
        <w:rPr>
          <w:rFonts w:ascii="黑体" w:hAnsi="黑体" w:eastAsia="黑体"/>
          <w:b/>
          <w:sz w:val="32"/>
        </w:rPr>
        <w:sectPr>
          <w:footerReference r:id="rId5" w:type="default"/>
          <w:pgSz w:w="12240" w:h="15840"/>
          <w:pgMar w:top="1440" w:right="1800" w:bottom="1440" w:left="1800" w:header="720" w:footer="720" w:gutter="0"/>
          <w:cols w:space="720" w:num="1"/>
          <w:docGrid w:linePitch="360" w:charSpace="0"/>
        </w:sectPr>
      </w:pPr>
      <w:bookmarkStart w:id="50" w:name="_GoBack"/>
      <w:bookmarkEnd w:id="50"/>
    </w:p>
    <w:p w14:paraId="34A727A0">
      <w:pPr>
        <w:spacing w:line="600" w:lineRule="exact"/>
        <w:outlineLvl w:val="0"/>
      </w:pPr>
      <w:bookmarkStart w:id="0" w:name="_Toc18433"/>
      <w:r>
        <w:rPr>
          <w:rFonts w:ascii="黑体" w:hAnsi="黑体" w:eastAsia="黑体"/>
          <w:b/>
          <w:sz w:val="32"/>
        </w:rPr>
        <w:t>一、项目概述</w:t>
      </w:r>
      <w:bookmarkEnd w:id="0"/>
    </w:p>
    <w:p w14:paraId="48F08E37">
      <w:pPr>
        <w:spacing w:line="600" w:lineRule="exact"/>
        <w:outlineLvl w:val="1"/>
      </w:pPr>
      <w:bookmarkStart w:id="1" w:name="_Toc31588"/>
      <w:r>
        <w:rPr>
          <w:rFonts w:ascii="楷体_GB2312" w:hAnsi="楷体_GB2312" w:eastAsia="楷体_GB2312"/>
          <w:b/>
          <w:sz w:val="32"/>
        </w:rPr>
        <w:t>（一）项目背景</w:t>
      </w:r>
      <w:bookmarkEnd w:id="1"/>
    </w:p>
    <w:p w14:paraId="5158EE0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集成化应急管理指挥系统是荣成市应急管理局信息化建设的核心工程，承载着全市安全生产监管、防汛抗旱指挥调度、森林防火监测预警等关键应急管理业务。</w:t>
      </w:r>
    </w:p>
    <w:p w14:paraId="74341C5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目前系统主要由五大功能模块组成：应急综合管理门户、安全生产监管子系统、防汛抗旱指挥子系统、森林防火监测子系统、应急指挥联合调度平台。其中应急综合管理门户是统一的入口和展示平台，安全生产监管子系统覆盖全市危化品企业、工矿商贸企业的日常监管和隐患排查，防汛抗旱指挥子系统对接气象、水文等数据源实现汛情旱情的实时监测和预警，森林防火监测子系统整合视频监控、热成像等设备实现火情的及时发现和处置调度，应急指挥联合调度平台支撑突发事件处置时的多方协同和资源调度。</w:t>
      </w:r>
    </w:p>
    <w:p w14:paraId="00DD075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系统现有技术栈中，数据库选用MySQL 5.7，应用服务器部署Tomcat。上述国外技术产品在多年的运行中积累了大量业务数据和运维经验，但随着国际形势变化和信创政策推进，继续依赖国外核心技术产品已不适宜。</w:t>
      </w:r>
    </w:p>
    <w:p w14:paraId="6291724F">
      <w:pPr>
        <w:spacing w:line="600" w:lineRule="exact"/>
        <w:outlineLvl w:val="1"/>
      </w:pPr>
      <w:bookmarkStart w:id="2" w:name="_Toc21716"/>
      <w:r>
        <w:rPr>
          <w:rFonts w:ascii="楷体_GB2312" w:hAnsi="楷体_GB2312" w:eastAsia="楷体_GB2312"/>
          <w:b/>
          <w:sz w:val="32"/>
        </w:rPr>
        <w:t>（二）国产化改造范围</w:t>
      </w:r>
      <w:bookmarkEnd w:id="2"/>
    </w:p>
    <w:p w14:paraId="0650896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次国产化适配改造是在现有集成化应急管理指挥系统基础上，响应国家和山东省信创战略要求，对系统涉及的数据库、操作系统、中间件和应用软件进行全面国产化替代和适配优化。改造范围不含服务器硬件，仅涉及软件层面的适配工作。</w:t>
      </w:r>
    </w:p>
    <w:p w14:paraId="6D4AB9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改造对象涵盖以下五个功能模块：第一，应急综合管理门户。该门户是应急管理各类业务的统一入口，需做数据库适配、中间件迁移、前端页面兼容性验证等工作。第二，安全生产监管子系统。覆盖企业信息管理、隐患排查、执法检查、事故统计等业务，需做数据访问层改造和业务逻辑适配。第三，防汛抗旱指挥子系统。对接气象水文数据、水库河道监测数据，需做数据采集接口适配和GIS地图组件兼容性改造。第四，森林防火监测子系统。涉及视频监控、热成像设备对接和火情识别算法适配，需做设备SDK国产化替换和视频流协议适配。第五，应急指挥联合调度平台。涵盖单兵设备、无人机、布控球、三防终端、图传设备等多种终端的调度管理，需做通信协议适配和SDK集成开发。</w:t>
      </w:r>
    </w:p>
    <w:p w14:paraId="14C3E3F4">
      <w:pPr>
        <w:spacing w:line="600" w:lineRule="exact"/>
        <w:outlineLvl w:val="1"/>
      </w:pPr>
      <w:bookmarkStart w:id="3" w:name="_Toc3881"/>
      <w:r>
        <w:rPr>
          <w:rFonts w:ascii="楷体_GB2312" w:hAnsi="楷体_GB2312" w:eastAsia="楷体_GB2312"/>
          <w:b/>
          <w:sz w:val="32"/>
        </w:rPr>
        <w:t>（三）项目意义</w:t>
      </w:r>
      <w:bookmarkEnd w:id="3"/>
    </w:p>
    <w:p w14:paraId="223F7D1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国家安全层面，应急管理指挥系统涉及大量安全生产数据、自然灾害监测数据、应急救援资源数据，属于关键信息基础设施范畴。国产化技术栈能从根本上消除国外产品后门和断供隐患，维护应急管理数据安全和系统稳定运行。</w:t>
      </w:r>
    </w:p>
    <w:p w14:paraId="3BA095B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应急管理业务层面，国产化改造将带动现有系统架构升级和技术路线优化，提升系统整体性能和可维护性。改造后的系统将更加契合国产技术生态，便于后续功能扩展和技术迭代，为荣成市应急管理能力的持续提升提供坚实的信息化支撑。</w:t>
      </w:r>
    </w:p>
    <w:p w14:paraId="33D10A5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在示范推广层面，荣成市作为县级市率先推进应急管理系统的国产化改造，可为山东省乃至全国同类系统改造积累可复制、可推广的实践经验，具有较强的示范意义。</w:t>
      </w:r>
    </w:p>
    <w:p w14:paraId="660D7DD6">
      <w:pPr>
        <w:spacing w:line="600" w:lineRule="exact"/>
        <w:outlineLvl w:val="1"/>
      </w:pPr>
      <w:bookmarkStart w:id="4" w:name="_Toc26606"/>
      <w:r>
        <w:rPr>
          <w:rFonts w:ascii="楷体_GB2312" w:hAnsi="楷体_GB2312" w:eastAsia="楷体_GB2312"/>
          <w:b/>
          <w:sz w:val="32"/>
        </w:rPr>
        <w:t>（四）技术架构概述</w:t>
      </w:r>
      <w:bookmarkEnd w:id="4"/>
    </w:p>
    <w:p w14:paraId="44FC345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集成化应急管理指挥系统基于B/S架构，前端使用Vue.js框架构建，后端基于Java语言开发，采用Spring Boot微服务架构。系统分为数据采集层、数据处理层、业务应用层和展示层四个层次。数据采集层负责从气象、水文、视频监控、传感器等外部数据源采集数据；数据处理层负责数据清洗、转换和存储；业务应用层实现安全生产、防汛抗旱、森林防火、指挥调度等各项业务功能；展示层通过Web页面和GIS地图进行可视化展示。</w:t>
      </w:r>
    </w:p>
    <w:p w14:paraId="649801A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现有技术栈主要包括：前端选用Vue.js 2.x + Element UI组件库；后端基于Spring Boot 2.x + MyBatis持久层框架；数据库使用MySQL 5.7。本次国产化改造需将数据库替换为达梦DM8，中间件替换为东方通TongWeb，并做完全部应用代码的适配调试。</w:t>
      </w:r>
    </w:p>
    <w:p w14:paraId="4B681FDE">
      <w:pPr>
        <w:spacing w:line="600" w:lineRule="exact"/>
        <w:outlineLvl w:val="1"/>
      </w:pPr>
      <w:bookmarkStart w:id="5" w:name="_Toc29500"/>
      <w:r>
        <w:rPr>
          <w:rFonts w:ascii="楷体_GB2312" w:hAnsi="楷体_GB2312" w:eastAsia="楷体_GB2312"/>
          <w:b/>
          <w:sz w:val="32"/>
        </w:rPr>
        <w:t>（五）现有系统数据规模</w:t>
      </w:r>
      <w:bookmarkEnd w:id="5"/>
    </w:p>
    <w:p w14:paraId="1C2B9EF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系统现有数据规模如下：应急管理核心数据库约30GB，包含120余张数据表；GIS空间数据约5GB；日志数据每日新增约2GB。数据迁移工作需充分考虑业务连续性，制定详细的迁移计划和回退预案，选择在业务低峰期执行。</w:t>
      </w:r>
    </w:p>
    <w:p w14:paraId="77D0A7D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从数据类型来看，系统数据主要有：结构化数据（企业信息、检查记录、隐患台账、应急预案等）、空间数据（GIS地图数据、监控点位坐标等）、实时数据（气象水文传感器数据、设备状态数据等）和非结构化数据（视频录像、图片资料、文档附件等）。不同类型数据需采取相应的迁移策略，维护数据完整性。</w:t>
      </w:r>
    </w:p>
    <w:p w14:paraId="010AB8B7">
      <w:r>
        <w:br w:type="page"/>
      </w:r>
    </w:p>
    <w:p w14:paraId="4C96EFEC">
      <w:pPr>
        <w:spacing w:line="600" w:lineRule="exact"/>
        <w:outlineLvl w:val="0"/>
      </w:pPr>
      <w:bookmarkStart w:id="6" w:name="_Toc18860"/>
      <w:r>
        <w:rPr>
          <w:rFonts w:ascii="黑体" w:hAnsi="黑体" w:eastAsia="黑体"/>
          <w:b/>
          <w:sz w:val="32"/>
        </w:rPr>
        <w:t>二、改造背景与必要性</w:t>
      </w:r>
      <w:bookmarkEnd w:id="6"/>
    </w:p>
    <w:p w14:paraId="245C6372">
      <w:pPr>
        <w:spacing w:line="600" w:lineRule="exact"/>
        <w:outlineLvl w:val="1"/>
      </w:pPr>
      <w:bookmarkStart w:id="7" w:name="_Toc29118"/>
      <w:r>
        <w:rPr>
          <w:rFonts w:ascii="楷体_GB2312" w:hAnsi="楷体_GB2312" w:eastAsia="楷体_GB2312"/>
          <w:b/>
          <w:sz w:val="32"/>
        </w:rPr>
        <w:t>（一）国家安全要求</w:t>
      </w:r>
      <w:bookmarkEnd w:id="7"/>
    </w:p>
    <w:p w14:paraId="322443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根据《"十四五"国家应急体系规划》《山东省国民经济和社会发展第十四个五年规划和2035年远景目标纲要》等文件精神，应急管理信息化建设须积极响应国家信创战略部署，推进核心技术自主可控。应急管理指挥系统作为荣成市应对突发事件的关键信息基础设施，涉及安全生产、自然灾害防控、应急救援等敏感数据，其安全稳定运行事关人民群众生命财产安全，加快推进国产化改造是贯彻落实国家安全战略的具体举措。</w:t>
      </w:r>
    </w:p>
    <w:p w14:paraId="36E16DC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当前系统使用的数据库、操作系统、中间件均为国外产品，核心技术受制于人。一旦国际供应链出现中断，将直接影响系统运行和数据安全，进而影响应急管理业务的正常开展。推进国产化改造，是从源头上化解这一风险的必要措施。</w:t>
      </w:r>
    </w:p>
    <w:p w14:paraId="55CD60ED">
      <w:pPr>
        <w:spacing w:line="600" w:lineRule="exact"/>
        <w:outlineLvl w:val="1"/>
      </w:pPr>
      <w:bookmarkStart w:id="8" w:name="_Toc31254"/>
      <w:r>
        <w:rPr>
          <w:rFonts w:ascii="楷体_GB2312" w:hAnsi="楷体_GB2312" w:eastAsia="楷体_GB2312"/>
          <w:b/>
          <w:sz w:val="32"/>
        </w:rPr>
        <w:t>（二）数据安全防护</w:t>
      </w:r>
      <w:bookmarkEnd w:id="8"/>
    </w:p>
    <w:p w14:paraId="310F51E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应急管理指挥系统汇聚了全市危化品企业信息、重大危险源数据、防汛抗旱监测数据、森林防火监控数据等大量敏感信息。这些数据一旦泄露或被恶意利用，可能造成严重的安全隐患和社会影响。</w:t>
      </w:r>
    </w:p>
    <w:p w14:paraId="4B65E34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化改造借助国密算法（SM2/SM3/SM4）做数据传输加密和存储加密，搭配国产数据库的内置安全机制和国产操作系统的安全加固模块，可形成从数据采集、传输、存储到销毁的全生命周期安全防护体系，有效防范境外势力利用技术手段窃取敏感数据。</w:t>
      </w:r>
    </w:p>
    <w:p w14:paraId="2862F4C8">
      <w:pPr>
        <w:spacing w:line="600" w:lineRule="exact"/>
        <w:outlineLvl w:val="1"/>
      </w:pPr>
      <w:bookmarkStart w:id="9" w:name="_Toc5975"/>
      <w:r>
        <w:rPr>
          <w:rFonts w:ascii="楷体_GB2312" w:hAnsi="楷体_GB2312" w:eastAsia="楷体_GB2312"/>
          <w:b/>
          <w:sz w:val="32"/>
        </w:rPr>
        <w:t>（三）业务持续保障</w:t>
      </w:r>
      <w:bookmarkEnd w:id="9"/>
    </w:p>
    <w:p w14:paraId="72EBAFE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应急管理业务具有突发性强、时效性高的特点，系统需要7×24小时稳定运行，随时应对各类突发事件。现有系统中的国外产品随着版本老化，技术支持逐步缩减，存在安全漏洞无法及时修补的风险。</w:t>
      </w:r>
    </w:p>
    <w:p w14:paraId="2D7F26C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化改造后，可搭建本地化的技术支持体系，维护安全补丁及时更新、故障快速排除。国产数据库、操作系统和中间件厂商在国内拥有完善的服务网络，响应速度较国外厂商更快，能更好满足应急管理业务的时效性要求。</w:t>
      </w:r>
    </w:p>
    <w:p w14:paraId="6526F38F">
      <w:pPr>
        <w:spacing w:line="600" w:lineRule="exact"/>
        <w:outlineLvl w:val="1"/>
      </w:pPr>
      <w:bookmarkStart w:id="10" w:name="_Toc13545"/>
      <w:r>
        <w:rPr>
          <w:rFonts w:ascii="楷体_GB2312" w:hAnsi="楷体_GB2312" w:eastAsia="楷体_GB2312"/>
          <w:b/>
          <w:sz w:val="32"/>
        </w:rPr>
        <w:t>（四）降本提效</w:t>
      </w:r>
      <w:bookmarkEnd w:id="10"/>
    </w:p>
    <w:p w14:paraId="35492CF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国产数据库和中间件产品在保证功能性能的前提下，许可费用较国外同类产品降低30%至50%，且本地化服务响应更快，能够显著降低系统的运维成本和长期使用成本。以数据库为例，Oracle企业版每年许可和维护费用较高，而达梦DM8标准版的年维护费用仅为Oracle的三分之一左右。</w:t>
      </w:r>
    </w:p>
    <w:p w14:paraId="21F6C766">
      <w:pPr>
        <w:spacing w:line="600" w:lineRule="exact"/>
        <w:outlineLvl w:val="1"/>
      </w:pPr>
      <w:bookmarkStart w:id="11" w:name="_Toc29599"/>
      <w:r>
        <w:rPr>
          <w:rFonts w:ascii="楷体_GB2312" w:hAnsi="楷体_GB2312" w:eastAsia="楷体_GB2312"/>
          <w:b/>
          <w:sz w:val="32"/>
        </w:rPr>
        <w:t>（五）政策合规性</w:t>
      </w:r>
      <w:bookmarkEnd w:id="11"/>
    </w:p>
    <w:p w14:paraId="4FB4B74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网络安全法》《数据安全法》《个人信息保护法》等法律法规明确要求关键信息基础设施优先选用安全可信的技术产品。山东省大数据局和应急管理部门也相继出台文件，要求加快政务信息系统国产化改造进度。本次改造是落实上述法规政策的必要举措，也是履行应急管理信息安全管理责任的具体行动。</w:t>
      </w:r>
    </w:p>
    <w:p w14:paraId="214F3CE9">
      <w:r>
        <w:br w:type="page"/>
      </w:r>
    </w:p>
    <w:p w14:paraId="4DB1847E">
      <w:pPr>
        <w:spacing w:line="600" w:lineRule="exact"/>
        <w:outlineLvl w:val="0"/>
      </w:pPr>
      <w:bookmarkStart w:id="12" w:name="_Toc19181"/>
      <w:r>
        <w:rPr>
          <w:rFonts w:ascii="黑体" w:hAnsi="黑体" w:eastAsia="黑体"/>
          <w:b/>
          <w:sz w:val="32"/>
        </w:rPr>
        <w:t>三、改造目标与原则</w:t>
      </w:r>
      <w:bookmarkEnd w:id="12"/>
    </w:p>
    <w:p w14:paraId="2D6B500F">
      <w:pPr>
        <w:spacing w:line="600" w:lineRule="exact"/>
        <w:outlineLvl w:val="1"/>
      </w:pPr>
      <w:bookmarkStart w:id="13" w:name="_Toc15777"/>
      <w:r>
        <w:rPr>
          <w:rFonts w:ascii="楷体_GB2312" w:hAnsi="楷体_GB2312" w:eastAsia="楷体_GB2312"/>
          <w:b/>
          <w:sz w:val="32"/>
        </w:rPr>
        <w:t>（一）改造目标</w:t>
      </w:r>
      <w:bookmarkEnd w:id="13"/>
    </w:p>
    <w:p w14:paraId="5CACFA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本次国产化适配改造的总体目标是：实现集成化应急管理指挥系统全部软件组件的国产化替代，搭建自主可控、安全稳定的应急管理信息化体系，使系统功能完整、性能达标、安全可靠。具体目标如下：</w:t>
      </w:r>
    </w:p>
    <w:p w14:paraId="35217BC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实现数据库国产化替代。选用达梦DM8国产数据库，迁入全部业务数据并做应用适配，数据迁移零丢失、零损坏，迁移后数据一致性校验通过率100%。</w:t>
      </w:r>
    </w:p>
    <w:p w14:paraId="270AFE9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实现操作系统国产化改造。适配银河麒麟V10国产操作系统，所有应用程序在国产操作系统上正常运行，性能不低于改造前水平。</w:t>
      </w:r>
    </w:p>
    <w:p w14:paraId="6D0675B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实现中间件国产化替代。引入东方通TongWeb国产中间件产品，替代Tomcat，应用部署稳定运行。</w:t>
      </w:r>
    </w:p>
    <w:p w14:paraId="2F02514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实现应急指挥联合调度设备适配。对接单兵设备、无人机、布控球、三防终端、图传设备等国产化终端设备，维护指挥调度功能完整可用。</w:t>
      </w:r>
    </w:p>
    <w:p w14:paraId="3BB887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搭建国产化环境下的运维保障体系。制定运维规范、应急预案、安全策略，培训荣成市应急管理局技术人员，使其具备独立运维能力。</w:t>
      </w:r>
    </w:p>
    <w:p w14:paraId="6A3B6778">
      <w:pPr>
        <w:spacing w:line="600" w:lineRule="exact"/>
        <w:outlineLvl w:val="1"/>
      </w:pPr>
      <w:bookmarkStart w:id="14" w:name="_Toc8917"/>
      <w:r>
        <w:rPr>
          <w:rFonts w:ascii="楷体_GB2312" w:hAnsi="楷体_GB2312" w:eastAsia="楷体_GB2312"/>
          <w:b/>
          <w:sz w:val="32"/>
        </w:rPr>
        <w:t>（二）改造原则</w:t>
      </w:r>
      <w:bookmarkEnd w:id="14"/>
    </w:p>
    <w:p w14:paraId="35B303E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自主可控原则。优先选用拥有自主知识产权的国产软件产品，所有选型产品核心技术不受制于人，源代码可审计、可检测。</w:t>
      </w:r>
    </w:p>
    <w:p w14:paraId="6A831A1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安全可信原则。选用符合国家密码管理局要求的国产密码算法，搭建多层次安全防护体系，从网络安全、主机安全、应用安全、数据安全等维度维护系统安全。</w:t>
      </w:r>
    </w:p>
    <w:p w14:paraId="64B7D8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平滑过渡原则。实行渐进式改造策略，业务不中断、数据不丢失，以双轨运行方式平稳切换，降低改造风险。</w:t>
      </w:r>
    </w:p>
    <w:p w14:paraId="4AF3D9B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性能优先原则。改造后系统性能达到或超过改造前水平，通过测试验证各项性能指标，不得因国产化改造影响用户体验。</w:t>
      </w:r>
    </w:p>
    <w:p w14:paraId="20B5ECC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标准规范原则。遵循国家、行业相关标准和规范，保证系统互联互通和可持续发展，避免形成新的技术孤岛。</w:t>
      </w:r>
    </w:p>
    <w:p w14:paraId="7FEBC72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6. 经济合理原则。在满足技术要求和安全要求的前提下，合理控制项目成本，充分考虑产品全生命周期成本。</w:t>
      </w:r>
    </w:p>
    <w:p w14:paraId="263E910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7. 可持续发展原则。选用具备良好技术发展前景和长期服务保障能力的国产产品，适应未来业务发展和技术演进。</w:t>
      </w:r>
    </w:p>
    <w:p w14:paraId="286C449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8. 协同推进原则。数据库、操作系统、中间件、应用软件各层面协同推进，密切配合，避免单点问题波及整体进度。</w:t>
      </w:r>
    </w:p>
    <w:p w14:paraId="7AB6D694">
      <w:r>
        <w:br w:type="page"/>
      </w:r>
    </w:p>
    <w:p w14:paraId="332345F2">
      <w:pPr>
        <w:spacing w:line="600" w:lineRule="exact"/>
        <w:outlineLvl w:val="0"/>
      </w:pPr>
      <w:bookmarkStart w:id="15" w:name="_Toc1466"/>
      <w:r>
        <w:rPr>
          <w:rFonts w:ascii="黑体" w:hAnsi="黑体" w:eastAsia="黑体"/>
          <w:b/>
          <w:sz w:val="32"/>
        </w:rPr>
        <w:t>四、技术路线与改造方案</w:t>
      </w:r>
      <w:bookmarkEnd w:id="15"/>
    </w:p>
    <w:p w14:paraId="1DE2B638">
      <w:pPr>
        <w:spacing w:line="600" w:lineRule="exact"/>
        <w:outlineLvl w:val="1"/>
      </w:pPr>
      <w:bookmarkStart w:id="16" w:name="_Toc1595"/>
      <w:r>
        <w:rPr>
          <w:rFonts w:ascii="楷体_GB2312" w:hAnsi="楷体_GB2312" w:eastAsia="楷体_GB2312"/>
          <w:b/>
          <w:sz w:val="32"/>
        </w:rPr>
        <w:t>（一）总体技术架构</w:t>
      </w:r>
      <w:bookmarkEnd w:id="16"/>
    </w:p>
    <w:p w14:paraId="63D48F3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本项目按照"分层改造、逐步推进"的技术路线，依操作系统层、数据层、平台层、应用层的顺序，逐步推进国产化适配改造。每层改造后做充分测试，确认稳定后再推进下一层，降低整体改造风险。</w:t>
      </w:r>
    </w:p>
    <w:p w14:paraId="660A75E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具体改造路径为：操作系统部署验证→数据库迁移→中间件部署→应用适配优化→设备终端对接→系统联调测试→上线切换。各阶段设置质量检查点和测试验证环节，上一阶段未达标不得进入下一阶段。</w:t>
      </w:r>
    </w:p>
    <w:p w14:paraId="63EA103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操作系统层，部署银河麒麟V10国产操作系统，验证与现有Java运行环境、Python环境、GIS组件等的兼容性。操作系统由荣成市应急管理局基础设施运维团队负责日常维护，本次改造完成部署适配工作后移交运维团队管理。</w:t>
      </w:r>
    </w:p>
    <w:p w14:paraId="659274B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在数据层，选用达梦DM8替代MySQL，做数据迁移、存储过程改造、索引调整等工作。数据层改造是项目核心环节，改造质量直接关系业务数据安全和系统稳定运行。</w:t>
      </w:r>
    </w:p>
    <w:p w14:paraId="74E85E7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在平台层，部署东方通TongWeb替代Tomcat，做应用部署配置、连接池配置、JVM参数调优等工作。</w:t>
      </w:r>
    </w:p>
    <w:p w14:paraId="2A559B5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在应用层，修改应用代码适配国产数据库JDBC驱动和SQL语法，调整前端页面兼容性，对接国产化终端设备的通信协议和SDK。</w:t>
      </w:r>
    </w:p>
    <w:p w14:paraId="7678AF20">
      <w:pPr>
        <w:spacing w:line="600" w:lineRule="exact"/>
        <w:outlineLvl w:val="1"/>
      </w:pPr>
      <w:bookmarkStart w:id="17" w:name="_Toc10012"/>
      <w:r>
        <w:rPr>
          <w:rFonts w:ascii="楷体_GB2312" w:hAnsi="楷体_GB2312" w:eastAsia="楷体_GB2312"/>
          <w:b/>
          <w:sz w:val="32"/>
        </w:rPr>
        <w:t>（二）数据库适配改造方案</w:t>
      </w:r>
      <w:bookmarkEnd w:id="17"/>
    </w:p>
    <w:p w14:paraId="7AB9D5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数据库选型。根据应急管理业务特点和现有数据规模，选用达梦数据库DM8标准版。达梦DM8兼容Oracle语法程度高，在政务领域成功案例丰富，已获得公安部等保三级认证，具备完整的数据安全和备份恢复机制。</w:t>
      </w:r>
    </w:p>
    <w:p w14:paraId="391BAE2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数据迁移方案。借助ETL工具（Kettle或DataX）做数据迁移，步骤如下：第一步，分析现有数据库结构，明确表结构、字段类型、约束条件和索引；第二步，制定数据迁移策略和应急预案；第三步，在测试环境做全量迁移验证；第四步，选择业务低峰期迁入生产数据；第五步，配置增量数据同步机制；第六步，执行数据一致性校验。</w:t>
      </w:r>
    </w:p>
    <w:p w14:paraId="10B84A7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应用适配改造。修改数据访问层代码，将原数据库JDBC驱动替换为达梦DmJdbcDriver，更新数据库连接URL。调整SQL语句兼容达梦语法，重点关注分页查询、日期函数、序列使用等差异。修改MyBatis方言配置，调整分页插件设置。</w:t>
      </w:r>
    </w:p>
    <w:p w14:paraId="35791AA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数据类型映射。Oracle的NUMBER类型映射为达梦的NUMBER或DECIMAL类型，VARCHAR2映射为VARCHAR，DATE映射为DATETIME，CLOB/BLOB类型直接对应。对Oracle特有的ROWID、RAW等特殊类型做单独处理。</w:t>
      </w:r>
    </w:p>
    <w:p w14:paraId="08958EC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性能调优。迁移后重新收集统计信息，重建索引，借助达梦执行计划分析工具定位慢查询并加以调整。配置数据库参数，调整内存分配和IO调度，根据并发量设置合理的连接池参数。</w:t>
      </w:r>
    </w:p>
    <w:p w14:paraId="209D46A1">
      <w:pPr>
        <w:spacing w:line="600" w:lineRule="exact"/>
        <w:outlineLvl w:val="1"/>
      </w:pPr>
      <w:bookmarkStart w:id="18" w:name="_Toc17277"/>
      <w:r>
        <w:rPr>
          <w:rFonts w:ascii="楷体_GB2312" w:hAnsi="楷体_GB2312" w:eastAsia="楷体_GB2312"/>
          <w:b/>
          <w:sz w:val="32"/>
        </w:rPr>
        <w:t>（三）操作系统适配改造方案</w:t>
      </w:r>
      <w:bookmarkEnd w:id="18"/>
    </w:p>
    <w:p w14:paraId="644F0D9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操作系统选型。选用银河麒麟高级服务器操作系统V10 SP3。该系统已获得公安部等保四级认证，支持鲲鹏、飞腾等国产CPU，与国产数据库和中间件兼容性良好，在政务领域应用广泛。</w:t>
      </w:r>
    </w:p>
    <w:p w14:paraId="771B5F2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系统部署方案。在国产操作系统上配置系统参数、网络参数、安全策略，安装Java运行环境（JDK 1.8/OpenJDK 11）、GIS组件（PostGIS）等基础软件，部署应用程序和数据库，做联调测试。</w:t>
      </w:r>
    </w:p>
    <w:p w14:paraId="246CD16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兼容性改造。修改应用中依赖操作系统的代码，如文件路径分隔符、系统调用、Shell脚本等。重点关注Java应用的文件操作、进程管理、定时任务等方面的兼容性。</w:t>
      </w:r>
    </w:p>
    <w:p w14:paraId="2112A66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安全加固。关闭不必要的端口和服务，配置防火墙规则，设置文件权限和目录权限，配置审计日志，设置登录策略，定期更新安全补丁。</w:t>
      </w:r>
    </w:p>
    <w:p w14:paraId="363C92C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系统监控。部署Prometheus+Grafana监控方案，实时监测CPU利用率、内存使用率、磁盘IO、网络流量等指标，设置告警阈值，异常时自动通知运维人员。</w:t>
      </w:r>
    </w:p>
    <w:p w14:paraId="647AC712">
      <w:pPr>
        <w:spacing w:line="600" w:lineRule="exact"/>
        <w:outlineLvl w:val="1"/>
      </w:pPr>
      <w:bookmarkStart w:id="19" w:name="_Toc32445"/>
      <w:r>
        <w:rPr>
          <w:rFonts w:ascii="楷体_GB2312" w:hAnsi="楷体_GB2312" w:eastAsia="楷体_GB2312"/>
          <w:b/>
          <w:sz w:val="32"/>
        </w:rPr>
        <w:t>（四）中间件适配改造方案</w:t>
      </w:r>
      <w:bookmarkEnd w:id="19"/>
    </w:p>
    <w:p w14:paraId="28F264E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中间件选型。选用东方通应用服务器TongWeb V7.0。该产品支持Java EE 8规范，兼容Spring Boot、Spring Cloud、MyBatis等主流框架，在国产中间件市场占有率领先。</w:t>
      </w:r>
    </w:p>
    <w:p w14:paraId="7196B18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w:t>
      </w:r>
    </w:p>
    <w:p w14:paraId="4B7D4B9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Tomcat迁移。修改server.xml配置文件，调整应用部署描述符context.xml适配TongWeb的JNDI资源查找方式，调整日志配置，做功能验证。</w:t>
      </w:r>
    </w:p>
    <w:p w14:paraId="6293E1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性能调优。JVM堆内存设为物理内存的50%至70%，选用G1垃圾回收器，根据并发量调整线程池和连接池参数，配置合理的缓存策略。</w:t>
      </w:r>
    </w:p>
    <w:p w14:paraId="795CB406">
      <w:pPr>
        <w:spacing w:line="600" w:lineRule="exact"/>
        <w:outlineLvl w:val="1"/>
      </w:pPr>
      <w:bookmarkStart w:id="20" w:name="_Toc13189"/>
      <w:r>
        <w:rPr>
          <w:rFonts w:ascii="楷体_GB2312" w:hAnsi="楷体_GB2312" w:eastAsia="楷体_GB2312"/>
          <w:b/>
          <w:sz w:val="32"/>
        </w:rPr>
        <w:t>（五）应急指挥联合调度改造方案</w:t>
      </w:r>
      <w:bookmarkEnd w:id="20"/>
    </w:p>
    <w:p w14:paraId="167AD8A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应急指挥联合调度是本次改造的重点和难点，涉及多种终端设备的国产化适配，技术复杂度较高。</w:t>
      </w:r>
    </w:p>
    <w:p w14:paraId="2CFF798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单兵设备适配。现场救援人员携带单兵设备作为便携式通信终端，实时回传现场音视频和定位信息。改造内容为替换原有国外通信协议栈，接入国产加密通道，维护数据传输安全。</w:t>
      </w:r>
    </w:p>
    <w:p w14:paraId="54D7FE0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无人机适配。无人机在应急救援中承担空中侦察、物资投送等任务，需对接飞控数据、传输视频流、规划航迹，并集成国产无人机SDK，兼顾不同品牌国产无人机的兼容性。</w:t>
      </w:r>
    </w:p>
    <w:p w14:paraId="152EB52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布控球适配。布控球部署在临时布控区域，承担视频监控任务。改造工作含设备控制协议适配（云台控制、变焦、预置位等）、视频流解码适配（H.264/H.265）及与国产NVR设备的对接。</w:t>
      </w:r>
    </w:p>
    <w:p w14:paraId="5600831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三防终端适配。三防终端（防水、防尘、防摔）适用于恶劣环境，改造重点是数据采集接口适配、GPS定位数据对接、离线数据同步等功能的国产化替换。</w:t>
      </w:r>
    </w:p>
    <w:p w14:paraId="6951BD8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图传设备适配。应急现场的视频图像无线传输依赖图传设备。需做视频编解码适配、传输链路调整、多路视频并发处理等工作，维护视频传输的稳定性和低延迟。</w:t>
      </w:r>
    </w:p>
    <w:p w14:paraId="46572DA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6. 联合调度功能验证。在国产化环境下对单兵设备、无人机、布控球、三防终端、图传设备等各类终端做联合调度测试，验证多方通信、音视频互通、资源调度、指挥协同等核心功能的完整性和稳定性。</w:t>
      </w:r>
    </w:p>
    <w:p w14:paraId="1F6DEEE7">
      <w:pPr>
        <w:spacing w:line="600" w:lineRule="exact"/>
        <w:outlineLvl w:val="1"/>
      </w:pPr>
      <w:bookmarkStart w:id="21" w:name="_Toc23170"/>
      <w:r>
        <w:rPr>
          <w:rFonts w:ascii="楷体_GB2312" w:hAnsi="楷体_GB2312" w:eastAsia="楷体_GB2312"/>
          <w:b/>
          <w:sz w:val="32"/>
        </w:rPr>
        <w:t>（六）应用层代码改造方案</w:t>
      </w:r>
      <w:bookmarkEnd w:id="21"/>
    </w:p>
    <w:p w14:paraId="0DA06AF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JDBC驱动替换。将原数据库JDBC驱动替换为达梦DmJdbcDriver，更新连接URL格式为jdbc:dm://host:port/database，修改所有引用JDBC驱动的配置文件和代码。</w:t>
      </w:r>
    </w:p>
    <w:p w14:paraId="1289B28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MyBatis配置调整。修改MyBatis方言配置为达梦方言，检查映射文件中的SQL语句兼容性，调整分页插件方言设置。</w:t>
      </w:r>
    </w:p>
    <w:p w14:paraId="117B5E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Spring Boot配置调整。更新application.yml/properties中的数据源配置、连接池配置，检查Spring Boot版本与TongWeb的兼容性。</w:t>
      </w:r>
    </w:p>
    <w:p w14:paraId="7E67065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前端兼容性验证。验证前端页面在国产浏览器（360安全浏览器或奇安信浏览器）上的正常显示和交互，检查接口调用、字体显示、页面加载性能。</w:t>
      </w:r>
    </w:p>
    <w:p w14:paraId="306DFBB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br w:type="page"/>
      </w:r>
    </w:p>
    <w:p w14:paraId="7BAF063E">
      <w:pPr>
        <w:spacing w:line="600" w:lineRule="exact"/>
        <w:outlineLvl w:val="0"/>
      </w:pPr>
      <w:bookmarkStart w:id="22" w:name="_Toc27327"/>
      <w:r>
        <w:rPr>
          <w:rFonts w:ascii="黑体" w:hAnsi="黑体" w:eastAsia="黑体"/>
          <w:b/>
          <w:sz w:val="32"/>
        </w:rPr>
        <w:t>五、国产化软件选型</w:t>
      </w:r>
      <w:bookmarkEnd w:id="22"/>
    </w:p>
    <w:p w14:paraId="7326DEC9">
      <w:pPr>
        <w:spacing w:line="600" w:lineRule="exact"/>
        <w:outlineLvl w:val="1"/>
      </w:pPr>
      <w:bookmarkStart w:id="23" w:name="_Toc27354"/>
      <w:r>
        <w:rPr>
          <w:rFonts w:ascii="楷体_GB2312" w:hAnsi="楷体_GB2312" w:eastAsia="楷体_GB2312"/>
          <w:b/>
          <w:sz w:val="32"/>
        </w:rPr>
        <w:t>（一）操作系统选型</w:t>
      </w:r>
      <w:bookmarkEnd w:id="23"/>
    </w:p>
    <w:p w14:paraId="1D4A93F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银河麒麟高级服务器操作系统V10 SP3。选型理由：已获得公安部等保四级认证，安全可靠；支持鲲鹏、飞腾等国产CPU，硬件兼容性强；兼容主流国产数据库和中间件；在政务、金融等领域有大量成功案例；具备完善的技术支持服务体系。</w:t>
      </w:r>
    </w:p>
    <w:p w14:paraId="0A169A38">
      <w:pPr>
        <w:spacing w:line="600" w:lineRule="exact"/>
        <w:outlineLvl w:val="1"/>
      </w:pPr>
      <w:bookmarkStart w:id="24" w:name="_Toc22216"/>
      <w:r>
        <w:rPr>
          <w:rFonts w:ascii="楷体_GB2312" w:hAnsi="楷体_GB2312" w:eastAsia="楷体_GB2312"/>
          <w:b/>
          <w:sz w:val="32"/>
        </w:rPr>
        <w:t>（二）数据库选型</w:t>
      </w:r>
      <w:bookmarkEnd w:id="24"/>
    </w:p>
    <w:p w14:paraId="74CE79B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达梦数据库DM8标准版。选型理由：国产数据库市场占有率第一，技术成熟；已获得公安部等保三级认证，数据安全机制完善；兼容Oracle语法，迁移成本低；支持双机热备、读写分离等高可用架构；在政务、应急等领域成功案例丰富。</w:t>
      </w:r>
    </w:p>
    <w:p w14:paraId="70CC112C">
      <w:pPr>
        <w:spacing w:line="600" w:lineRule="exact"/>
        <w:outlineLvl w:val="1"/>
      </w:pPr>
      <w:bookmarkStart w:id="25" w:name="_Toc4652"/>
      <w:r>
        <w:rPr>
          <w:rFonts w:ascii="楷体_GB2312" w:hAnsi="楷体_GB2312" w:eastAsia="楷体_GB2312"/>
          <w:b/>
          <w:sz w:val="32"/>
        </w:rPr>
        <w:t>（三）中间件选型</w:t>
      </w:r>
      <w:bookmarkEnd w:id="25"/>
    </w:p>
    <w:p w14:paraId="4F04BE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东方通应用服务器TongWeb V7.0。选型理由：国产中间件市场占有率第一；支持Java EE 8规范，兼容Spring Boot、MyBatis等主流框架；高性能、高可靠性；与国产操作系统和数据库兼容性良好；具备安装部署、性能调优、故障排查等全方位技术支持能力。</w:t>
      </w:r>
    </w:p>
    <w:p w14:paraId="04BC3FEB">
      <w:r>
        <w:br w:type="page"/>
      </w:r>
    </w:p>
    <w:p w14:paraId="38B31505">
      <w:pPr>
        <w:spacing w:line="600" w:lineRule="exact"/>
        <w:outlineLvl w:val="0"/>
      </w:pPr>
      <w:bookmarkStart w:id="26" w:name="_Toc22179"/>
      <w:r>
        <w:rPr>
          <w:rFonts w:ascii="黑体" w:hAnsi="黑体" w:eastAsia="黑体"/>
          <w:b/>
          <w:sz w:val="32"/>
        </w:rPr>
        <w:t>六、实施计划与进度安排</w:t>
      </w:r>
      <w:bookmarkEnd w:id="26"/>
    </w:p>
    <w:p w14:paraId="6EF4BCD2">
      <w:pPr>
        <w:spacing w:line="600" w:lineRule="exact"/>
        <w:outlineLvl w:val="1"/>
      </w:pPr>
      <w:bookmarkStart w:id="27" w:name="_Toc2248"/>
      <w:r>
        <w:rPr>
          <w:rFonts w:ascii="楷体_GB2312" w:hAnsi="楷体_GB2312" w:eastAsia="楷体_GB2312"/>
          <w:b/>
          <w:sz w:val="32"/>
        </w:rPr>
        <w:t>（一）实施阶段划分</w:t>
      </w:r>
      <w:bookmarkEnd w:id="27"/>
    </w:p>
    <w:p w14:paraId="169F742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本项目计划分五个阶段实施，总工期120天。每个阶段有明确的工作内容、交付物和质量标准，各阶段之间设有质量门禁，上一阶段未达标不得进入下一阶段。</w:t>
      </w:r>
    </w:p>
    <w:p w14:paraId="4BB79FB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一阶段：需求调研与方案设计（25天）。对集成化应急管理指挥系统的五个功能模块做全面技术调研，包括技术架构、数据规模、功能模块、接口关系和性能指标。设计国产化改造总体方案、数据库迁移方案、操作系统适配方案、中间件替代方案。编制软件选型清单。</w:t>
      </w:r>
    </w:p>
    <w:p w14:paraId="35530EE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二阶段：软件采购与部署（20天）。采购并安装达梦DM8数据库、银河麒麟V10操作系统、东方通TongWeb中间件，做配置和调试。在测试环境中搭建国产化基础环境，配置网络和安全策略。交付物：《软件验收报告》《系统部署手册》。</w:t>
      </w:r>
    </w:p>
    <w:p w14:paraId="70D94F9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三阶段：系统适配改造（50天）。迁入全部业务数据并做增量同步；修改应用代码适配国产数据库JDBC驱动和SQL语法；适配国产中间件部署规范；做应急指挥联合调度设备的协议适配和SDK集成开发；逐模块做功能测试和回归测试。交付物：《数据迁移报告》《代码修改说明》《功能测试报告》。</w:t>
      </w:r>
    </w:p>
    <w:p w14:paraId="62207C3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四阶段：系统测试与优化（15天）。执行全面的功能测试、性能测试、安全测试和兼容性测试，发现并修复问题。验证应急指挥联合调度功能在国产化环境下的完整性和稳定性。交付物：《系统测试报告》《安全测试报告》。</w:t>
      </w:r>
    </w:p>
    <w:p w14:paraId="7F20868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第五阶段：上线验收与培训（10天）。制定上线方案和回退预案，在生产环境部署系统并灰度发布。对荣成市应急管理局技术人员和业务人员做系统培训。整理交付文档，组织项目验收。交付物：《上线方案》《培训记录》《项目验收报告》。</w:t>
      </w:r>
    </w:p>
    <w:p w14:paraId="759C3E64">
      <w:pPr>
        <w:spacing w:line="600" w:lineRule="exact"/>
        <w:outlineLvl w:val="1"/>
      </w:pPr>
      <w:bookmarkStart w:id="28" w:name="_Toc2414"/>
      <w:r>
        <w:rPr>
          <w:rFonts w:ascii="楷体_GB2312" w:hAnsi="楷体_GB2312" w:eastAsia="楷体_GB2312"/>
          <w:b/>
          <w:sz w:val="32"/>
        </w:rPr>
        <w:t>（二）关键里程碑</w:t>
      </w:r>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09"/>
        <w:gridCol w:w="2215"/>
        <w:gridCol w:w="2223"/>
      </w:tblGrid>
      <w:tr w14:paraId="34CF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37" w:type="dxa"/>
          </w:tcPr>
          <w:p w14:paraId="73D76D9C">
            <w:pPr>
              <w:spacing w:after="0" w:line="240" w:lineRule="auto"/>
              <w:jc w:val="center"/>
            </w:pPr>
            <w:r>
              <w:rPr>
                <w:rFonts w:ascii="黑体" w:hAnsi="黑体" w:eastAsia="黑体"/>
                <w:b/>
                <w:sz w:val="28"/>
              </w:rPr>
              <w:t>阶段</w:t>
            </w:r>
          </w:p>
        </w:tc>
        <w:tc>
          <w:tcPr>
            <w:tcW w:w="2337" w:type="dxa"/>
          </w:tcPr>
          <w:p w14:paraId="39257F01">
            <w:pPr>
              <w:spacing w:after="0" w:line="240" w:lineRule="auto"/>
              <w:jc w:val="center"/>
            </w:pPr>
            <w:r>
              <w:rPr>
                <w:rFonts w:ascii="黑体" w:hAnsi="黑体" w:eastAsia="黑体"/>
                <w:b/>
                <w:sz w:val="28"/>
              </w:rPr>
              <w:t>里程碑</w:t>
            </w:r>
          </w:p>
        </w:tc>
        <w:tc>
          <w:tcPr>
            <w:tcW w:w="2337" w:type="dxa"/>
          </w:tcPr>
          <w:p w14:paraId="71E7B40E">
            <w:pPr>
              <w:spacing w:after="0" w:line="240" w:lineRule="auto"/>
              <w:jc w:val="center"/>
            </w:pPr>
            <w:r>
              <w:rPr>
                <w:rFonts w:ascii="黑体" w:hAnsi="黑体" w:eastAsia="黑体"/>
                <w:b/>
                <w:sz w:val="28"/>
              </w:rPr>
              <w:t>计划完成时间</w:t>
            </w:r>
          </w:p>
        </w:tc>
        <w:tc>
          <w:tcPr>
            <w:tcW w:w="2337" w:type="dxa"/>
          </w:tcPr>
          <w:p w14:paraId="1ADDA653">
            <w:pPr>
              <w:spacing w:after="0" w:line="240" w:lineRule="auto"/>
              <w:jc w:val="center"/>
            </w:pPr>
            <w:r>
              <w:rPr>
                <w:rFonts w:ascii="黑体" w:hAnsi="黑体" w:eastAsia="黑体"/>
                <w:b/>
                <w:sz w:val="28"/>
              </w:rPr>
              <w:t>交付物</w:t>
            </w:r>
          </w:p>
        </w:tc>
      </w:tr>
      <w:tr w14:paraId="5623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2C26E46D">
            <w:pPr>
              <w:spacing w:after="0" w:line="240" w:lineRule="auto"/>
              <w:jc w:val="center"/>
            </w:pPr>
            <w:r>
              <w:rPr>
                <w:rFonts w:ascii="宋体" w:hAnsi="宋体" w:eastAsia="宋体"/>
                <w:b w:val="0"/>
                <w:sz w:val="24"/>
              </w:rPr>
              <w:t>第一阶段</w:t>
            </w:r>
          </w:p>
        </w:tc>
        <w:tc>
          <w:tcPr>
            <w:tcW w:w="2337" w:type="dxa"/>
          </w:tcPr>
          <w:p w14:paraId="6A217E01">
            <w:pPr>
              <w:spacing w:after="0" w:line="240" w:lineRule="auto"/>
              <w:jc w:val="center"/>
            </w:pPr>
            <w:r>
              <w:rPr>
                <w:rFonts w:ascii="宋体" w:hAnsi="宋体" w:eastAsia="宋体"/>
                <w:b w:val="0"/>
                <w:sz w:val="24"/>
              </w:rPr>
              <w:t>方案评审通过</w:t>
            </w:r>
          </w:p>
        </w:tc>
        <w:tc>
          <w:tcPr>
            <w:tcW w:w="2337" w:type="dxa"/>
          </w:tcPr>
          <w:p w14:paraId="54D7E0EA">
            <w:pPr>
              <w:spacing w:after="0" w:line="240" w:lineRule="auto"/>
              <w:jc w:val="center"/>
            </w:pPr>
            <w:r>
              <w:rPr>
                <w:rFonts w:ascii="宋体" w:hAnsi="宋体" w:eastAsia="宋体"/>
                <w:b w:val="0"/>
                <w:sz w:val="24"/>
              </w:rPr>
              <w:t>第25天</w:t>
            </w:r>
          </w:p>
        </w:tc>
        <w:tc>
          <w:tcPr>
            <w:tcW w:w="2337" w:type="dxa"/>
          </w:tcPr>
          <w:p w14:paraId="02322EEA">
            <w:pPr>
              <w:spacing w:after="0" w:line="240" w:lineRule="auto"/>
              <w:jc w:val="center"/>
            </w:pPr>
            <w:r>
              <w:rPr>
                <w:rFonts w:ascii="宋体" w:hAnsi="宋体" w:eastAsia="宋体"/>
                <w:b w:val="0"/>
                <w:sz w:val="24"/>
              </w:rPr>
              <w:t>《国产化改造总体方案》</w:t>
            </w:r>
          </w:p>
        </w:tc>
      </w:tr>
      <w:tr w14:paraId="7D28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17422797">
            <w:pPr>
              <w:spacing w:after="0" w:line="240" w:lineRule="auto"/>
              <w:jc w:val="center"/>
            </w:pPr>
            <w:r>
              <w:rPr>
                <w:rFonts w:ascii="宋体" w:hAnsi="宋体" w:eastAsia="宋体"/>
                <w:b w:val="0"/>
                <w:sz w:val="24"/>
              </w:rPr>
              <w:t>第二阶段</w:t>
            </w:r>
          </w:p>
        </w:tc>
        <w:tc>
          <w:tcPr>
            <w:tcW w:w="2337" w:type="dxa"/>
          </w:tcPr>
          <w:p w14:paraId="352EB1DB">
            <w:pPr>
              <w:spacing w:after="0" w:line="240" w:lineRule="auto"/>
              <w:jc w:val="center"/>
            </w:pPr>
            <w:r>
              <w:rPr>
                <w:rFonts w:ascii="宋体" w:hAnsi="宋体" w:eastAsia="宋体"/>
                <w:b w:val="0"/>
                <w:sz w:val="24"/>
              </w:rPr>
              <w:t>基础环境部署完成</w:t>
            </w:r>
          </w:p>
        </w:tc>
        <w:tc>
          <w:tcPr>
            <w:tcW w:w="2337" w:type="dxa"/>
          </w:tcPr>
          <w:p w14:paraId="44229B96">
            <w:pPr>
              <w:spacing w:after="0" w:line="240" w:lineRule="auto"/>
              <w:jc w:val="center"/>
            </w:pPr>
            <w:r>
              <w:rPr>
                <w:rFonts w:ascii="宋体" w:hAnsi="宋体" w:eastAsia="宋体"/>
                <w:b w:val="0"/>
                <w:sz w:val="24"/>
              </w:rPr>
              <w:t>第45天</w:t>
            </w:r>
          </w:p>
        </w:tc>
        <w:tc>
          <w:tcPr>
            <w:tcW w:w="2337" w:type="dxa"/>
          </w:tcPr>
          <w:p w14:paraId="0150A471">
            <w:pPr>
              <w:spacing w:after="0" w:line="240" w:lineRule="auto"/>
              <w:jc w:val="center"/>
            </w:pPr>
            <w:r>
              <w:rPr>
                <w:rFonts w:ascii="宋体" w:hAnsi="宋体" w:eastAsia="宋体"/>
                <w:b w:val="0"/>
                <w:sz w:val="24"/>
              </w:rPr>
              <w:t>《系统部署手册》</w:t>
            </w:r>
          </w:p>
        </w:tc>
      </w:tr>
      <w:tr w14:paraId="0C5D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58BFC337">
            <w:pPr>
              <w:spacing w:after="0" w:line="240" w:lineRule="auto"/>
              <w:jc w:val="center"/>
            </w:pPr>
            <w:r>
              <w:rPr>
                <w:rFonts w:ascii="宋体" w:hAnsi="宋体" w:eastAsia="宋体"/>
                <w:b w:val="0"/>
                <w:sz w:val="24"/>
              </w:rPr>
              <w:t>第三阶段</w:t>
            </w:r>
          </w:p>
        </w:tc>
        <w:tc>
          <w:tcPr>
            <w:tcW w:w="2337" w:type="dxa"/>
          </w:tcPr>
          <w:p w14:paraId="7D5D2D8D">
            <w:pPr>
              <w:spacing w:after="0" w:line="240" w:lineRule="auto"/>
              <w:jc w:val="center"/>
            </w:pPr>
            <w:r>
              <w:rPr>
                <w:rFonts w:ascii="宋体" w:hAnsi="宋体" w:eastAsia="宋体"/>
                <w:b w:val="0"/>
                <w:sz w:val="24"/>
              </w:rPr>
              <w:t>适配改造完成</w:t>
            </w:r>
          </w:p>
        </w:tc>
        <w:tc>
          <w:tcPr>
            <w:tcW w:w="2337" w:type="dxa"/>
          </w:tcPr>
          <w:p w14:paraId="08D36619">
            <w:pPr>
              <w:spacing w:after="0" w:line="240" w:lineRule="auto"/>
              <w:jc w:val="center"/>
            </w:pPr>
            <w:r>
              <w:rPr>
                <w:rFonts w:ascii="宋体" w:hAnsi="宋体" w:eastAsia="宋体"/>
                <w:b w:val="0"/>
                <w:sz w:val="24"/>
              </w:rPr>
              <w:t>第95天</w:t>
            </w:r>
          </w:p>
        </w:tc>
        <w:tc>
          <w:tcPr>
            <w:tcW w:w="2337" w:type="dxa"/>
          </w:tcPr>
          <w:p w14:paraId="2733A300">
            <w:pPr>
              <w:spacing w:after="0" w:line="240" w:lineRule="auto"/>
              <w:jc w:val="center"/>
            </w:pPr>
            <w:r>
              <w:rPr>
                <w:rFonts w:ascii="宋体" w:hAnsi="宋体" w:eastAsia="宋体"/>
                <w:b w:val="0"/>
                <w:sz w:val="24"/>
              </w:rPr>
              <w:t>《功能测试报告》</w:t>
            </w:r>
          </w:p>
        </w:tc>
      </w:tr>
      <w:tr w14:paraId="023B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0C8E457E">
            <w:pPr>
              <w:spacing w:after="0" w:line="240" w:lineRule="auto"/>
              <w:jc w:val="center"/>
            </w:pPr>
            <w:r>
              <w:rPr>
                <w:rFonts w:ascii="宋体" w:hAnsi="宋体" w:eastAsia="宋体"/>
                <w:b w:val="0"/>
                <w:sz w:val="24"/>
              </w:rPr>
              <w:t>第四阶段</w:t>
            </w:r>
          </w:p>
        </w:tc>
        <w:tc>
          <w:tcPr>
            <w:tcW w:w="2337" w:type="dxa"/>
          </w:tcPr>
          <w:p w14:paraId="5847A70D">
            <w:pPr>
              <w:spacing w:after="0" w:line="240" w:lineRule="auto"/>
              <w:jc w:val="center"/>
            </w:pPr>
            <w:r>
              <w:rPr>
                <w:rFonts w:ascii="宋体" w:hAnsi="宋体" w:eastAsia="宋体"/>
                <w:b w:val="0"/>
                <w:sz w:val="24"/>
              </w:rPr>
              <w:t>系统测试通过</w:t>
            </w:r>
          </w:p>
        </w:tc>
        <w:tc>
          <w:tcPr>
            <w:tcW w:w="2337" w:type="dxa"/>
          </w:tcPr>
          <w:p w14:paraId="07837BF6">
            <w:pPr>
              <w:spacing w:after="0" w:line="240" w:lineRule="auto"/>
              <w:jc w:val="center"/>
            </w:pPr>
            <w:r>
              <w:rPr>
                <w:rFonts w:ascii="宋体" w:hAnsi="宋体" w:eastAsia="宋体"/>
                <w:b w:val="0"/>
                <w:sz w:val="24"/>
              </w:rPr>
              <w:t>第110天</w:t>
            </w:r>
          </w:p>
        </w:tc>
        <w:tc>
          <w:tcPr>
            <w:tcW w:w="2337" w:type="dxa"/>
          </w:tcPr>
          <w:p w14:paraId="21DB76A1">
            <w:pPr>
              <w:spacing w:after="0" w:line="240" w:lineRule="auto"/>
              <w:jc w:val="center"/>
            </w:pPr>
            <w:r>
              <w:rPr>
                <w:rFonts w:ascii="宋体" w:hAnsi="宋体" w:eastAsia="宋体"/>
                <w:b w:val="0"/>
                <w:sz w:val="24"/>
              </w:rPr>
              <w:t>《系统测试报告》</w:t>
            </w:r>
          </w:p>
        </w:tc>
      </w:tr>
      <w:tr w14:paraId="6BC1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7" w:type="dxa"/>
          </w:tcPr>
          <w:p w14:paraId="7B0E31CB">
            <w:pPr>
              <w:spacing w:after="0" w:line="240" w:lineRule="auto"/>
              <w:jc w:val="center"/>
            </w:pPr>
            <w:r>
              <w:rPr>
                <w:rFonts w:ascii="宋体" w:hAnsi="宋体" w:eastAsia="宋体"/>
                <w:b w:val="0"/>
                <w:sz w:val="24"/>
              </w:rPr>
              <w:t>第五阶段</w:t>
            </w:r>
          </w:p>
        </w:tc>
        <w:tc>
          <w:tcPr>
            <w:tcW w:w="2337" w:type="dxa"/>
          </w:tcPr>
          <w:p w14:paraId="3B71A781">
            <w:pPr>
              <w:spacing w:after="0" w:line="240" w:lineRule="auto"/>
              <w:jc w:val="center"/>
            </w:pPr>
            <w:r>
              <w:rPr>
                <w:rFonts w:ascii="宋体" w:hAnsi="宋体" w:eastAsia="宋体"/>
                <w:b w:val="0"/>
                <w:sz w:val="24"/>
              </w:rPr>
              <w:t>项目验收通过</w:t>
            </w:r>
          </w:p>
        </w:tc>
        <w:tc>
          <w:tcPr>
            <w:tcW w:w="2337" w:type="dxa"/>
          </w:tcPr>
          <w:p w14:paraId="5F4CB368">
            <w:pPr>
              <w:spacing w:after="0" w:line="240" w:lineRule="auto"/>
              <w:jc w:val="center"/>
            </w:pPr>
            <w:r>
              <w:rPr>
                <w:rFonts w:ascii="宋体" w:hAnsi="宋体" w:eastAsia="宋体"/>
                <w:b w:val="0"/>
                <w:sz w:val="24"/>
              </w:rPr>
              <w:t>第120天</w:t>
            </w:r>
          </w:p>
        </w:tc>
        <w:tc>
          <w:tcPr>
            <w:tcW w:w="2337" w:type="dxa"/>
          </w:tcPr>
          <w:p w14:paraId="6B1B2349">
            <w:pPr>
              <w:spacing w:after="0" w:line="240" w:lineRule="auto"/>
              <w:jc w:val="center"/>
            </w:pPr>
            <w:r>
              <w:rPr>
                <w:rFonts w:ascii="宋体" w:hAnsi="宋体" w:eastAsia="宋体"/>
                <w:b w:val="0"/>
                <w:sz w:val="24"/>
              </w:rPr>
              <w:t>《项目验收报告》</w:t>
            </w:r>
          </w:p>
        </w:tc>
      </w:tr>
    </w:tbl>
    <w:p w14:paraId="3D6973F0">
      <w:pPr>
        <w:spacing w:line="600" w:lineRule="exact"/>
        <w:outlineLvl w:val="1"/>
      </w:pPr>
      <w:bookmarkStart w:id="29" w:name="_Toc16690"/>
      <w:r>
        <w:rPr>
          <w:rFonts w:ascii="楷体_GB2312" w:hAnsi="楷体_GB2312" w:eastAsia="楷体_GB2312"/>
          <w:b/>
          <w:sz w:val="32"/>
        </w:rPr>
        <w:t>（三）项目组织与管理</w:t>
      </w:r>
      <w:bookmarkEnd w:id="29"/>
    </w:p>
    <w:p w14:paraId="60C9A33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由荣成市应急管理局指定项目经理负责整体协调管理。项目组下设技术组、测试组、运维组三个工作组。技术组负责国产化改造的技术实施，包括数据库迁移、应用代码改造、设备终端适配等。测试组负责测试计划制定、测试用例执行和测试报告编写。运维组负责系统部署、环境配置和日常运维。</w:t>
      </w:r>
    </w:p>
    <w:p w14:paraId="529CAD2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项目管理采用周报制度，每周召开项目例会汇报进展、协调问题。重大风险随时召开专题会议研究解决。建立风险预警机制，对影响进度的风险提前预判和干预。</w:t>
      </w:r>
    </w:p>
    <w:p w14:paraId="4AA92C7C">
      <w:pPr>
        <w:spacing w:line="600" w:lineRule="exact"/>
        <w:outlineLvl w:val="1"/>
      </w:pPr>
      <w:bookmarkStart w:id="30" w:name="_Toc12271"/>
      <w:r>
        <w:rPr>
          <w:rFonts w:ascii="楷体_GB2312" w:hAnsi="楷体_GB2312" w:eastAsia="楷体_GB2312"/>
          <w:b/>
          <w:sz w:val="32"/>
        </w:rPr>
        <w:t>（四）质量管理计划</w:t>
      </w:r>
      <w:bookmarkEnd w:id="30"/>
    </w:p>
    <w:p w14:paraId="0CAF513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质量管理目标。改造后系统功能完整、性能达标、安全可靠，满足荣成市应急管理局的业务需求。</w:t>
      </w:r>
    </w:p>
    <w:p w14:paraId="4266E2E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质量管理措施。实行代码审查制度，所有代码修改须至少两人审查；实行测试驱动开发，编写单元测试和集成测试用例；使用Git进行版本控制；使用缺陷跟踪工具管理所有缺陷。</w:t>
      </w:r>
    </w:p>
    <w:p w14:paraId="0B215EA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质量评审机制。在方案评审、代码评审、测试评审、验收评审等关键节点设置质量评审，每次评审形成记录，对发现的问题跟踪整改。</w:t>
      </w:r>
    </w:p>
    <w:p w14:paraId="405DF852">
      <w:pPr>
        <w:spacing w:line="600" w:lineRule="exact"/>
        <w:outlineLvl w:val="1"/>
      </w:pPr>
      <w:bookmarkStart w:id="31" w:name="_Toc6154"/>
      <w:r>
        <w:rPr>
          <w:rFonts w:ascii="楷体_GB2312" w:hAnsi="楷体_GB2312" w:eastAsia="楷体_GB2312"/>
          <w:b/>
          <w:sz w:val="32"/>
        </w:rPr>
        <w:t>（五）配置管理计划</w:t>
      </w:r>
      <w:bookmarkEnd w:id="31"/>
    </w:p>
    <w:p w14:paraId="45E7A96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对项目过程中产生的需求文档、设计文档、源代码、测试用例、部署脚本等配置项做统一管理，维护完整性和可追溯性。</w:t>
      </w:r>
    </w:p>
    <w:p w14:paraId="4FFFCF8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采用Git进行版本控制，分支策略采用Git Flow模型，所有代码修改通过分支进行，经过代码审查后合并。</w:t>
      </w:r>
    </w:p>
    <w:p w14:paraId="1C714BE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所有变更请求需经过变更控制委员会审批，变更实施后须做回归测试，变更记录纳入配置管理。</w:t>
      </w:r>
    </w:p>
    <w:p w14:paraId="3E71EB55">
      <w:r>
        <w:br w:type="page"/>
      </w:r>
    </w:p>
    <w:p w14:paraId="3BB38C6A">
      <w:pPr>
        <w:spacing w:line="600" w:lineRule="exact"/>
        <w:outlineLvl w:val="0"/>
      </w:pPr>
      <w:bookmarkStart w:id="32" w:name="_Toc8058"/>
      <w:r>
        <w:rPr>
          <w:rFonts w:ascii="黑体" w:hAnsi="黑体" w:eastAsia="黑体"/>
          <w:b/>
          <w:sz w:val="32"/>
        </w:rPr>
        <w:t>七、预算明细</w:t>
      </w:r>
      <w:bookmarkEnd w:id="32"/>
    </w:p>
    <w:p w14:paraId="4E680EC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本项目国产化适配改造预算总计37.00万元，具体明细如下。预算包含软件许可费、部署费、适配改造开发费、测试费等，不含服务器硬件采购费。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980"/>
        <w:gridCol w:w="1207"/>
        <w:gridCol w:w="1116"/>
        <w:gridCol w:w="1094"/>
        <w:gridCol w:w="1125"/>
        <w:gridCol w:w="1008"/>
        <w:gridCol w:w="1233"/>
      </w:tblGrid>
      <w:tr w14:paraId="504D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09BF7B2">
            <w:pPr>
              <w:spacing w:after="0" w:line="240" w:lineRule="auto"/>
              <w:jc w:val="center"/>
            </w:pPr>
            <w:r>
              <w:rPr>
                <w:rFonts w:ascii="黑体" w:hAnsi="黑体" w:eastAsia="黑体"/>
                <w:b/>
                <w:sz w:val="28"/>
              </w:rPr>
              <w:t>序号</w:t>
            </w:r>
          </w:p>
        </w:tc>
        <w:tc>
          <w:tcPr>
            <w:tcW w:w="980" w:type="dxa"/>
          </w:tcPr>
          <w:p w14:paraId="5310DAEC">
            <w:pPr>
              <w:spacing w:after="0" w:line="240" w:lineRule="auto"/>
              <w:jc w:val="center"/>
            </w:pPr>
            <w:r>
              <w:rPr>
                <w:rFonts w:ascii="黑体" w:hAnsi="黑体" w:eastAsia="黑体"/>
                <w:b/>
                <w:sz w:val="28"/>
              </w:rPr>
              <w:t>子系统</w:t>
            </w:r>
          </w:p>
        </w:tc>
        <w:tc>
          <w:tcPr>
            <w:tcW w:w="1207" w:type="dxa"/>
          </w:tcPr>
          <w:p w14:paraId="569D32D5">
            <w:pPr>
              <w:spacing w:after="0" w:line="240" w:lineRule="auto"/>
              <w:jc w:val="center"/>
            </w:pPr>
            <w:r>
              <w:rPr>
                <w:rFonts w:ascii="黑体" w:hAnsi="黑体" w:eastAsia="黑体"/>
                <w:b/>
                <w:sz w:val="28"/>
              </w:rPr>
              <w:t>模块</w:t>
            </w:r>
          </w:p>
        </w:tc>
        <w:tc>
          <w:tcPr>
            <w:tcW w:w="1116" w:type="dxa"/>
          </w:tcPr>
          <w:p w14:paraId="302DAEF8">
            <w:pPr>
              <w:spacing w:after="0" w:line="240" w:lineRule="auto"/>
              <w:jc w:val="center"/>
            </w:pPr>
            <w:r>
              <w:rPr>
                <w:rFonts w:ascii="黑体" w:hAnsi="黑体" w:eastAsia="黑体"/>
                <w:b/>
                <w:sz w:val="28"/>
              </w:rPr>
              <w:t>描述</w:t>
            </w:r>
          </w:p>
        </w:tc>
        <w:tc>
          <w:tcPr>
            <w:tcW w:w="1094" w:type="dxa"/>
          </w:tcPr>
          <w:p w14:paraId="267FF818">
            <w:pPr>
              <w:spacing w:after="0" w:line="240" w:lineRule="auto"/>
              <w:jc w:val="center"/>
            </w:pPr>
            <w:r>
              <w:rPr>
                <w:rFonts w:ascii="黑体" w:hAnsi="黑体" w:eastAsia="黑体"/>
                <w:b/>
                <w:sz w:val="28"/>
              </w:rPr>
              <w:t>数量</w:t>
            </w:r>
          </w:p>
        </w:tc>
        <w:tc>
          <w:tcPr>
            <w:tcW w:w="1125" w:type="dxa"/>
          </w:tcPr>
          <w:p w14:paraId="6C580374">
            <w:pPr>
              <w:spacing w:after="0" w:line="240" w:lineRule="auto"/>
              <w:jc w:val="center"/>
            </w:pPr>
            <w:r>
              <w:rPr>
                <w:rFonts w:ascii="黑体" w:hAnsi="黑体" w:eastAsia="黑体"/>
                <w:b/>
                <w:sz w:val="28"/>
              </w:rPr>
              <w:t>单价</w:t>
            </w:r>
            <w:r>
              <w:rPr>
                <w:rFonts w:ascii="黑体" w:hAnsi="黑体" w:eastAsia="黑体"/>
                <w:b/>
                <w:sz w:val="28"/>
              </w:rPr>
              <w:br w:type="textWrapping"/>
            </w:r>
            <w:r>
              <w:rPr>
                <w:rFonts w:ascii="黑体" w:hAnsi="黑体" w:eastAsia="黑体"/>
                <w:b/>
                <w:sz w:val="28"/>
              </w:rPr>
              <w:t>（万元）</w:t>
            </w:r>
          </w:p>
        </w:tc>
        <w:tc>
          <w:tcPr>
            <w:tcW w:w="1008" w:type="dxa"/>
          </w:tcPr>
          <w:p w14:paraId="34BE354E">
            <w:pPr>
              <w:spacing w:after="0" w:line="240" w:lineRule="auto"/>
              <w:jc w:val="center"/>
            </w:pPr>
            <w:r>
              <w:rPr>
                <w:rFonts w:ascii="黑体" w:hAnsi="黑体" w:eastAsia="黑体"/>
                <w:b/>
                <w:sz w:val="28"/>
              </w:rPr>
              <w:t>总价</w:t>
            </w:r>
            <w:r>
              <w:rPr>
                <w:rFonts w:ascii="黑体" w:hAnsi="黑体" w:eastAsia="黑体"/>
                <w:b/>
                <w:sz w:val="28"/>
              </w:rPr>
              <w:br w:type="textWrapping"/>
            </w:r>
            <w:r>
              <w:rPr>
                <w:rFonts w:ascii="黑体" w:hAnsi="黑体" w:eastAsia="黑体"/>
                <w:b/>
                <w:sz w:val="28"/>
              </w:rPr>
              <w:t>（万元）</w:t>
            </w:r>
          </w:p>
        </w:tc>
        <w:tc>
          <w:tcPr>
            <w:tcW w:w="1233" w:type="dxa"/>
          </w:tcPr>
          <w:p w14:paraId="3ED452BF">
            <w:pPr>
              <w:spacing w:after="0" w:line="240" w:lineRule="auto"/>
              <w:jc w:val="center"/>
            </w:pPr>
            <w:r>
              <w:rPr>
                <w:rFonts w:ascii="黑体" w:hAnsi="黑体" w:eastAsia="黑体"/>
                <w:b/>
                <w:sz w:val="28"/>
              </w:rPr>
              <w:t>备注</w:t>
            </w:r>
          </w:p>
        </w:tc>
      </w:tr>
      <w:tr w14:paraId="0F5B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31B1B816">
            <w:r>
              <w:t>一</w:t>
            </w:r>
          </w:p>
        </w:tc>
        <w:tc>
          <w:tcPr>
            <w:tcW w:w="7763" w:type="dxa"/>
            <w:gridSpan w:val="7"/>
          </w:tcPr>
          <w:p w14:paraId="76E06201">
            <w:r>
              <w:t>硬件/软件采购</w:t>
            </w:r>
          </w:p>
        </w:tc>
      </w:tr>
      <w:tr w14:paraId="48E4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25568F9">
            <w:r>
              <w:t>1</w:t>
            </w:r>
          </w:p>
        </w:tc>
        <w:tc>
          <w:tcPr>
            <w:tcW w:w="980" w:type="dxa"/>
          </w:tcPr>
          <w:p w14:paraId="60067F2B">
            <w:r>
              <w:t>服务器操作系统</w:t>
            </w:r>
          </w:p>
        </w:tc>
        <w:tc>
          <w:tcPr>
            <w:tcW w:w="1207" w:type="dxa"/>
          </w:tcPr>
          <w:p w14:paraId="533F81AD">
            <w:r>
              <w:t>银河麒麟V10 SP3</w:t>
            </w:r>
          </w:p>
        </w:tc>
        <w:tc>
          <w:tcPr>
            <w:tcW w:w="1116" w:type="dxa"/>
          </w:tcPr>
          <w:p w14:paraId="1F220793">
            <w:r>
              <w:t>服务器操作系统授权及安装服务</w:t>
            </w:r>
          </w:p>
        </w:tc>
        <w:tc>
          <w:tcPr>
            <w:tcW w:w="1094" w:type="dxa"/>
          </w:tcPr>
          <w:p w14:paraId="13B00662">
            <w:r>
              <w:t>1套</w:t>
            </w:r>
          </w:p>
        </w:tc>
        <w:tc>
          <w:tcPr>
            <w:tcW w:w="1125" w:type="dxa"/>
          </w:tcPr>
          <w:p w14:paraId="661110DF">
            <w:r>
              <w:t>1.80</w:t>
            </w:r>
          </w:p>
        </w:tc>
        <w:tc>
          <w:tcPr>
            <w:tcW w:w="1008" w:type="dxa"/>
          </w:tcPr>
          <w:p w14:paraId="0E3F12CE">
            <w:r>
              <w:t>1.80</w:t>
            </w:r>
          </w:p>
        </w:tc>
        <w:tc>
          <w:tcPr>
            <w:tcW w:w="1233" w:type="dxa"/>
          </w:tcPr>
          <w:p w14:paraId="49A2B02D">
            <w:r>
              <w:t>国产服务器操作系统</w:t>
            </w:r>
          </w:p>
        </w:tc>
      </w:tr>
      <w:tr w14:paraId="6302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9E69C0C">
            <w:r>
              <w:t>2</w:t>
            </w:r>
          </w:p>
        </w:tc>
        <w:tc>
          <w:tcPr>
            <w:tcW w:w="980" w:type="dxa"/>
          </w:tcPr>
          <w:p w14:paraId="1764E57A">
            <w:r>
              <w:t>数据库管理系统</w:t>
            </w:r>
          </w:p>
        </w:tc>
        <w:tc>
          <w:tcPr>
            <w:tcW w:w="1207" w:type="dxa"/>
          </w:tcPr>
          <w:p w14:paraId="1E5FC8F4">
            <w:r>
              <w:t>达梦DM8标准版</w:t>
            </w:r>
          </w:p>
        </w:tc>
        <w:tc>
          <w:tcPr>
            <w:tcW w:w="1116" w:type="dxa"/>
          </w:tcPr>
          <w:p w14:paraId="25117A40">
            <w:r>
              <w:t>数据库管理系统及部署授权(含1CPU许可)</w:t>
            </w:r>
          </w:p>
        </w:tc>
        <w:tc>
          <w:tcPr>
            <w:tcW w:w="1094" w:type="dxa"/>
          </w:tcPr>
          <w:p w14:paraId="4A43DE1A">
            <w:r>
              <w:t>1套</w:t>
            </w:r>
          </w:p>
        </w:tc>
        <w:tc>
          <w:tcPr>
            <w:tcW w:w="1125" w:type="dxa"/>
          </w:tcPr>
          <w:p w14:paraId="0499B133">
            <w:r>
              <w:t>12.00</w:t>
            </w:r>
          </w:p>
        </w:tc>
        <w:tc>
          <w:tcPr>
            <w:tcW w:w="1008" w:type="dxa"/>
          </w:tcPr>
          <w:p w14:paraId="6EC4B986">
            <w:r>
              <w:t>12.00</w:t>
            </w:r>
          </w:p>
        </w:tc>
        <w:tc>
          <w:tcPr>
            <w:tcW w:w="1233" w:type="dxa"/>
          </w:tcPr>
          <w:p w14:paraId="2914AF21">
            <w:r>
              <w:t>国产数据库标准版</w:t>
            </w:r>
          </w:p>
        </w:tc>
      </w:tr>
      <w:tr w14:paraId="17AC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CB1124F">
            <w:r>
              <w:t>3</w:t>
            </w:r>
          </w:p>
        </w:tc>
        <w:tc>
          <w:tcPr>
            <w:tcW w:w="980" w:type="dxa"/>
          </w:tcPr>
          <w:p w14:paraId="3B28A829">
            <w:r>
              <w:t>应用中间件</w:t>
            </w:r>
          </w:p>
        </w:tc>
        <w:tc>
          <w:tcPr>
            <w:tcW w:w="1207" w:type="dxa"/>
          </w:tcPr>
          <w:p w14:paraId="7D11667D">
            <w:r>
              <w:t>东方通TongWeb V7.0</w:t>
            </w:r>
          </w:p>
        </w:tc>
        <w:tc>
          <w:tcPr>
            <w:tcW w:w="1116" w:type="dxa"/>
          </w:tcPr>
          <w:p w14:paraId="3FC257FB">
            <w:r>
              <w:t>应用服务器中间件标准版授权及部署实施</w:t>
            </w:r>
          </w:p>
        </w:tc>
        <w:tc>
          <w:tcPr>
            <w:tcW w:w="1094" w:type="dxa"/>
          </w:tcPr>
          <w:p w14:paraId="47A2D218">
            <w:r>
              <w:t>1套</w:t>
            </w:r>
          </w:p>
        </w:tc>
        <w:tc>
          <w:tcPr>
            <w:tcW w:w="1125" w:type="dxa"/>
          </w:tcPr>
          <w:p w14:paraId="2BBD9A2F">
            <w:r>
              <w:t>9.80</w:t>
            </w:r>
          </w:p>
        </w:tc>
        <w:tc>
          <w:tcPr>
            <w:tcW w:w="1008" w:type="dxa"/>
          </w:tcPr>
          <w:p w14:paraId="463D76B1">
            <w:r>
              <w:t>9.80</w:t>
            </w:r>
          </w:p>
        </w:tc>
        <w:tc>
          <w:tcPr>
            <w:tcW w:w="1233" w:type="dxa"/>
          </w:tcPr>
          <w:p w14:paraId="2C5181D7">
            <w:r>
              <w:t>国产中间件</w:t>
            </w:r>
          </w:p>
        </w:tc>
      </w:tr>
      <w:tr w14:paraId="3A8A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6CF5FEA">
            <w:r>
              <w:t>二</w:t>
            </w:r>
          </w:p>
        </w:tc>
        <w:tc>
          <w:tcPr>
            <w:tcW w:w="7763" w:type="dxa"/>
            <w:gridSpan w:val="7"/>
          </w:tcPr>
          <w:p w14:paraId="3F398392">
            <w:r>
              <w:t>软件适配改造费用</w:t>
            </w:r>
          </w:p>
        </w:tc>
      </w:tr>
      <w:tr w14:paraId="33B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3AA5DC61">
            <w:r>
              <w:t>4</w:t>
            </w:r>
          </w:p>
        </w:tc>
        <w:tc>
          <w:tcPr>
            <w:tcW w:w="980" w:type="dxa"/>
          </w:tcPr>
          <w:p w14:paraId="39917AF1">
            <w:r>
              <w:t>应急指挥联合调度</w:t>
            </w:r>
          </w:p>
        </w:tc>
        <w:tc>
          <w:tcPr>
            <w:tcW w:w="1207" w:type="dxa"/>
          </w:tcPr>
          <w:p w14:paraId="300E4B6D">
            <w:r>
              <w:t>联合调度模块</w:t>
            </w:r>
          </w:p>
        </w:tc>
        <w:tc>
          <w:tcPr>
            <w:tcW w:w="1116" w:type="dxa"/>
          </w:tcPr>
          <w:p w14:paraId="0CC9B78F">
            <w:r>
              <w:t>适配单兵设备、无人机、布控球、三防终端、图传设备等</w:t>
            </w:r>
          </w:p>
        </w:tc>
        <w:tc>
          <w:tcPr>
            <w:tcW w:w="1094" w:type="dxa"/>
          </w:tcPr>
          <w:p w14:paraId="6262F5DB">
            <w:r>
              <w:t>1项</w:t>
            </w:r>
          </w:p>
        </w:tc>
        <w:tc>
          <w:tcPr>
            <w:tcW w:w="1125" w:type="dxa"/>
          </w:tcPr>
          <w:p w14:paraId="6B0A77E2">
            <w:r>
              <w:t>4.00</w:t>
            </w:r>
          </w:p>
        </w:tc>
        <w:tc>
          <w:tcPr>
            <w:tcW w:w="1008" w:type="dxa"/>
          </w:tcPr>
          <w:p w14:paraId="65D12F66">
            <w:r>
              <w:t>4.00</w:t>
            </w:r>
          </w:p>
        </w:tc>
        <w:tc>
          <w:tcPr>
            <w:tcW w:w="1233" w:type="dxa"/>
          </w:tcPr>
          <w:p w14:paraId="694A5B7E">
            <w:r>
              <w:t>接口协议适配、SDK对接、联调测试</w:t>
            </w:r>
          </w:p>
        </w:tc>
      </w:tr>
      <w:tr w14:paraId="15B3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7C483538">
            <w:r>
              <w:t>5</w:t>
            </w:r>
          </w:p>
        </w:tc>
        <w:tc>
          <w:tcPr>
            <w:tcW w:w="980" w:type="dxa"/>
          </w:tcPr>
          <w:p w14:paraId="55C3360E">
            <w:r>
              <w:t>防汛抗旱专题</w:t>
            </w:r>
          </w:p>
        </w:tc>
        <w:tc>
          <w:tcPr>
            <w:tcW w:w="1207" w:type="dxa"/>
          </w:tcPr>
          <w:p w14:paraId="77597DA3">
            <w:r>
              <w:t>防汛抗旱子系统</w:t>
            </w:r>
          </w:p>
        </w:tc>
        <w:tc>
          <w:tcPr>
            <w:tcW w:w="1116" w:type="dxa"/>
          </w:tcPr>
          <w:p w14:paraId="5B611DDD">
            <w:r>
              <w:t>适配国产操作系统、数据库、中间件</w:t>
            </w:r>
          </w:p>
        </w:tc>
        <w:tc>
          <w:tcPr>
            <w:tcW w:w="1094" w:type="dxa"/>
          </w:tcPr>
          <w:p w14:paraId="2FC3516A">
            <w:r>
              <w:t>1项</w:t>
            </w:r>
          </w:p>
        </w:tc>
        <w:tc>
          <w:tcPr>
            <w:tcW w:w="1125" w:type="dxa"/>
          </w:tcPr>
          <w:p w14:paraId="78D6FD04">
            <w:r>
              <w:t>1.00</w:t>
            </w:r>
          </w:p>
        </w:tc>
        <w:tc>
          <w:tcPr>
            <w:tcW w:w="1008" w:type="dxa"/>
          </w:tcPr>
          <w:p w14:paraId="2C633064">
            <w:r>
              <w:t>1.00</w:t>
            </w:r>
          </w:p>
        </w:tc>
        <w:tc>
          <w:tcPr>
            <w:tcW w:w="1233" w:type="dxa"/>
          </w:tcPr>
          <w:p w14:paraId="50E401D6">
            <w:r>
              <w:t>代码修改/重编译、接口适配</w:t>
            </w:r>
          </w:p>
        </w:tc>
      </w:tr>
      <w:tr w14:paraId="0B9F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511CAAE">
            <w:r>
              <w:t>6</w:t>
            </w:r>
          </w:p>
        </w:tc>
        <w:tc>
          <w:tcPr>
            <w:tcW w:w="980" w:type="dxa"/>
          </w:tcPr>
          <w:p w14:paraId="2DA0107E">
            <w:r>
              <w:t>森林防火专题</w:t>
            </w:r>
          </w:p>
        </w:tc>
        <w:tc>
          <w:tcPr>
            <w:tcW w:w="1207" w:type="dxa"/>
          </w:tcPr>
          <w:p w14:paraId="5252A07B">
            <w:r>
              <w:t>森林防火子系统</w:t>
            </w:r>
          </w:p>
        </w:tc>
        <w:tc>
          <w:tcPr>
            <w:tcW w:w="1116" w:type="dxa"/>
          </w:tcPr>
          <w:p w14:paraId="1EE6F8D3">
            <w:r>
              <w:t>视频监控设备对接和热成像数据处理</w:t>
            </w:r>
          </w:p>
        </w:tc>
        <w:tc>
          <w:tcPr>
            <w:tcW w:w="1094" w:type="dxa"/>
          </w:tcPr>
          <w:p w14:paraId="14E6C3AF">
            <w:r>
              <w:t>1项</w:t>
            </w:r>
          </w:p>
        </w:tc>
        <w:tc>
          <w:tcPr>
            <w:tcW w:w="1125" w:type="dxa"/>
          </w:tcPr>
          <w:p w14:paraId="5D3B14F3">
            <w:r>
              <w:t>1.80</w:t>
            </w:r>
          </w:p>
        </w:tc>
        <w:tc>
          <w:tcPr>
            <w:tcW w:w="1008" w:type="dxa"/>
          </w:tcPr>
          <w:p w14:paraId="1D979D83">
            <w:r>
              <w:t>1.80</w:t>
            </w:r>
          </w:p>
        </w:tc>
        <w:tc>
          <w:tcPr>
            <w:tcW w:w="1233" w:type="dxa"/>
          </w:tcPr>
          <w:p w14:paraId="5D70F273">
            <w:r>
              <w:t>视频监控对接、热成像适配</w:t>
            </w:r>
          </w:p>
        </w:tc>
      </w:tr>
      <w:tr w14:paraId="160B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507B2E26">
            <w:r>
              <w:t>7</w:t>
            </w:r>
          </w:p>
        </w:tc>
        <w:tc>
          <w:tcPr>
            <w:tcW w:w="980" w:type="dxa"/>
          </w:tcPr>
          <w:p w14:paraId="13B9FCA3">
            <w:r>
              <w:t>安全生产专题</w:t>
            </w:r>
          </w:p>
        </w:tc>
        <w:tc>
          <w:tcPr>
            <w:tcW w:w="1207" w:type="dxa"/>
          </w:tcPr>
          <w:p w14:paraId="76B68EA6">
            <w:r>
              <w:t>安全生产子系统</w:t>
            </w:r>
          </w:p>
        </w:tc>
        <w:tc>
          <w:tcPr>
            <w:tcW w:w="1116" w:type="dxa"/>
          </w:tcPr>
          <w:p w14:paraId="125B8179">
            <w:r>
              <w:t>适配国产操作系统、数据库、中间件</w:t>
            </w:r>
          </w:p>
        </w:tc>
        <w:tc>
          <w:tcPr>
            <w:tcW w:w="1094" w:type="dxa"/>
          </w:tcPr>
          <w:p w14:paraId="242948B9">
            <w:r>
              <w:t>1项</w:t>
            </w:r>
          </w:p>
        </w:tc>
        <w:tc>
          <w:tcPr>
            <w:tcW w:w="1125" w:type="dxa"/>
          </w:tcPr>
          <w:p w14:paraId="32B4F941">
            <w:r>
              <w:t>1.00</w:t>
            </w:r>
          </w:p>
        </w:tc>
        <w:tc>
          <w:tcPr>
            <w:tcW w:w="1008" w:type="dxa"/>
          </w:tcPr>
          <w:p w14:paraId="76F720EB">
            <w:r>
              <w:t>1.00</w:t>
            </w:r>
          </w:p>
        </w:tc>
        <w:tc>
          <w:tcPr>
            <w:tcW w:w="1233" w:type="dxa"/>
          </w:tcPr>
          <w:p w14:paraId="0A57165A">
            <w:r>
              <w:t>代码修改/重编译、接口适配</w:t>
            </w:r>
          </w:p>
        </w:tc>
      </w:tr>
      <w:tr w14:paraId="0ADA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D20C50F">
            <w:r>
              <w:t>8</w:t>
            </w:r>
          </w:p>
        </w:tc>
        <w:tc>
          <w:tcPr>
            <w:tcW w:w="980" w:type="dxa"/>
          </w:tcPr>
          <w:p w14:paraId="337C1508">
            <w:r>
              <w:t>应急管理门户</w:t>
            </w:r>
          </w:p>
        </w:tc>
        <w:tc>
          <w:tcPr>
            <w:tcW w:w="1207" w:type="dxa"/>
          </w:tcPr>
          <w:p w14:paraId="72B7E29A">
            <w:r>
              <w:t>综合管理门户</w:t>
            </w:r>
          </w:p>
        </w:tc>
        <w:tc>
          <w:tcPr>
            <w:tcW w:w="1116" w:type="dxa"/>
          </w:tcPr>
          <w:p w14:paraId="6A3A9023">
            <w:r>
              <w:t>适配国产操作系统、数据库、中间件</w:t>
            </w:r>
          </w:p>
        </w:tc>
        <w:tc>
          <w:tcPr>
            <w:tcW w:w="1094" w:type="dxa"/>
          </w:tcPr>
          <w:p w14:paraId="6060C3CD">
            <w:r>
              <w:t>1项</w:t>
            </w:r>
          </w:p>
        </w:tc>
        <w:tc>
          <w:tcPr>
            <w:tcW w:w="1125" w:type="dxa"/>
          </w:tcPr>
          <w:p w14:paraId="31225164">
            <w:r>
              <w:t>2.20</w:t>
            </w:r>
          </w:p>
        </w:tc>
        <w:tc>
          <w:tcPr>
            <w:tcW w:w="1008" w:type="dxa"/>
          </w:tcPr>
          <w:p w14:paraId="0A2AC04F">
            <w:r>
              <w:t>2.20</w:t>
            </w:r>
          </w:p>
        </w:tc>
        <w:tc>
          <w:tcPr>
            <w:tcW w:w="1233" w:type="dxa"/>
          </w:tcPr>
          <w:p w14:paraId="23B2999B">
            <w:r>
              <w:t>代码修改/重编译、接口适配</w:t>
            </w:r>
          </w:p>
        </w:tc>
      </w:tr>
      <w:tr w14:paraId="5F0E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166561E1">
            <w:r>
              <w:t>三</w:t>
            </w:r>
          </w:p>
        </w:tc>
        <w:tc>
          <w:tcPr>
            <w:tcW w:w="7763" w:type="dxa"/>
            <w:gridSpan w:val="7"/>
          </w:tcPr>
          <w:p w14:paraId="36326A2E">
            <w:r>
              <w:t>其他费用</w:t>
            </w:r>
          </w:p>
        </w:tc>
      </w:tr>
      <w:tr w14:paraId="21ED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16EDE7F">
            <w:r>
              <w:t>9</w:t>
            </w:r>
          </w:p>
        </w:tc>
        <w:tc>
          <w:tcPr>
            <w:tcW w:w="980" w:type="dxa"/>
          </w:tcPr>
          <w:p w14:paraId="332EF0E4">
            <w:r>
              <w:t>数据迁移服务</w:t>
            </w:r>
          </w:p>
        </w:tc>
        <w:tc>
          <w:tcPr>
            <w:tcW w:w="1207" w:type="dxa"/>
          </w:tcPr>
          <w:p w14:paraId="03B09079"/>
        </w:tc>
        <w:tc>
          <w:tcPr>
            <w:tcW w:w="1116" w:type="dxa"/>
          </w:tcPr>
          <w:p w14:paraId="7F4FA724">
            <w:r>
              <w:t>结构分析、全量迁移、增量同步、一致性校验</w:t>
            </w:r>
          </w:p>
        </w:tc>
        <w:tc>
          <w:tcPr>
            <w:tcW w:w="1094" w:type="dxa"/>
          </w:tcPr>
          <w:p w14:paraId="6DF6BCBC">
            <w:r>
              <w:t>1项</w:t>
            </w:r>
          </w:p>
        </w:tc>
        <w:tc>
          <w:tcPr>
            <w:tcW w:w="1125" w:type="dxa"/>
          </w:tcPr>
          <w:p w14:paraId="3599D02B">
            <w:r>
              <w:t>1.20</w:t>
            </w:r>
          </w:p>
        </w:tc>
        <w:tc>
          <w:tcPr>
            <w:tcW w:w="1008" w:type="dxa"/>
          </w:tcPr>
          <w:p w14:paraId="0ACFBBF2">
            <w:r>
              <w:t>1.20</w:t>
            </w:r>
          </w:p>
        </w:tc>
        <w:tc>
          <w:tcPr>
            <w:tcW w:w="1233" w:type="dxa"/>
          </w:tcPr>
          <w:p w14:paraId="398ACBFA">
            <w:r>
              <w:t>含历史数据清洗转换导入</w:t>
            </w:r>
          </w:p>
        </w:tc>
      </w:tr>
      <w:tr w14:paraId="36BC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66BC24D4">
            <w:pPr>
              <w:rPr>
                <w:rFonts w:hint="default" w:eastAsia="宋体"/>
                <w:lang w:val="en-US" w:eastAsia="zh-CN"/>
              </w:rPr>
            </w:pPr>
            <w:r>
              <w:rPr>
                <w:rFonts w:hint="eastAsia" w:eastAsia="宋体"/>
                <w:lang w:val="en-US" w:eastAsia="zh-CN"/>
              </w:rPr>
              <w:t>10</w:t>
            </w:r>
          </w:p>
        </w:tc>
        <w:tc>
          <w:tcPr>
            <w:tcW w:w="980" w:type="dxa"/>
          </w:tcPr>
          <w:p w14:paraId="20B048A8">
            <w:r>
              <w:t>测试与质量保证</w:t>
            </w:r>
          </w:p>
        </w:tc>
        <w:tc>
          <w:tcPr>
            <w:tcW w:w="1207" w:type="dxa"/>
          </w:tcPr>
          <w:p w14:paraId="319F77BB"/>
        </w:tc>
        <w:tc>
          <w:tcPr>
            <w:tcW w:w="1116" w:type="dxa"/>
          </w:tcPr>
          <w:p w14:paraId="1E83ECDB">
            <w:r>
              <w:t>功能测试、压力测试、安全扫描、兼容性测试</w:t>
            </w:r>
          </w:p>
        </w:tc>
        <w:tc>
          <w:tcPr>
            <w:tcW w:w="1094" w:type="dxa"/>
          </w:tcPr>
          <w:p w14:paraId="262BB076">
            <w:r>
              <w:t>1项</w:t>
            </w:r>
          </w:p>
        </w:tc>
        <w:tc>
          <w:tcPr>
            <w:tcW w:w="1125" w:type="dxa"/>
          </w:tcPr>
          <w:p w14:paraId="50F0C5F2">
            <w:r>
              <w:t>1.3</w:t>
            </w:r>
          </w:p>
        </w:tc>
        <w:tc>
          <w:tcPr>
            <w:tcW w:w="1008" w:type="dxa"/>
          </w:tcPr>
          <w:p w14:paraId="0A8358AB">
            <w:r>
              <w:t>1.3</w:t>
            </w:r>
          </w:p>
        </w:tc>
        <w:tc>
          <w:tcPr>
            <w:tcW w:w="1233" w:type="dxa"/>
          </w:tcPr>
          <w:p w14:paraId="5C3E6D04">
            <w:r>
              <w:t>含性能测试和安全测试</w:t>
            </w:r>
          </w:p>
        </w:tc>
      </w:tr>
      <w:tr w14:paraId="422D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tcPr>
          <w:p w14:paraId="068A12D6">
            <w:pPr>
              <w:rPr>
                <w:rFonts w:hint="default" w:eastAsia="宋体"/>
                <w:lang w:val="en-US" w:eastAsia="zh-CN"/>
              </w:rPr>
            </w:pPr>
            <w:r>
              <w:rPr>
                <w:rFonts w:hint="eastAsia" w:eastAsia="宋体"/>
                <w:lang w:val="en-US" w:eastAsia="zh-CN"/>
              </w:rPr>
              <w:t>11</w:t>
            </w:r>
          </w:p>
        </w:tc>
        <w:tc>
          <w:tcPr>
            <w:tcW w:w="980" w:type="dxa"/>
          </w:tcPr>
          <w:p w14:paraId="24E35CC9">
            <w:r>
              <w:t>现场实施与部署调试</w:t>
            </w:r>
          </w:p>
        </w:tc>
        <w:tc>
          <w:tcPr>
            <w:tcW w:w="1207" w:type="dxa"/>
          </w:tcPr>
          <w:p w14:paraId="5BD53675"/>
        </w:tc>
        <w:tc>
          <w:tcPr>
            <w:tcW w:w="1116" w:type="dxa"/>
          </w:tcPr>
          <w:p w14:paraId="2F63B61C">
            <w:r>
              <w:t>统安装、网络配置、性能调优、用户培训指导</w:t>
            </w:r>
          </w:p>
        </w:tc>
        <w:tc>
          <w:tcPr>
            <w:tcW w:w="1094" w:type="dxa"/>
          </w:tcPr>
          <w:p w14:paraId="4EC787A8">
            <w:r>
              <w:t>1项</w:t>
            </w:r>
          </w:p>
        </w:tc>
        <w:tc>
          <w:tcPr>
            <w:tcW w:w="1125" w:type="dxa"/>
          </w:tcPr>
          <w:p w14:paraId="796683A7">
            <w:r>
              <w:t>0.90</w:t>
            </w:r>
          </w:p>
        </w:tc>
        <w:tc>
          <w:tcPr>
            <w:tcW w:w="1008" w:type="dxa"/>
          </w:tcPr>
          <w:p w14:paraId="52F3AF01">
            <w:r>
              <w:t>0.90</w:t>
            </w:r>
          </w:p>
        </w:tc>
        <w:tc>
          <w:tcPr>
            <w:tcW w:w="1233" w:type="dxa"/>
          </w:tcPr>
          <w:p w14:paraId="561862D2">
            <w:r>
              <w:t>含现场调试、性能调优及上线支持</w:t>
            </w:r>
          </w:p>
        </w:tc>
      </w:tr>
      <w:tr w14:paraId="0681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3" w:type="dxa"/>
            <w:vAlign w:val="top"/>
          </w:tcPr>
          <w:p w14:paraId="1F9C8504">
            <w:pPr>
              <w:rPr>
                <w:rFonts w:hint="eastAsia" w:eastAsia="宋体"/>
                <w:lang w:val="en-US" w:eastAsia="zh-CN"/>
              </w:rPr>
            </w:pPr>
          </w:p>
        </w:tc>
        <w:tc>
          <w:tcPr>
            <w:tcW w:w="980" w:type="dxa"/>
            <w:vAlign w:val="top"/>
          </w:tcPr>
          <w:p w14:paraId="66B79219">
            <w:r>
              <w:t>合  计</w:t>
            </w:r>
          </w:p>
        </w:tc>
        <w:tc>
          <w:tcPr>
            <w:tcW w:w="1207" w:type="dxa"/>
            <w:vAlign w:val="top"/>
          </w:tcPr>
          <w:p w14:paraId="048183DF"/>
        </w:tc>
        <w:tc>
          <w:tcPr>
            <w:tcW w:w="1116" w:type="dxa"/>
            <w:vAlign w:val="top"/>
          </w:tcPr>
          <w:p w14:paraId="1484F20E"/>
        </w:tc>
        <w:tc>
          <w:tcPr>
            <w:tcW w:w="1094" w:type="dxa"/>
            <w:vAlign w:val="top"/>
          </w:tcPr>
          <w:p w14:paraId="49BB1E18"/>
        </w:tc>
        <w:tc>
          <w:tcPr>
            <w:tcW w:w="1125" w:type="dxa"/>
            <w:vAlign w:val="top"/>
          </w:tcPr>
          <w:p w14:paraId="23C98255"/>
        </w:tc>
        <w:tc>
          <w:tcPr>
            <w:tcW w:w="1008" w:type="dxa"/>
            <w:shd w:val="clear"/>
            <w:vAlign w:val="top"/>
          </w:tcPr>
          <w:p w14:paraId="428F6AB8">
            <w:pPr>
              <w:rPr>
                <w:rFonts w:hint="default" w:eastAsia="宋体" w:asciiTheme="minorHAnsi" w:hAnsiTheme="minorHAnsi" w:cstheme="minorBidi"/>
                <w:sz w:val="22"/>
                <w:szCs w:val="22"/>
                <w:lang w:val="en-US" w:eastAsia="zh-CN" w:bidi="ar-SA"/>
              </w:rPr>
            </w:pPr>
            <w:r>
              <w:rPr>
                <w:rFonts w:hint="eastAsia" w:eastAsia="宋体"/>
                <w:lang w:val="en-US" w:eastAsia="zh-CN"/>
              </w:rPr>
              <w:t>37.0</w:t>
            </w:r>
          </w:p>
        </w:tc>
        <w:tc>
          <w:tcPr>
            <w:tcW w:w="1233" w:type="dxa"/>
            <w:vAlign w:val="top"/>
          </w:tcPr>
          <w:p w14:paraId="7D922863"/>
        </w:tc>
      </w:tr>
    </w:tbl>
    <w:p w14:paraId="27CE83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br w:type="page"/>
      </w:r>
    </w:p>
    <w:p w14:paraId="3EEE9522">
      <w:pPr>
        <w:spacing w:line="600" w:lineRule="exact"/>
        <w:outlineLvl w:val="0"/>
      </w:pPr>
      <w:bookmarkStart w:id="33" w:name="_Toc29652"/>
      <w:r>
        <w:rPr>
          <w:rFonts w:ascii="黑体" w:hAnsi="黑体" w:eastAsia="黑体"/>
          <w:b/>
          <w:sz w:val="32"/>
        </w:rPr>
        <w:t>八、风险评估与应对措施</w:t>
      </w:r>
      <w:bookmarkEnd w:id="33"/>
    </w:p>
    <w:p w14:paraId="6ECFDE74">
      <w:pPr>
        <w:spacing w:line="600" w:lineRule="exact"/>
        <w:outlineLvl w:val="1"/>
      </w:pPr>
      <w:bookmarkStart w:id="34" w:name="_Toc30965"/>
      <w:r>
        <w:rPr>
          <w:rFonts w:ascii="楷体_GB2312" w:hAnsi="楷体_GB2312" w:eastAsia="楷体_GB2312"/>
          <w:b/>
          <w:sz w:val="32"/>
        </w:rPr>
        <w:t>（一）技术风险</w:t>
      </w:r>
      <w:bookmarkEnd w:id="34"/>
    </w:p>
    <w:p w14:paraId="27CF4BA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风险描述：国产数据库与现有应用系统可能存在兼容性问题，导致功能异常或性能下降。应急指挥联合调度涉及多种终端设备，协议适配复杂度高，可能遇到技术难点。</w:t>
      </w:r>
    </w:p>
    <w:p w14:paraId="19AE0E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改造前搭建测试环境，全面验证国产数据库、操作系统与现有系统的兼容性；（2）制定详细的测试计划，覆盖所有业务场景，特别是应急指挥调度的多方协同场景；（3）准备回退方案，一旦出现严重问题可快速恢复至原系统；（4）邀请国产数据库厂商和设备供应商派驻技术人员现场支援。</w:t>
      </w:r>
    </w:p>
    <w:p w14:paraId="0B2B9FD0">
      <w:pPr>
        <w:spacing w:line="600" w:lineRule="exact"/>
        <w:outlineLvl w:val="1"/>
      </w:pPr>
      <w:bookmarkStart w:id="35" w:name="_Toc23667"/>
      <w:r>
        <w:rPr>
          <w:rFonts w:ascii="楷体_GB2312" w:hAnsi="楷体_GB2312" w:eastAsia="楷体_GB2312"/>
          <w:b/>
          <w:sz w:val="32"/>
        </w:rPr>
        <w:t>（二）进度风险</w:t>
      </w:r>
      <w:bookmarkEnd w:id="35"/>
    </w:p>
    <w:p w14:paraId="75722EF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风险描述：适配改造工作量可能超出预期，特别是应急指挥联合调度的多终端适配工作。设备供应商SDK更新或文档不完善可能影响开发进度。</w:t>
      </w:r>
    </w:p>
    <w:p w14:paraId="505C62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制定详细的实施计划，预留15%的缓冲时间；（2）提前与各设备供应商确认SDK版本和技术支持方式；（3）建立周报制度，及时发现并解决进度偏差；（4）采用并行工作模式，各模块适配同步推进。</w:t>
      </w:r>
    </w:p>
    <w:p w14:paraId="04D1CB83">
      <w:pPr>
        <w:spacing w:line="600" w:lineRule="exact"/>
        <w:outlineLvl w:val="1"/>
      </w:pPr>
      <w:bookmarkStart w:id="36" w:name="_Toc11526"/>
      <w:r>
        <w:rPr>
          <w:rFonts w:ascii="楷体_GB2312" w:hAnsi="楷体_GB2312" w:eastAsia="楷体_GB2312"/>
          <w:b/>
          <w:sz w:val="32"/>
        </w:rPr>
        <w:t>（三）数据安全风险</w:t>
      </w:r>
      <w:bookmarkEnd w:id="36"/>
    </w:p>
    <w:p w14:paraId="7F77F2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风险描述：数据迁移过程中可能出现数据丢失或损坏。应急管理数据涉及敏感信息，迁移过程中的安全管控不当可能导致数据泄露。</w:t>
      </w:r>
    </w:p>
    <w:p w14:paraId="32B5B5B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迁移前做完整数据备份，采用全量备份和增量备份相结合的方式；（2）借助成熟可靠的ETL工具迁移数据，避免手工操作；（3）迁移后执行数据一致性校验；（4）迁移过程中全程加密传输，严格权限管理。</w:t>
      </w:r>
    </w:p>
    <w:p w14:paraId="02C86997">
      <w:pPr>
        <w:spacing w:line="600" w:lineRule="exact"/>
        <w:outlineLvl w:val="1"/>
      </w:pPr>
      <w:bookmarkStart w:id="37" w:name="_Toc3865"/>
      <w:r>
        <w:rPr>
          <w:rFonts w:ascii="楷体_GB2312" w:hAnsi="楷体_GB2312" w:eastAsia="楷体_GB2312"/>
          <w:b/>
          <w:sz w:val="32"/>
        </w:rPr>
        <w:t>（四）业务中断风险</w:t>
      </w:r>
      <w:bookmarkEnd w:id="37"/>
    </w:p>
    <w:p w14:paraId="4DFAE0F5">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风险描述：应急管理业务对系统可用性要求极高，改造期间系统停机维护可能影响突发事件的应急响应。</w:t>
      </w:r>
    </w:p>
    <w:p w14:paraId="755351A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应对措施：（1）实行双轨运行策略，新旧系统并行运行一段时间后再切换；（2）选择业务低峰期做系统切换；（3）制定应急预案，回退操作在2小时内执行完毕；（4）提前公告系统升级时间。</w:t>
      </w:r>
    </w:p>
    <w:p w14:paraId="0AA955F5">
      <w:pPr>
        <w:spacing w:line="600" w:lineRule="exact"/>
        <w:outlineLvl w:val="1"/>
      </w:pPr>
      <w:bookmarkStart w:id="38" w:name="_Toc24240"/>
      <w:r>
        <w:rPr>
          <w:rFonts w:ascii="楷体_GB2312" w:hAnsi="楷体_GB2312" w:eastAsia="楷体_GB2312"/>
          <w:b/>
          <w:sz w:val="32"/>
        </w:rPr>
        <w:t>（五）人员风险</w:t>
      </w:r>
      <w:bookmarkEnd w:id="38"/>
    </w:p>
    <w:p w14:paraId="3F57DE9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风险描述：项目团队可能缺乏应急指挥设备适配经验。荣成市应急管理局运维人员对国产数据库、操作系统等软件产品可能不熟悉。</w:t>
      </w:r>
    </w:p>
    <w:p w14:paraId="0286771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应对措施：（1）选用有应急管理信息化建设经验的开发商；（2）邀请设备供应商和软件厂商提供技术培训；（3）建立知识转移计划，培训荣成市应急管理局技术人员；（4）每个关键岗位配备备份人员。</w:t>
      </w:r>
    </w:p>
    <w:p w14:paraId="6ABA64F9">
      <w:pPr>
        <w:spacing w:line="600" w:lineRule="exact"/>
        <w:outlineLvl w:val="1"/>
      </w:pPr>
      <w:bookmarkStart w:id="39" w:name="_Toc31466"/>
      <w:r>
        <w:rPr>
          <w:rFonts w:ascii="楷体_GB2312" w:hAnsi="楷体_GB2312" w:eastAsia="楷体_GB2312"/>
          <w:b/>
          <w:sz w:val="32"/>
        </w:rPr>
        <w:t>（六）兼容性风险</w:t>
      </w:r>
      <w:bookmarkEnd w:id="39"/>
    </w:p>
    <w:p w14:paraId="2974354D">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风险描述：国产数据库、操作系统、中间件之间的组合可能存在未知兼容性问题。应急管理系统的GIS组件、视频组件等第三方库的兼容性需逐一验证。</w:t>
      </w:r>
    </w:p>
    <w:p w14:paraId="235B773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应对措施：（1）在选型阶段做充分的组合兼容性测试；（2）与各产品厂商建立技术沟通渠道，及时获取兼容性补丁；（3）预留充足的联调测试时间，覆盖所有第三方组件。</w:t>
      </w:r>
    </w:p>
    <w:p w14:paraId="2A3F6258">
      <w:r>
        <w:br w:type="page"/>
      </w:r>
    </w:p>
    <w:p w14:paraId="05F29A3E">
      <w:pPr>
        <w:spacing w:line="600" w:lineRule="exact"/>
        <w:outlineLvl w:val="0"/>
      </w:pPr>
      <w:bookmarkStart w:id="40" w:name="_Toc32751"/>
      <w:r>
        <w:rPr>
          <w:rFonts w:ascii="黑体" w:hAnsi="黑体" w:eastAsia="黑体"/>
          <w:b/>
          <w:sz w:val="32"/>
        </w:rPr>
        <w:t>九、培训与技术支持</w:t>
      </w:r>
      <w:bookmarkEnd w:id="40"/>
    </w:p>
    <w:p w14:paraId="367EE5CE">
      <w:pPr>
        <w:spacing w:line="600" w:lineRule="exact"/>
        <w:outlineLvl w:val="1"/>
      </w:pPr>
      <w:bookmarkStart w:id="41" w:name="_Toc13237"/>
      <w:r>
        <w:rPr>
          <w:rFonts w:ascii="楷体_GB2312" w:hAnsi="楷体_GB2312" w:eastAsia="楷体_GB2312"/>
          <w:b/>
          <w:sz w:val="32"/>
        </w:rPr>
        <w:t>（一）培训计划</w:t>
      </w:r>
      <w:bookmarkEnd w:id="41"/>
    </w:p>
    <w:p w14:paraId="5CCA4FB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培训对象：荣成市应急管理局技术人员（3至5人）、系统运维人员（2至3人）、业务操作人员（8至10人）。</w:t>
      </w:r>
    </w:p>
    <w:p w14:paraId="04B2A06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培训内容：</w:t>
      </w:r>
    </w:p>
    <w:p w14:paraId="25686E4C">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（1）国产操作系统使用与维护，包括银河麒麟V10的系统管理、网络配置、安全加固等。</w:t>
      </w:r>
    </w:p>
    <w:p w14:paraId="169AED7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（2）国产数据库管理与维护，包括达梦DM8的安装部署、备份恢复、性能监控、SQL调优等。</w:t>
      </w:r>
    </w:p>
    <w:p w14:paraId="3CD6BB2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（3）国产中间件配置与优化，包括东方通TongWeb的域配置、应用部署、JVM调优等。</w:t>
      </w:r>
    </w:p>
    <w:p w14:paraId="10846CA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（4）应急指挥设备操作，包括单兵设备、无人机、布控球等终端设备的基本操作和故障排查。</w:t>
      </w:r>
    </w:p>
    <w:p w14:paraId="23BEE90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（5）系统故障诊断与处理，通过典型案例分析帮助学员掌握常见故障的排查思路。</w:t>
      </w:r>
    </w:p>
    <w:p w14:paraId="63F0FEE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培训方式：集中授课、上机实操、现场指导相结合。</w:t>
      </w:r>
    </w:p>
    <w:p w14:paraId="68D85E1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培训时长：合计4天（32学时），其中理论授课2天，上机实操1天，现场指导1天。</w:t>
      </w:r>
    </w:p>
    <w:p w14:paraId="11B6B6B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5. 培训考核：理论考试（闭卷笔试）和实操考核相结合，各占50%，总分80分及以上为合格。</w:t>
      </w:r>
    </w:p>
    <w:p w14:paraId="325DD477">
      <w:pPr>
        <w:spacing w:line="600" w:lineRule="exact"/>
        <w:outlineLvl w:val="1"/>
      </w:pPr>
      <w:bookmarkStart w:id="42" w:name="_Toc8207"/>
      <w:r>
        <w:rPr>
          <w:rFonts w:ascii="楷体_GB2312" w:hAnsi="楷体_GB2312" w:eastAsia="楷体_GB2312"/>
          <w:b/>
          <w:sz w:val="32"/>
        </w:rPr>
        <w:t>（二）技术支持</w:t>
      </w:r>
      <w:bookmarkEnd w:id="42"/>
    </w:p>
    <w:p w14:paraId="41D2ADDB">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质保期：项目验收后提供1年免费技术支持服务。</w:t>
      </w:r>
    </w:p>
    <w:p w14:paraId="4F6C8CB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支持方式：7×24小时热线电话支持；远程登录支持（响应不超过30分钟，一般问题4小时内解决）；现场支持（24小时内到达）；每季度定期巡检。</w:t>
      </w:r>
    </w:p>
    <w:p w14:paraId="6A346E3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支持内容：系统故障排查与修复、性能调整建议、安全漏洞修复、版本升级支持。</w:t>
      </w:r>
    </w:p>
    <w:p w14:paraId="185960B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质保期外服务：可续签技术支持服务合同，费用按市场标准协商。</w:t>
      </w:r>
    </w:p>
    <w:p w14:paraId="4E349BAA">
      <w:pPr>
        <w:spacing w:line="600" w:lineRule="exact"/>
        <w:outlineLvl w:val="1"/>
      </w:pPr>
      <w:bookmarkStart w:id="43" w:name="_Toc4971"/>
      <w:r>
        <w:rPr>
          <w:rFonts w:ascii="楷体_GB2312" w:hAnsi="楷体_GB2312" w:eastAsia="楷体_GB2312"/>
          <w:b/>
          <w:sz w:val="32"/>
        </w:rPr>
        <w:t>（三）知识转移</w:t>
      </w:r>
      <w:bookmarkEnd w:id="43"/>
    </w:p>
    <w:p w14:paraId="327388B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交付文档清单：系统设计方案、部署手册、运维手册、故障处理手册、源代码及注释。</w:t>
      </w:r>
    </w:p>
    <w:p w14:paraId="014430E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代码移交：提供完整源代码，荣成市应急管理局可进行二次开发和自主维护。</w:t>
      </w:r>
    </w:p>
    <w:p w14:paraId="25A66794">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技术交流：定期组织技术交流会议，分享国产化改造经验。</w:t>
      </w:r>
    </w:p>
    <w:p w14:paraId="45181D17">
      <w:pPr>
        <w:spacing w:line="600" w:lineRule="exact"/>
        <w:outlineLvl w:val="0"/>
      </w:pPr>
      <w:bookmarkStart w:id="44" w:name="_Toc25039"/>
      <w:r>
        <w:rPr>
          <w:rFonts w:ascii="黑体" w:hAnsi="黑体" w:eastAsia="黑体"/>
          <w:b/>
          <w:sz w:val="32"/>
        </w:rPr>
        <w:t>十、验收标准</w:t>
      </w:r>
      <w:bookmarkEnd w:id="44"/>
    </w:p>
    <w:p w14:paraId="5144ECEC">
      <w:pPr>
        <w:spacing w:line="600" w:lineRule="exact"/>
        <w:outlineLvl w:val="1"/>
      </w:pPr>
      <w:bookmarkStart w:id="45" w:name="_Toc18480"/>
      <w:r>
        <w:rPr>
          <w:rFonts w:ascii="楷体_GB2312" w:hAnsi="楷体_GB2312" w:eastAsia="楷体_GB2312"/>
          <w:b/>
          <w:sz w:val="32"/>
        </w:rPr>
        <w:t>（一）功能验收标准</w:t>
      </w:r>
      <w:bookmarkEnd w:id="45"/>
    </w:p>
    <w:p w14:paraId="152D3E7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五个功能模块（应急综合管理门户、安全生产监管、防汛抗旱指挥、森林防火监测、应急指挥联合调度）全部业务功能正常运行，无功能丢失或降级。功能测试覆盖率100%，关键功能测试通过率100%。</w:t>
      </w:r>
    </w:p>
    <w:p w14:paraId="63CB655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应急指挥联合调度功能验证：单兵设备音视频回传正常，无人机飞控数据对接准确，布控球云台控制响应及时，三防终端数据采集完整，图传设备视频传输稳定，多方协同调度功能正常。</w:t>
      </w:r>
    </w:p>
    <w:p w14:paraId="2CC64C3E">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用户界面友好，操作便捷，符合原有使用习惯。</w:t>
      </w:r>
    </w:p>
    <w:p w14:paraId="16A17ED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数据完整性验证：迁移后所有数据表记录数与迁移前一致，关键字段校验通过率100%。</w:t>
      </w:r>
    </w:p>
    <w:p w14:paraId="32BFB38F">
      <w:pPr>
        <w:spacing w:line="600" w:lineRule="exact"/>
        <w:outlineLvl w:val="1"/>
      </w:pPr>
      <w:bookmarkStart w:id="46" w:name="_Toc32657"/>
      <w:r>
        <w:rPr>
          <w:rFonts w:ascii="楷体_GB2312" w:hAnsi="楷体_GB2312" w:eastAsia="楷体_GB2312"/>
          <w:b/>
          <w:sz w:val="32"/>
        </w:rPr>
        <w:t>（二）性能验收标准</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gridCol w:w="4438"/>
      </w:tblGrid>
      <w:tr w14:paraId="56BE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458EFCE3">
            <w:pPr>
              <w:spacing w:after="0" w:line="240" w:lineRule="auto"/>
              <w:jc w:val="center"/>
            </w:pPr>
            <w:r>
              <w:rPr>
                <w:rFonts w:ascii="黑体" w:hAnsi="黑体" w:eastAsia="黑体"/>
                <w:b/>
                <w:sz w:val="28"/>
              </w:rPr>
              <w:t>指标</w:t>
            </w:r>
          </w:p>
        </w:tc>
        <w:tc>
          <w:tcPr>
            <w:tcW w:w="4674" w:type="dxa"/>
          </w:tcPr>
          <w:p w14:paraId="6C2A0E5B">
            <w:pPr>
              <w:spacing w:after="0" w:line="240" w:lineRule="auto"/>
              <w:jc w:val="center"/>
            </w:pPr>
            <w:r>
              <w:rPr>
                <w:rFonts w:ascii="黑体" w:hAnsi="黑体" w:eastAsia="黑体"/>
                <w:b/>
                <w:sz w:val="28"/>
              </w:rPr>
              <w:t>要求</w:t>
            </w:r>
          </w:p>
        </w:tc>
      </w:tr>
      <w:tr w14:paraId="6658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28174ED7">
            <w:pPr>
              <w:spacing w:after="0" w:line="240" w:lineRule="auto"/>
              <w:jc w:val="center"/>
            </w:pPr>
            <w:r>
              <w:rPr>
                <w:rFonts w:ascii="宋体" w:hAnsi="宋体" w:eastAsia="宋体"/>
                <w:b w:val="0"/>
                <w:sz w:val="24"/>
              </w:rPr>
              <w:t>常规查询响应时间</w:t>
            </w:r>
          </w:p>
        </w:tc>
        <w:tc>
          <w:tcPr>
            <w:tcW w:w="4674" w:type="dxa"/>
          </w:tcPr>
          <w:p w14:paraId="4293F576">
            <w:pPr>
              <w:spacing w:after="0" w:line="240" w:lineRule="auto"/>
              <w:jc w:val="center"/>
            </w:pPr>
            <w:r>
              <w:rPr>
                <w:rFonts w:ascii="宋体" w:hAnsi="宋体" w:eastAsia="宋体"/>
                <w:b w:val="0"/>
                <w:sz w:val="24"/>
              </w:rPr>
              <w:t>不超过3秒</w:t>
            </w:r>
          </w:p>
        </w:tc>
      </w:tr>
      <w:tr w14:paraId="6355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4DA0C342">
            <w:pPr>
              <w:spacing w:after="0" w:line="240" w:lineRule="auto"/>
              <w:jc w:val="center"/>
            </w:pPr>
            <w:r>
              <w:rPr>
                <w:rFonts w:ascii="宋体" w:hAnsi="宋体" w:eastAsia="宋体"/>
                <w:b w:val="0"/>
                <w:sz w:val="24"/>
              </w:rPr>
              <w:t>复杂查询响应时间</w:t>
            </w:r>
          </w:p>
        </w:tc>
        <w:tc>
          <w:tcPr>
            <w:tcW w:w="4674" w:type="dxa"/>
          </w:tcPr>
          <w:p w14:paraId="2E80507F">
            <w:pPr>
              <w:spacing w:after="0" w:line="240" w:lineRule="auto"/>
              <w:jc w:val="center"/>
            </w:pPr>
            <w:r>
              <w:rPr>
                <w:rFonts w:ascii="宋体" w:hAnsi="宋体" w:eastAsia="宋体"/>
                <w:b w:val="0"/>
                <w:sz w:val="24"/>
              </w:rPr>
              <w:t>不超过10秒</w:t>
            </w:r>
          </w:p>
        </w:tc>
      </w:tr>
      <w:tr w14:paraId="15E0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93E49EA">
            <w:pPr>
              <w:spacing w:after="0" w:line="240" w:lineRule="auto"/>
              <w:jc w:val="center"/>
            </w:pPr>
            <w:r>
              <w:rPr>
                <w:rFonts w:ascii="宋体" w:hAnsi="宋体" w:eastAsia="宋体"/>
                <w:b w:val="0"/>
                <w:sz w:val="24"/>
              </w:rPr>
              <w:t>并发用户数</w:t>
            </w:r>
          </w:p>
        </w:tc>
        <w:tc>
          <w:tcPr>
            <w:tcW w:w="4674" w:type="dxa"/>
          </w:tcPr>
          <w:p w14:paraId="2A266E39">
            <w:pPr>
              <w:spacing w:after="0" w:line="240" w:lineRule="auto"/>
              <w:jc w:val="center"/>
            </w:pPr>
            <w:r>
              <w:rPr>
                <w:rFonts w:ascii="宋体" w:hAnsi="宋体" w:eastAsia="宋体"/>
                <w:b w:val="0"/>
                <w:sz w:val="24"/>
              </w:rPr>
              <w:t>不少于50</w:t>
            </w:r>
          </w:p>
        </w:tc>
      </w:tr>
      <w:tr w14:paraId="5325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355F177">
            <w:pPr>
              <w:spacing w:after="0" w:line="240" w:lineRule="auto"/>
              <w:jc w:val="center"/>
            </w:pPr>
            <w:r>
              <w:rPr>
                <w:rFonts w:ascii="宋体" w:hAnsi="宋体" w:eastAsia="宋体"/>
                <w:b w:val="0"/>
                <w:sz w:val="24"/>
              </w:rPr>
              <w:t>系统可用性</w:t>
            </w:r>
          </w:p>
        </w:tc>
        <w:tc>
          <w:tcPr>
            <w:tcW w:w="4674" w:type="dxa"/>
          </w:tcPr>
          <w:p w14:paraId="475CF689">
            <w:pPr>
              <w:spacing w:after="0" w:line="240" w:lineRule="auto"/>
              <w:jc w:val="center"/>
            </w:pPr>
            <w:r>
              <w:rPr>
                <w:rFonts w:ascii="宋体" w:hAnsi="宋体" w:eastAsia="宋体"/>
                <w:b w:val="0"/>
                <w:sz w:val="24"/>
              </w:rPr>
              <w:t>不低于99.9%</w:t>
            </w:r>
          </w:p>
        </w:tc>
      </w:tr>
      <w:tr w14:paraId="55BE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04CB78F0">
            <w:pPr>
              <w:spacing w:after="0" w:line="240" w:lineRule="auto"/>
              <w:jc w:val="center"/>
            </w:pPr>
            <w:r>
              <w:rPr>
                <w:rFonts w:ascii="宋体" w:hAnsi="宋体" w:eastAsia="宋体"/>
                <w:b w:val="0"/>
                <w:sz w:val="24"/>
              </w:rPr>
              <w:t>全量备份时间</w:t>
            </w:r>
          </w:p>
        </w:tc>
        <w:tc>
          <w:tcPr>
            <w:tcW w:w="4674" w:type="dxa"/>
          </w:tcPr>
          <w:p w14:paraId="24097D80">
            <w:pPr>
              <w:spacing w:after="0" w:line="240" w:lineRule="auto"/>
              <w:jc w:val="center"/>
            </w:pPr>
            <w:r>
              <w:rPr>
                <w:rFonts w:ascii="宋体" w:hAnsi="宋体" w:eastAsia="宋体"/>
                <w:b w:val="0"/>
                <w:sz w:val="24"/>
              </w:rPr>
              <w:t>不超过2小时</w:t>
            </w:r>
          </w:p>
        </w:tc>
      </w:tr>
      <w:tr w14:paraId="1F99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17122F38">
            <w:pPr>
              <w:spacing w:after="0" w:line="240" w:lineRule="auto"/>
              <w:jc w:val="center"/>
            </w:pPr>
            <w:r>
              <w:rPr>
                <w:rFonts w:ascii="宋体" w:hAnsi="宋体" w:eastAsia="宋体"/>
                <w:b w:val="0"/>
                <w:sz w:val="24"/>
              </w:rPr>
              <w:t>增量备份时间</w:t>
            </w:r>
          </w:p>
        </w:tc>
        <w:tc>
          <w:tcPr>
            <w:tcW w:w="4674" w:type="dxa"/>
          </w:tcPr>
          <w:p w14:paraId="2E367134">
            <w:pPr>
              <w:spacing w:after="0" w:line="240" w:lineRule="auto"/>
              <w:jc w:val="center"/>
            </w:pPr>
            <w:r>
              <w:rPr>
                <w:rFonts w:ascii="宋体" w:hAnsi="宋体" w:eastAsia="宋体"/>
                <w:b w:val="0"/>
                <w:sz w:val="24"/>
              </w:rPr>
              <w:t>不超过30分钟</w:t>
            </w:r>
          </w:p>
        </w:tc>
      </w:tr>
      <w:tr w14:paraId="46FB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4" w:type="dxa"/>
          </w:tcPr>
          <w:p w14:paraId="6EF4BE74">
            <w:pPr>
              <w:spacing w:after="0" w:line="240" w:lineRule="auto"/>
              <w:jc w:val="center"/>
            </w:pPr>
            <w:r>
              <w:rPr>
                <w:rFonts w:ascii="宋体" w:hAnsi="宋体" w:eastAsia="宋体"/>
                <w:b w:val="0"/>
                <w:sz w:val="24"/>
              </w:rPr>
              <w:t>数据恢复时间</w:t>
            </w:r>
          </w:p>
        </w:tc>
        <w:tc>
          <w:tcPr>
            <w:tcW w:w="4674" w:type="dxa"/>
          </w:tcPr>
          <w:p w14:paraId="50C40D03">
            <w:pPr>
              <w:spacing w:after="0" w:line="240" w:lineRule="auto"/>
              <w:jc w:val="center"/>
            </w:pPr>
            <w:r>
              <w:rPr>
                <w:rFonts w:ascii="宋体" w:hAnsi="宋体" w:eastAsia="宋体"/>
                <w:b w:val="0"/>
                <w:sz w:val="24"/>
              </w:rPr>
              <w:t>不超过1小时</w:t>
            </w:r>
          </w:p>
        </w:tc>
      </w:tr>
    </w:tbl>
    <w:p w14:paraId="544E3F9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资源利用率要求：CPU利用率不超过70%，内存利用率不超过80%，磁盘IO利用率不超过60%（正常负载条件下）。</w:t>
      </w:r>
    </w:p>
    <w:p w14:paraId="3F9C0849">
      <w:pPr>
        <w:spacing w:line="600" w:lineRule="exact"/>
        <w:outlineLvl w:val="1"/>
      </w:pPr>
      <w:bookmarkStart w:id="47" w:name="_Toc15438"/>
      <w:r>
        <w:rPr>
          <w:rFonts w:ascii="楷体_GB2312" w:hAnsi="楷体_GB2312" w:eastAsia="楷体_GB2312"/>
          <w:b/>
          <w:sz w:val="32"/>
        </w:rPr>
        <w:t>（三）安全验收标准</w:t>
      </w:r>
      <w:bookmarkEnd w:id="47"/>
    </w:p>
    <w:p w14:paraId="04E41511">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1. 通过第三方安全测评机构的安全测试，无高危漏洞。</w:t>
      </w:r>
    </w:p>
    <w:p w14:paraId="5B2B49D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2. 通过等保三级测评，符合GB/T 22239-2019标准要求。</w:t>
      </w:r>
    </w:p>
    <w:p w14:paraId="1C7B9DB6">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3. 数据加密传输和存储，采用国密算法（SM2/SM3/SM4）。</w:t>
      </w:r>
    </w:p>
    <w:p w14:paraId="59C74090">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4. 完善的操作审计日志，可追踪所有敏感操作，日志保留不少于6个月。</w:t>
      </w:r>
    </w:p>
    <w:p w14:paraId="01AD107F">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pPr>
      <w:r>
        <w:rPr>
          <w:rFonts w:ascii="Times New Roman" w:hAnsi="Times New Roman" w:eastAsia="仿宋_GB2312"/>
          <w:b w:val="0"/>
          <w:sz w:val="32"/>
        </w:rPr>
        <w:t>5. 访问控制测试通过，不存在越权访问问题。</w:t>
      </w:r>
    </w:p>
    <w:p w14:paraId="4DEA8DB9">
      <w:pPr>
        <w:spacing w:line="600" w:lineRule="exact"/>
        <w:outlineLvl w:val="1"/>
      </w:pPr>
      <w:bookmarkStart w:id="48" w:name="_Toc13867"/>
      <w:r>
        <w:rPr>
          <w:rFonts w:ascii="楷体_GB2312" w:hAnsi="楷体_GB2312" w:eastAsia="楷体_GB2312"/>
          <w:b/>
          <w:sz w:val="32"/>
        </w:rPr>
        <w:t>（四）文档验收标准</w:t>
      </w:r>
      <w:bookmarkEnd w:id="48"/>
    </w:p>
    <w:p w14:paraId="0E2A0F1A">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交付文档齐全，符合《政务信息系统文档编制规范》要求。</w:t>
      </w:r>
    </w:p>
    <w:p w14:paraId="6FC0BCF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文档内容准确、完整、清晰，具备可操作性。</w:t>
      </w:r>
    </w:p>
    <w:p w14:paraId="26F9C8B2">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源代码注释清晰，符合编码规范。</w:t>
      </w:r>
    </w:p>
    <w:p w14:paraId="05375155">
      <w:pPr>
        <w:spacing w:line="600" w:lineRule="exact"/>
        <w:outlineLvl w:val="1"/>
      </w:pPr>
      <w:bookmarkStart w:id="49" w:name="_Toc28229"/>
      <w:r>
        <w:rPr>
          <w:rFonts w:ascii="楷体_GB2312" w:hAnsi="楷体_GB2312" w:eastAsia="楷体_GB2312"/>
          <w:b/>
          <w:sz w:val="32"/>
        </w:rPr>
        <w:t>（五）验收流程</w:t>
      </w:r>
      <w:bookmarkEnd w:id="49"/>
    </w:p>
    <w:p w14:paraId="210D7757">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1. 初验。系统开发和测试完毕后提交初验申请，荣成市应急管理局组织初步验收。</w:t>
      </w:r>
    </w:p>
    <w:p w14:paraId="019EC948">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2. 试运行。初验通过后系统进入试运行阶段，试运行期不少于30天。</w:t>
      </w:r>
    </w:p>
    <w:p w14:paraId="26219AA3">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3. 终验。试运行期满后组织终验评审，对照验收标准逐项检查。终验通过后签署项目验收报告。</w:t>
      </w:r>
    </w:p>
    <w:p w14:paraId="4855D599">
      <w:pPr>
        <w:keepNext w:val="0"/>
        <w:keepLines w:val="0"/>
        <w:pageBreakBefore w:val="0"/>
        <w:widowControl/>
        <w:kinsoku/>
        <w:wordWrap/>
        <w:overflowPunct/>
        <w:topLinePunct w:val="0"/>
        <w:autoSpaceDE/>
        <w:autoSpaceDN/>
        <w:bidi w:val="0"/>
        <w:adjustRightInd/>
        <w:snapToGrid/>
        <w:spacing w:after="0" w:line="600" w:lineRule="exact"/>
        <w:ind w:firstLine="641"/>
        <w:textAlignment w:val="auto"/>
        <w:rPr>
          <w:rFonts w:ascii="Times New Roman" w:hAnsi="Times New Roman" w:eastAsia="仿宋_GB2312"/>
          <w:b w:val="0"/>
          <w:sz w:val="32"/>
        </w:rPr>
      </w:pPr>
      <w:r>
        <w:rPr>
          <w:rFonts w:ascii="Times New Roman" w:hAnsi="Times New Roman" w:eastAsia="仿宋_GB2312"/>
          <w:b w:val="0"/>
          <w:sz w:val="32"/>
        </w:rPr>
        <w:t>4. 验收不合格处理。发现不符合标准的问题，由开发商限期整改。同一问题连续两次验收不合格，荣成市应急管理局有权要求更换技术人员。</w:t>
      </w:r>
    </w:p>
    <w:p w14:paraId="12502928"/>
    <w:sectPr>
      <w:footerReference r:id="rId6"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EED25E3-859E-47CF-A6AB-1F5046AF9D2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84689BB2-1B0F-4405-B6D4-EAA8F0EF9E35}"/>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3" w:fontKey="{783BFA09-B994-4FF1-8512-66258EC5AC88}"/>
  </w:font>
  <w:font w:name="仿宋_GB2312">
    <w:panose1 w:val="02010609030101010101"/>
    <w:charset w:val="86"/>
    <w:family w:val="auto"/>
    <w:pitch w:val="default"/>
    <w:sig w:usb0="00000001" w:usb1="080E0000" w:usb2="00000000" w:usb3="00000000" w:csb0="00040000" w:csb1="00000000"/>
    <w:embedRegular r:id="rId4" w:fontKey="{D0DA311B-8DB6-4149-A8F9-1242AB384D3E}"/>
  </w:font>
  <w:font w:name="楷体_GB2312">
    <w:panose1 w:val="02010609030101010101"/>
    <w:charset w:val="86"/>
    <w:family w:val="auto"/>
    <w:pitch w:val="default"/>
    <w:sig w:usb0="00000001" w:usb1="080E0000" w:usb2="00000000" w:usb3="00000000" w:csb0="00040000" w:csb1="00000000"/>
    <w:embedRegular r:id="rId5" w:fontKey="{71CEB9DB-55B4-4280-98CA-A69B0A5A4070}"/>
  </w:font>
  <w:font w:name="ＭＳ 明朝">
    <w:altName w:val="AMGDT"/>
    <w:panose1 w:val="00000000000000000000"/>
    <w:charset w:val="00"/>
    <w:family w:val="auto"/>
    <w:pitch w:val="default"/>
    <w:sig w:usb0="00000000" w:usb1="00000000" w:usb2="00000000" w:usb3="00000000" w:csb0="00000000" w:csb1="00000000"/>
    <w:embedRegular r:id="rId6" w:fontKey="{38C559F9-8244-4CD8-8909-C651B78BB02C}"/>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7A570">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E37B">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B43F4"/>
    <w:rsid w:val="0CAB63C8"/>
    <w:rsid w:val="17C26585"/>
    <w:rsid w:val="366D776D"/>
    <w:rsid w:val="367458F8"/>
    <w:rsid w:val="3A847A6E"/>
    <w:rsid w:val="3FCE13BF"/>
    <w:rsid w:val="479E2B03"/>
    <w:rsid w:val="49F84706"/>
    <w:rsid w:val="4E3C79A4"/>
    <w:rsid w:val="54E3424B"/>
    <w:rsid w:val="5AEB3E5A"/>
    <w:rsid w:val="5F551372"/>
    <w:rsid w:val="666A657B"/>
    <w:rsid w:val="6A66460C"/>
    <w:rsid w:val="75913D16"/>
    <w:rsid w:val="7A412D00"/>
    <w:rsid w:val="7A461B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10864</Words>
  <Characters>11778</Characters>
  <Lines>0</Lines>
  <Paragraphs>0</Paragraphs>
  <TotalTime>0</TotalTime>
  <ScaleCrop>false</ScaleCrop>
  <LinksUpToDate>false</LinksUpToDate>
  <CharactersWithSpaces>12032</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2026-05-22T01:55:42Z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049E98DEB7B846ADA742CC9F0C59CA04_12</vt:lpwstr>
  </property>
</Properties>
</file>