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3557" w14:textId="15CB881A" w:rsidR="00136D9B" w:rsidRDefault="00065B25" w:rsidP="00D20777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这是读书笔记新的写法，特针对那些论文集组合而成的专著</w:t>
      </w:r>
      <w:r w:rsidR="00FA73A0">
        <w:rPr>
          <w:rFonts w:ascii="楷体" w:eastAsia="楷体" w:hAnsi="楷体" w:hint="eastAsia"/>
          <w:sz w:val="24"/>
          <w:szCs w:val="28"/>
        </w:rPr>
        <w:t>。</w:t>
      </w:r>
      <w:r w:rsidR="00D27EFB">
        <w:rPr>
          <w:rFonts w:ascii="楷体" w:eastAsia="楷体" w:hAnsi="楷体" w:hint="eastAsia"/>
          <w:sz w:val="24"/>
          <w:szCs w:val="28"/>
        </w:rPr>
        <w:t>有传闻说，</w:t>
      </w:r>
      <w:r w:rsidR="009B4908">
        <w:rPr>
          <w:rFonts w:ascii="楷体" w:eastAsia="楷体" w:hAnsi="楷体" w:hint="eastAsia"/>
          <w:sz w:val="24"/>
          <w:szCs w:val="28"/>
        </w:rPr>
        <w:t>阿瑟·克拉克有意将自己的短篇小说，经过排列组合</w:t>
      </w:r>
      <w:r w:rsidR="00B174A0">
        <w:rPr>
          <w:rFonts w:ascii="楷体" w:eastAsia="楷体" w:hAnsi="楷体" w:hint="eastAsia"/>
          <w:sz w:val="24"/>
          <w:szCs w:val="28"/>
        </w:rPr>
        <w:t>，编辑成数量庞大的各色“短篇小说集”出版。这或许对作者的收入有正面的影响，但却容易给读者带来困惑与麻烦。</w:t>
      </w:r>
      <w:r w:rsidR="00716B13">
        <w:rPr>
          <w:rFonts w:ascii="楷体" w:eastAsia="楷体" w:hAnsi="楷体" w:hint="eastAsia"/>
          <w:sz w:val="24"/>
          <w:szCs w:val="28"/>
        </w:rPr>
        <w:t>当然笔者不是要说余英时也是出于同样的目的，但</w:t>
      </w:r>
      <w:r w:rsidR="00731B22">
        <w:rPr>
          <w:rFonts w:ascii="楷体" w:eastAsia="楷体" w:hAnsi="楷体" w:hint="eastAsia"/>
          <w:sz w:val="24"/>
          <w:szCs w:val="28"/>
        </w:rPr>
        <w:t>以论文为主要的书写格式，不免有此症。</w:t>
      </w:r>
    </w:p>
    <w:p w14:paraId="4036EA69" w14:textId="7D6C6B34" w:rsidR="00D20777" w:rsidRDefault="00D20777" w:rsidP="00D20777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本书有一大半的文章，都是从《朱熹的历史世界》中摘出来的</w:t>
      </w:r>
      <w:r w:rsidR="008F169B">
        <w:rPr>
          <w:rFonts w:ascii="楷体" w:eastAsia="楷体" w:hAnsi="楷体" w:hint="eastAsia"/>
          <w:sz w:val="24"/>
          <w:szCs w:val="28"/>
        </w:rPr>
        <w:t>。</w:t>
      </w:r>
      <w:r>
        <w:rPr>
          <w:rFonts w:ascii="楷体" w:eastAsia="楷体" w:hAnsi="楷体" w:hint="eastAsia"/>
          <w:sz w:val="24"/>
          <w:szCs w:val="28"/>
        </w:rPr>
        <w:t>如果还考虑到</w:t>
      </w:r>
      <w:r w:rsidR="008F169B">
        <w:rPr>
          <w:rFonts w:ascii="楷体" w:eastAsia="楷体" w:hAnsi="楷体" w:hint="eastAsia"/>
          <w:sz w:val="24"/>
          <w:szCs w:val="28"/>
        </w:rPr>
        <w:t>，本书中</w:t>
      </w:r>
      <w:r>
        <w:rPr>
          <w:rFonts w:ascii="楷体" w:eastAsia="楷体" w:hAnsi="楷体" w:hint="eastAsia"/>
          <w:sz w:val="24"/>
          <w:szCs w:val="28"/>
        </w:rPr>
        <w:t>作者为他人写的两篇序，</w:t>
      </w:r>
      <w:r w:rsidR="008F169B">
        <w:rPr>
          <w:rFonts w:ascii="楷体" w:eastAsia="楷体" w:hAnsi="楷体" w:hint="eastAsia"/>
          <w:sz w:val="24"/>
          <w:szCs w:val="28"/>
        </w:rPr>
        <w:t>以及最后一文《从政治生态看朱熹学与王阳明学之间的异同》是讲演稿，内容大致</w:t>
      </w:r>
      <w:r w:rsidR="00EE71D4">
        <w:rPr>
          <w:rFonts w:ascii="楷体" w:eastAsia="楷体" w:hAnsi="楷体" w:hint="eastAsia"/>
          <w:sz w:val="24"/>
          <w:szCs w:val="28"/>
        </w:rPr>
        <w:t>为</w:t>
      </w:r>
      <w:r w:rsidR="008F169B">
        <w:rPr>
          <w:rFonts w:ascii="楷体" w:eastAsia="楷体" w:hAnsi="楷体" w:hint="eastAsia"/>
          <w:sz w:val="24"/>
          <w:szCs w:val="28"/>
        </w:rPr>
        <w:t>前面</w:t>
      </w:r>
      <w:r w:rsidR="00EE71D4">
        <w:rPr>
          <w:rFonts w:ascii="楷体" w:eastAsia="楷体" w:hAnsi="楷体" w:hint="eastAsia"/>
          <w:sz w:val="24"/>
          <w:szCs w:val="28"/>
        </w:rPr>
        <w:t>一些</w:t>
      </w:r>
      <w:r w:rsidR="008F169B">
        <w:rPr>
          <w:rFonts w:ascii="楷体" w:eastAsia="楷体" w:hAnsi="楷体" w:hint="eastAsia"/>
          <w:sz w:val="24"/>
          <w:szCs w:val="28"/>
        </w:rPr>
        <w:t>文章的简略概括，那么本书对于</w:t>
      </w:r>
      <w:r w:rsidR="000E2249">
        <w:rPr>
          <w:rFonts w:ascii="楷体" w:eastAsia="楷体" w:hAnsi="楷体" w:hint="eastAsia"/>
          <w:sz w:val="24"/>
          <w:szCs w:val="28"/>
        </w:rPr>
        <w:t>笔者</w:t>
      </w:r>
      <w:r w:rsidR="008F169B">
        <w:rPr>
          <w:rFonts w:ascii="楷体" w:eastAsia="楷体" w:hAnsi="楷体" w:hint="eastAsia"/>
          <w:sz w:val="24"/>
          <w:szCs w:val="28"/>
        </w:rPr>
        <w:t>来说，真正有新价值的</w:t>
      </w:r>
      <w:r w:rsidR="001062B5">
        <w:rPr>
          <w:rFonts w:ascii="楷体" w:eastAsia="楷体" w:hAnsi="楷体" w:hint="eastAsia"/>
          <w:sz w:val="24"/>
          <w:szCs w:val="28"/>
        </w:rPr>
        <w:t>，只有《明代理学与政治文化发微》与《朱熹哲学体系中的道德与知识》两篇。</w:t>
      </w:r>
    </w:p>
    <w:p w14:paraId="43599650" w14:textId="3A7CCF2F" w:rsidR="00987602" w:rsidRPr="00D20777" w:rsidRDefault="00987602" w:rsidP="00D20777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但即使就这两篇来说，也为我们提供了新的材料与重要的见解，尤其是前一篇，接下来将一一论述。</w:t>
      </w:r>
    </w:p>
    <w:sectPr w:rsidR="00987602" w:rsidRPr="00D20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7D"/>
    <w:rsid w:val="00065B25"/>
    <w:rsid w:val="000E2249"/>
    <w:rsid w:val="001062B5"/>
    <w:rsid w:val="00136D9B"/>
    <w:rsid w:val="00657ADC"/>
    <w:rsid w:val="00716B13"/>
    <w:rsid w:val="00731B22"/>
    <w:rsid w:val="008F169B"/>
    <w:rsid w:val="00987602"/>
    <w:rsid w:val="009B4908"/>
    <w:rsid w:val="00B174A0"/>
    <w:rsid w:val="00C074F4"/>
    <w:rsid w:val="00CF75A0"/>
    <w:rsid w:val="00D20777"/>
    <w:rsid w:val="00D27EFB"/>
    <w:rsid w:val="00EE71D4"/>
    <w:rsid w:val="00FA3A7D"/>
    <w:rsid w:val="00FA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6C04"/>
  <w15:chartTrackingRefBased/>
  <w15:docId w15:val="{C4B6DED7-4A04-4718-A9BD-94309CCE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13</cp:revision>
  <dcterms:created xsi:type="dcterms:W3CDTF">2022-06-20T09:58:00Z</dcterms:created>
  <dcterms:modified xsi:type="dcterms:W3CDTF">2022-06-20T10:21:00Z</dcterms:modified>
</cp:coreProperties>
</file>