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C7717" w14:textId="68395A4E" w:rsidR="009E57B8" w:rsidRDefault="00574226" w:rsidP="00414186">
      <w:pPr>
        <w:ind w:firstLine="42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本篇原是作</w:t>
      </w:r>
      <w:r w:rsidR="00414186">
        <w:rPr>
          <w:rFonts w:ascii="楷体" w:eastAsia="楷体" w:hAnsi="楷体" w:hint="eastAsia"/>
          <w:sz w:val="24"/>
          <w:szCs w:val="28"/>
        </w:rPr>
        <w:t>为独立成篇的《朱熹的历史世界》的《绪说》部分的补充，以明朝的情形</w:t>
      </w:r>
      <w:r w:rsidR="00760A48">
        <w:rPr>
          <w:rFonts w:ascii="楷体" w:eastAsia="楷体" w:hAnsi="楷体" w:hint="eastAsia"/>
          <w:sz w:val="24"/>
          <w:szCs w:val="28"/>
        </w:rPr>
        <w:t>做</w:t>
      </w:r>
      <w:r w:rsidR="00414186">
        <w:rPr>
          <w:rFonts w:ascii="楷体" w:eastAsia="楷体" w:hAnsi="楷体" w:hint="eastAsia"/>
          <w:sz w:val="24"/>
          <w:szCs w:val="28"/>
        </w:rPr>
        <w:t>比较，更好的显示宋代的特色。因此篇幅不长，还有许多可延伸、细化的地方。</w:t>
      </w:r>
    </w:p>
    <w:p w14:paraId="1A78E7A7" w14:textId="6E76AC98" w:rsidR="00414186" w:rsidRDefault="009C213B" w:rsidP="00414186">
      <w:pPr>
        <w:ind w:firstLine="42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如果说作者在《论戴震与章学诚》中是以“内在理路”的角度来写清学的发展，本文则基本上是从外部政治环境来分析理学在明代的发展，并揭示明代的政治文化。</w:t>
      </w:r>
    </w:p>
    <w:p w14:paraId="59C8425F" w14:textId="6182B875" w:rsidR="007E5E49" w:rsidRDefault="00760A48" w:rsidP="00414186">
      <w:pPr>
        <w:ind w:firstLine="42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本文的大致思路如下：作者先分析明代由朱元璋所创设，并得到后世的</w:t>
      </w:r>
      <w:r w:rsidR="00985F49">
        <w:rPr>
          <w:rFonts w:ascii="楷体" w:eastAsia="楷体" w:hAnsi="楷体" w:hint="eastAsia"/>
          <w:sz w:val="24"/>
          <w:szCs w:val="28"/>
        </w:rPr>
        <w:t>沿袭</w:t>
      </w:r>
      <w:r>
        <w:rPr>
          <w:rFonts w:ascii="楷体" w:eastAsia="楷体" w:hAnsi="楷体" w:hint="eastAsia"/>
          <w:sz w:val="24"/>
          <w:szCs w:val="28"/>
        </w:rPr>
        <w:t>的政治环境</w:t>
      </w:r>
      <w:r>
        <w:rPr>
          <w:rFonts w:ascii="楷体" w:eastAsia="楷体" w:hAnsi="楷体" w:hint="eastAsia"/>
          <w:sz w:val="24"/>
          <w:szCs w:val="28"/>
        </w:rPr>
        <w:t>。朱元璋</w:t>
      </w:r>
      <w:r w:rsidR="00985F49">
        <w:rPr>
          <w:rFonts w:ascii="楷体" w:eastAsia="楷体" w:hAnsi="楷体" w:hint="eastAsia"/>
          <w:sz w:val="24"/>
          <w:szCs w:val="28"/>
        </w:rPr>
        <w:t>不仅首次</w:t>
      </w:r>
      <w:r>
        <w:rPr>
          <w:rFonts w:ascii="楷体" w:eastAsia="楷体" w:hAnsi="楷体" w:hint="eastAsia"/>
          <w:sz w:val="24"/>
          <w:szCs w:val="28"/>
        </w:rPr>
        <w:t>使廷杖成为定制，加之如“寰中士大夫不为君用”</w:t>
      </w:r>
      <w:r w:rsidR="00EF7A51">
        <w:rPr>
          <w:rFonts w:ascii="楷体" w:eastAsia="楷体" w:hAnsi="楷体" w:hint="eastAsia"/>
          <w:sz w:val="24"/>
          <w:szCs w:val="28"/>
        </w:rPr>
        <w:t>等</w:t>
      </w:r>
      <w:r w:rsidR="00CC30B5">
        <w:rPr>
          <w:rFonts w:ascii="楷体" w:eastAsia="楷体" w:hAnsi="楷体" w:hint="eastAsia"/>
          <w:sz w:val="24"/>
          <w:szCs w:val="28"/>
        </w:rPr>
        <w:t>残酷的政策</w:t>
      </w:r>
      <w:r>
        <w:rPr>
          <w:rFonts w:ascii="楷体" w:eastAsia="楷体" w:hAnsi="楷体" w:hint="eastAsia"/>
          <w:sz w:val="24"/>
          <w:szCs w:val="28"/>
        </w:rPr>
        <w:t>，士大夫在明朝可谓受尽凌辱，君主专制可谓登峰造极。</w:t>
      </w:r>
      <w:r w:rsidR="00A53F12">
        <w:rPr>
          <w:rFonts w:ascii="楷体" w:eastAsia="楷体" w:hAnsi="楷体" w:hint="eastAsia"/>
          <w:sz w:val="24"/>
          <w:szCs w:val="28"/>
        </w:rPr>
        <w:t>对程朱理学，</w:t>
      </w:r>
      <w:r>
        <w:rPr>
          <w:rFonts w:ascii="楷体" w:eastAsia="楷体" w:hAnsi="楷体" w:hint="eastAsia"/>
          <w:sz w:val="24"/>
          <w:szCs w:val="28"/>
        </w:rPr>
        <w:t>朱元璋实际上也只是将</w:t>
      </w:r>
      <w:r w:rsidR="00A53F12">
        <w:rPr>
          <w:rFonts w:ascii="楷体" w:eastAsia="楷体" w:hAnsi="楷体" w:hint="eastAsia"/>
          <w:sz w:val="24"/>
          <w:szCs w:val="28"/>
        </w:rPr>
        <w:t>其</w:t>
      </w:r>
      <w:r>
        <w:rPr>
          <w:rFonts w:ascii="楷体" w:eastAsia="楷体" w:hAnsi="楷体" w:hint="eastAsia"/>
          <w:sz w:val="24"/>
          <w:szCs w:val="28"/>
        </w:rPr>
        <w:t>作为</w:t>
      </w:r>
      <w:r w:rsidR="00A53F12">
        <w:rPr>
          <w:rFonts w:ascii="楷体" w:eastAsia="楷体" w:hAnsi="楷体" w:hint="eastAsia"/>
          <w:sz w:val="24"/>
          <w:szCs w:val="28"/>
        </w:rPr>
        <w:t>政治利用的工具，并不真心信服。</w:t>
      </w:r>
      <w:r w:rsidR="00B5096A">
        <w:rPr>
          <w:rFonts w:ascii="楷体" w:eastAsia="楷体" w:hAnsi="楷体" w:hint="eastAsia"/>
          <w:sz w:val="24"/>
          <w:szCs w:val="28"/>
        </w:rPr>
        <w:t>之后，作者将目光转向了明代理学史上划时代的人物王阳明，</w:t>
      </w:r>
      <w:r w:rsidR="00947537">
        <w:rPr>
          <w:rFonts w:ascii="楷体" w:eastAsia="楷体" w:hAnsi="楷体" w:hint="eastAsia"/>
          <w:sz w:val="24"/>
          <w:szCs w:val="28"/>
        </w:rPr>
        <w:t>辨析</w:t>
      </w:r>
      <w:r w:rsidR="009E7191">
        <w:rPr>
          <w:rFonts w:ascii="楷体" w:eastAsia="楷体" w:hAnsi="楷体" w:hint="eastAsia"/>
          <w:sz w:val="24"/>
          <w:szCs w:val="28"/>
        </w:rPr>
        <w:t>其思想</w:t>
      </w:r>
      <w:r w:rsidR="00B73777">
        <w:rPr>
          <w:rFonts w:ascii="楷体" w:eastAsia="楷体" w:hAnsi="楷体" w:hint="eastAsia"/>
          <w:sz w:val="24"/>
          <w:szCs w:val="28"/>
        </w:rPr>
        <w:t>与政治文化间的相互</w:t>
      </w:r>
      <w:r w:rsidR="009E7191">
        <w:rPr>
          <w:rFonts w:ascii="楷体" w:eastAsia="楷体" w:hAnsi="楷体" w:hint="eastAsia"/>
          <w:sz w:val="24"/>
          <w:szCs w:val="28"/>
        </w:rPr>
        <w:t>影响。</w:t>
      </w:r>
      <w:r w:rsidR="00985F49">
        <w:rPr>
          <w:rFonts w:ascii="楷体" w:eastAsia="楷体" w:hAnsi="楷体" w:hint="eastAsia"/>
          <w:sz w:val="24"/>
          <w:szCs w:val="28"/>
        </w:rPr>
        <w:t>作者敏锐的发觉，正是在这种人人自危，“得君行道”已不可能的前提下，王阳明将儒家重建秩序的理想的实现，</w:t>
      </w:r>
      <w:r w:rsidR="007E7133">
        <w:rPr>
          <w:rFonts w:ascii="楷体" w:eastAsia="楷体" w:hAnsi="楷体" w:hint="eastAsia"/>
          <w:sz w:val="24"/>
          <w:szCs w:val="28"/>
        </w:rPr>
        <w:t>从</w:t>
      </w:r>
      <w:r w:rsidR="00985F49">
        <w:rPr>
          <w:rFonts w:ascii="楷体" w:eastAsia="楷体" w:hAnsi="楷体" w:hint="eastAsia"/>
          <w:sz w:val="24"/>
          <w:szCs w:val="28"/>
        </w:rPr>
        <w:t>“得君行道”转向了“觉民行道”</w:t>
      </w:r>
      <w:r w:rsidR="007E7133">
        <w:rPr>
          <w:rFonts w:ascii="楷体" w:eastAsia="楷体" w:hAnsi="楷体" w:hint="eastAsia"/>
          <w:sz w:val="24"/>
          <w:szCs w:val="28"/>
        </w:rPr>
        <w:t>，阳明之说也成为了明中后期最具有影响力的思想潮流，蕴含了一种思想解放的呼声，也反映了在政治领域的</w:t>
      </w:r>
      <w:r w:rsidR="00106BF2">
        <w:rPr>
          <w:rFonts w:ascii="楷体" w:eastAsia="楷体" w:hAnsi="楷体" w:hint="eastAsia"/>
          <w:sz w:val="24"/>
          <w:szCs w:val="28"/>
        </w:rPr>
        <w:t>退却保身</w:t>
      </w:r>
      <w:r w:rsidR="00292F42">
        <w:rPr>
          <w:rFonts w:ascii="楷体" w:eastAsia="楷体" w:hAnsi="楷体" w:hint="eastAsia"/>
          <w:sz w:val="24"/>
          <w:szCs w:val="28"/>
        </w:rPr>
        <w:t>倾向</w:t>
      </w:r>
      <w:r w:rsidR="007E7133">
        <w:rPr>
          <w:rFonts w:ascii="楷体" w:eastAsia="楷体" w:hAnsi="楷体" w:hint="eastAsia"/>
          <w:sz w:val="24"/>
          <w:szCs w:val="28"/>
        </w:rPr>
        <w:t>。</w:t>
      </w:r>
    </w:p>
    <w:p w14:paraId="56DAF13C" w14:textId="791D0C4C" w:rsidR="00947537" w:rsidRDefault="00947537" w:rsidP="00414186">
      <w:pPr>
        <w:ind w:firstLine="42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作者在分析明代政治文化的形成时，主要还是就朱元璋个人的好恶行为着手。固然</w:t>
      </w:r>
      <w:r w:rsidR="003D613E">
        <w:rPr>
          <w:rFonts w:ascii="楷体" w:eastAsia="楷体" w:hAnsi="楷体" w:hint="eastAsia"/>
          <w:sz w:val="24"/>
          <w:szCs w:val="28"/>
        </w:rPr>
        <w:t>，</w:t>
      </w:r>
      <w:r>
        <w:rPr>
          <w:rFonts w:ascii="楷体" w:eastAsia="楷体" w:hAnsi="楷体" w:hint="eastAsia"/>
          <w:sz w:val="24"/>
          <w:szCs w:val="28"/>
        </w:rPr>
        <w:t>如果要追究哪个人对此负有最大之责任，必当归于朱元璋。但所谓“时来天地皆同力”，中国政治文化这样翻天覆地</w:t>
      </w:r>
      <w:r w:rsidR="003D613E">
        <w:rPr>
          <w:rFonts w:ascii="楷体" w:eastAsia="楷体" w:hAnsi="楷体" w:hint="eastAsia"/>
          <w:sz w:val="24"/>
          <w:szCs w:val="28"/>
        </w:rPr>
        <w:t>的</w:t>
      </w:r>
      <w:r>
        <w:rPr>
          <w:rFonts w:ascii="楷体" w:eastAsia="楷体" w:hAnsi="楷体" w:hint="eastAsia"/>
          <w:sz w:val="24"/>
          <w:szCs w:val="28"/>
        </w:rPr>
        <w:t>剧烈变化</w:t>
      </w:r>
      <w:r w:rsidR="003D613E">
        <w:rPr>
          <w:rFonts w:ascii="楷体" w:eastAsia="楷体" w:hAnsi="楷体" w:hint="eastAsia"/>
          <w:sz w:val="24"/>
          <w:szCs w:val="28"/>
        </w:rPr>
        <w:t>的出现</w:t>
      </w:r>
      <w:r>
        <w:rPr>
          <w:rFonts w:ascii="楷体" w:eastAsia="楷体" w:hAnsi="楷体" w:hint="eastAsia"/>
          <w:sz w:val="24"/>
          <w:szCs w:val="28"/>
        </w:rPr>
        <w:t>，也绝不是朱元璋一人的所作所为便足以解释的，必然也有着</w:t>
      </w:r>
      <w:r w:rsidR="00C07769">
        <w:rPr>
          <w:rFonts w:ascii="楷体" w:eastAsia="楷体" w:hAnsi="楷体" w:hint="eastAsia"/>
          <w:sz w:val="24"/>
          <w:szCs w:val="28"/>
        </w:rPr>
        <w:t>更深刻的关于社会结构、大历史进程的因素在内，这是我们要注意到的。</w:t>
      </w:r>
    </w:p>
    <w:p w14:paraId="4D11CCEF" w14:textId="027629CF" w:rsidR="003D613E" w:rsidRDefault="00E17937" w:rsidP="00414186">
      <w:pPr>
        <w:ind w:firstLine="42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而王阳明将儒家</w:t>
      </w:r>
      <w:r>
        <w:rPr>
          <w:rFonts w:ascii="楷体" w:eastAsia="楷体" w:hAnsi="楷体" w:hint="eastAsia"/>
          <w:sz w:val="24"/>
          <w:szCs w:val="28"/>
        </w:rPr>
        <w:t>“得君行道”</w:t>
      </w:r>
      <w:r>
        <w:rPr>
          <w:rFonts w:ascii="楷体" w:eastAsia="楷体" w:hAnsi="楷体" w:hint="eastAsia"/>
          <w:sz w:val="24"/>
          <w:szCs w:val="28"/>
        </w:rPr>
        <w:t>朝</w:t>
      </w:r>
      <w:r>
        <w:rPr>
          <w:rFonts w:ascii="楷体" w:eastAsia="楷体" w:hAnsi="楷体" w:hint="eastAsia"/>
          <w:sz w:val="24"/>
          <w:szCs w:val="28"/>
        </w:rPr>
        <w:t>“觉民行道”</w:t>
      </w:r>
      <w:r>
        <w:rPr>
          <w:rFonts w:ascii="楷体" w:eastAsia="楷体" w:hAnsi="楷体" w:hint="eastAsia"/>
          <w:sz w:val="24"/>
          <w:szCs w:val="28"/>
        </w:rPr>
        <w:t>的转变这一层，作者的论述真是颇有识见，笔者还未见到其他的学者有</w:t>
      </w:r>
      <w:r w:rsidR="0083775D">
        <w:rPr>
          <w:rFonts w:ascii="楷体" w:eastAsia="楷体" w:hAnsi="楷体" w:hint="eastAsia"/>
          <w:sz w:val="24"/>
          <w:szCs w:val="28"/>
        </w:rPr>
        <w:t>类似的</w:t>
      </w:r>
      <w:r>
        <w:rPr>
          <w:rFonts w:ascii="楷体" w:eastAsia="楷体" w:hAnsi="楷体" w:hint="eastAsia"/>
          <w:sz w:val="24"/>
          <w:szCs w:val="28"/>
        </w:rPr>
        <w:t>说法</w:t>
      </w:r>
      <w:r w:rsidR="0083775D">
        <w:rPr>
          <w:rFonts w:ascii="楷体" w:eastAsia="楷体" w:hAnsi="楷体" w:hint="eastAsia"/>
          <w:sz w:val="24"/>
          <w:szCs w:val="28"/>
        </w:rPr>
        <w:t>，至少未曾联系政治背景做深入的分析。</w:t>
      </w:r>
      <w:r w:rsidR="00643A6D">
        <w:rPr>
          <w:rFonts w:ascii="楷体" w:eastAsia="楷体" w:hAnsi="楷体" w:hint="eastAsia"/>
          <w:sz w:val="24"/>
          <w:szCs w:val="28"/>
        </w:rPr>
        <w:t>但这里还引出了一个问题，即要如何</w:t>
      </w:r>
      <w:r w:rsidR="00235162">
        <w:rPr>
          <w:rFonts w:ascii="楷体" w:eastAsia="楷体" w:hAnsi="楷体" w:hint="eastAsia"/>
          <w:sz w:val="24"/>
          <w:szCs w:val="28"/>
        </w:rPr>
        <w:t>调和理清宋代理学家</w:t>
      </w:r>
      <w:r w:rsidR="00235162">
        <w:rPr>
          <w:rFonts w:ascii="楷体" w:eastAsia="楷体" w:hAnsi="楷体" w:hint="eastAsia"/>
          <w:sz w:val="24"/>
          <w:szCs w:val="28"/>
        </w:rPr>
        <w:t>对地方自治的重视</w:t>
      </w:r>
      <w:r w:rsidR="00235162">
        <w:rPr>
          <w:rFonts w:ascii="楷体" w:eastAsia="楷体" w:hAnsi="楷体" w:hint="eastAsia"/>
          <w:sz w:val="24"/>
          <w:szCs w:val="28"/>
        </w:rPr>
        <w:t>与阳明心学“觉民行道”之间的差异。首先可以说明的是，宋代理学家直接面向的说理对象，主要是士大夫而不是一般百姓，而阳明学要更进一步，</w:t>
      </w:r>
      <w:r w:rsidR="0030169A">
        <w:rPr>
          <w:rFonts w:ascii="楷体" w:eastAsia="楷体" w:hAnsi="楷体" w:hint="eastAsia"/>
          <w:sz w:val="24"/>
          <w:szCs w:val="28"/>
        </w:rPr>
        <w:t>甚至要在“愚夫愚妇”的“日常日用”中发挥影响。</w:t>
      </w:r>
      <w:r w:rsidR="00852C92">
        <w:rPr>
          <w:rFonts w:ascii="楷体" w:eastAsia="楷体" w:hAnsi="楷体" w:hint="eastAsia"/>
          <w:sz w:val="24"/>
          <w:szCs w:val="28"/>
        </w:rPr>
        <w:t>这也可以视作是理学发展的“内在理路”之一。</w:t>
      </w:r>
    </w:p>
    <w:p w14:paraId="0A2E8CBF" w14:textId="2A3093F2" w:rsidR="009D2CBD" w:rsidRPr="00574226" w:rsidRDefault="009D2CBD" w:rsidP="00414186">
      <w:pPr>
        <w:ind w:firstLine="42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作者在本文中发掘的另外一极为重要的细节，是王阳明思想中表露的“正式承认个体良知为决定‘是非’的最终权威，高于两千年来普遍接受的‘公共’权威——孔子”这一具有突破性的想法，</w:t>
      </w:r>
      <w:r w:rsidR="00622F5E">
        <w:rPr>
          <w:rFonts w:ascii="楷体" w:eastAsia="楷体" w:hAnsi="楷体" w:hint="eastAsia"/>
          <w:sz w:val="24"/>
          <w:szCs w:val="28"/>
        </w:rPr>
        <w:t>其潜藏的意义极为深刻。</w:t>
      </w:r>
    </w:p>
    <w:sectPr w:rsidR="009D2CBD" w:rsidRPr="005742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2C5"/>
    <w:rsid w:val="00106BF2"/>
    <w:rsid w:val="00235162"/>
    <w:rsid w:val="00292F42"/>
    <w:rsid w:val="0030169A"/>
    <w:rsid w:val="003D613E"/>
    <w:rsid w:val="00414186"/>
    <w:rsid w:val="00574226"/>
    <w:rsid w:val="00622F5E"/>
    <w:rsid w:val="00643A6D"/>
    <w:rsid w:val="00760A48"/>
    <w:rsid w:val="007E5E49"/>
    <w:rsid w:val="007E7133"/>
    <w:rsid w:val="008002C5"/>
    <w:rsid w:val="0083775D"/>
    <w:rsid w:val="00852C92"/>
    <w:rsid w:val="00947537"/>
    <w:rsid w:val="00985F49"/>
    <w:rsid w:val="009C213B"/>
    <w:rsid w:val="009D2CBD"/>
    <w:rsid w:val="009E57B8"/>
    <w:rsid w:val="009E7191"/>
    <w:rsid w:val="00A53F12"/>
    <w:rsid w:val="00B5096A"/>
    <w:rsid w:val="00B73777"/>
    <w:rsid w:val="00C07769"/>
    <w:rsid w:val="00CC30B5"/>
    <w:rsid w:val="00DD7C8D"/>
    <w:rsid w:val="00E17937"/>
    <w:rsid w:val="00EF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2C23B"/>
  <w15:chartTrackingRefBased/>
  <w15:docId w15:val="{BECF5F70-3C9B-4FF4-B1AC-E91AA0DE8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21</cp:revision>
  <dcterms:created xsi:type="dcterms:W3CDTF">2022-06-20T10:21:00Z</dcterms:created>
  <dcterms:modified xsi:type="dcterms:W3CDTF">2022-06-20T11:22:00Z</dcterms:modified>
</cp:coreProperties>
</file>