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64D1" w14:textId="0206A2FF" w:rsidR="004A5018" w:rsidRDefault="00D5587B" w:rsidP="00877048">
      <w:pPr>
        <w:ind w:firstLine="480"/>
        <w:rPr>
          <w:rFonts w:ascii="楷体" w:eastAsia="楷体" w:hAnsi="楷体"/>
          <w:sz w:val="24"/>
          <w:szCs w:val="28"/>
        </w:rPr>
      </w:pPr>
      <w:r>
        <w:rPr>
          <w:rFonts w:ascii="楷体" w:eastAsia="楷体" w:hAnsi="楷体" w:hint="eastAsia"/>
          <w:sz w:val="24"/>
          <w:szCs w:val="28"/>
        </w:rPr>
        <w:t>本书的内容可说是“蔚为大观”，作者弗兰克·特伦特曼在本书中带领读者回顾了五百年来商品世界的种种故事。作者博征广引了了大量的资料，虽然不是面面俱到的写作（这当然也不可能，尤其是对现代社会来说），但作者尽可能关注到那些跨越时间和空间的重大主题</w:t>
      </w:r>
      <w:r w:rsidR="00877048">
        <w:rPr>
          <w:rFonts w:ascii="楷体" w:eastAsia="楷体" w:hAnsi="楷体" w:hint="eastAsia"/>
          <w:sz w:val="24"/>
          <w:szCs w:val="28"/>
        </w:rPr>
        <w:t>，为读者讲述商品在全球推进的故事。</w:t>
      </w:r>
    </w:p>
    <w:p w14:paraId="53BF8191" w14:textId="77777777" w:rsidR="00877048" w:rsidRDefault="00877048" w:rsidP="00877048">
      <w:pPr>
        <w:ind w:firstLine="480"/>
        <w:rPr>
          <w:rFonts w:ascii="楷体" w:eastAsia="楷体" w:hAnsi="楷体"/>
          <w:sz w:val="24"/>
          <w:szCs w:val="28"/>
        </w:rPr>
      </w:pPr>
      <w:r>
        <w:rPr>
          <w:rFonts w:ascii="楷体" w:eastAsia="楷体" w:hAnsi="楷体" w:hint="eastAsia"/>
          <w:sz w:val="24"/>
          <w:szCs w:val="28"/>
        </w:rPr>
        <w:t>本书体量巨大，中译本全书近七十万字。作者将本书的结构分为上下两部，第一部是按时间顺序的，作者从1</w:t>
      </w:r>
      <w:r>
        <w:rPr>
          <w:rFonts w:ascii="楷体" w:eastAsia="楷体" w:hAnsi="楷体"/>
          <w:sz w:val="24"/>
          <w:szCs w:val="28"/>
        </w:rPr>
        <w:t>5</w:t>
      </w:r>
      <w:r>
        <w:rPr>
          <w:rFonts w:ascii="楷体" w:eastAsia="楷体" w:hAnsi="楷体" w:hint="eastAsia"/>
          <w:sz w:val="24"/>
          <w:szCs w:val="28"/>
        </w:rPr>
        <w:t>世纪商品文化的复兴一直写到2</w:t>
      </w:r>
      <w:r>
        <w:rPr>
          <w:rFonts w:ascii="楷体" w:eastAsia="楷体" w:hAnsi="楷体"/>
          <w:sz w:val="24"/>
          <w:szCs w:val="28"/>
        </w:rPr>
        <w:t>0</w:t>
      </w:r>
      <w:r>
        <w:rPr>
          <w:rFonts w:ascii="楷体" w:eastAsia="楷体" w:hAnsi="楷体" w:hint="eastAsia"/>
          <w:sz w:val="24"/>
          <w:szCs w:val="28"/>
        </w:rPr>
        <w:t>世纪8</w:t>
      </w:r>
      <w:r>
        <w:rPr>
          <w:rFonts w:ascii="楷体" w:eastAsia="楷体" w:hAnsi="楷体"/>
          <w:sz w:val="24"/>
          <w:szCs w:val="28"/>
        </w:rPr>
        <w:t>0</w:t>
      </w:r>
      <w:r>
        <w:rPr>
          <w:rFonts w:ascii="楷体" w:eastAsia="楷体" w:hAnsi="楷体" w:hint="eastAsia"/>
          <w:sz w:val="24"/>
          <w:szCs w:val="28"/>
        </w:rPr>
        <w:t>年代末冷战结束和后来亚洲消费群体的复兴。这一部分同时也是专题性质的，作者每一章主要以特定的基本要素为考察对象，根据作者自己的概括，它们分别涵盖有：追溯</w:t>
      </w:r>
      <w:r w:rsidRPr="00877048">
        <w:rPr>
          <w:rFonts w:ascii="楷体" w:eastAsia="楷体" w:hAnsi="楷体" w:hint="eastAsia"/>
          <w:sz w:val="24"/>
          <w:szCs w:val="28"/>
        </w:rPr>
        <w:t>追溯了帝国对物质欲望、舒适条件和身份认同的影响；</w:t>
      </w:r>
      <w:r w:rsidRPr="00877048">
        <w:rPr>
          <w:rFonts w:ascii="楷体" w:eastAsia="楷体" w:hAnsi="楷体"/>
          <w:sz w:val="24"/>
          <w:szCs w:val="28"/>
        </w:rPr>
        <w:t>现代城市是如何与休闲、基础设施相互塑造的；</w:t>
      </w:r>
      <w:r>
        <w:rPr>
          <w:rFonts w:ascii="楷体" w:eastAsia="楷体" w:hAnsi="楷体" w:hint="eastAsia"/>
          <w:sz w:val="24"/>
          <w:szCs w:val="28"/>
        </w:rPr>
        <w:t>在消费中，</w:t>
      </w:r>
      <w:r w:rsidRPr="00877048">
        <w:rPr>
          <w:rFonts w:ascii="楷体" w:eastAsia="楷体" w:hAnsi="楷体"/>
          <w:sz w:val="24"/>
          <w:szCs w:val="28"/>
        </w:rPr>
        <w:t>家的变革；</w:t>
      </w:r>
      <w:r>
        <w:rPr>
          <w:rFonts w:ascii="楷体" w:eastAsia="楷体" w:hAnsi="楷体" w:hint="eastAsia"/>
          <w:sz w:val="24"/>
          <w:szCs w:val="28"/>
        </w:rPr>
        <w:t>对</w:t>
      </w:r>
      <w:r w:rsidRPr="00877048">
        <w:rPr>
          <w:rFonts w:ascii="楷体" w:eastAsia="楷体" w:hAnsi="楷体"/>
          <w:sz w:val="24"/>
          <w:szCs w:val="28"/>
        </w:rPr>
        <w:t>现代意识形态（自由主义、法西斯主义、共产主义、反殖民主义）是如何利用更高生活水平这一许诺的</w:t>
      </w:r>
      <w:r>
        <w:rPr>
          <w:rFonts w:ascii="楷体" w:eastAsia="楷体" w:hAnsi="楷体" w:hint="eastAsia"/>
          <w:sz w:val="24"/>
          <w:szCs w:val="28"/>
        </w:rPr>
        <w:t>思考</w:t>
      </w:r>
      <w:r w:rsidRPr="00877048">
        <w:rPr>
          <w:rFonts w:ascii="楷体" w:eastAsia="楷体" w:hAnsi="楷体"/>
          <w:sz w:val="24"/>
          <w:szCs w:val="28"/>
        </w:rPr>
        <w:t>；亚洲消费群体是如何逐渐加入西方消费群体的行列的</w:t>
      </w:r>
      <w:r>
        <w:rPr>
          <w:rFonts w:ascii="楷体" w:eastAsia="楷体" w:hAnsi="楷体" w:hint="eastAsia"/>
          <w:sz w:val="24"/>
          <w:szCs w:val="28"/>
        </w:rPr>
        <w:t>。</w:t>
      </w:r>
    </w:p>
    <w:p w14:paraId="53A7D4BF" w14:textId="70A444CB" w:rsidR="00877048" w:rsidRDefault="00877048" w:rsidP="00877048">
      <w:pPr>
        <w:ind w:firstLine="480"/>
        <w:rPr>
          <w:rFonts w:ascii="楷体" w:eastAsia="楷体" w:hAnsi="楷体" w:hint="eastAsia"/>
          <w:sz w:val="24"/>
          <w:szCs w:val="28"/>
        </w:rPr>
      </w:pPr>
      <w:r>
        <w:rPr>
          <w:rFonts w:ascii="楷体" w:eastAsia="楷体" w:hAnsi="楷体" w:hint="eastAsia"/>
          <w:sz w:val="24"/>
          <w:szCs w:val="28"/>
        </w:rPr>
        <w:t>所有的故事皆有大量的事例或数据作为支撑，读者甚至不妨将其当作单独的故事来读，亦甚有趣味。同时，本书仍然是一本学术性质的著作，作者回顾了那些息息相关的学术理论，或是找出实例加以确认，或是提出修改、反驳意见。这一且都围绕着消费这一核心主题，如作者分析为何1</w:t>
      </w:r>
      <w:r>
        <w:rPr>
          <w:rFonts w:ascii="楷体" w:eastAsia="楷体" w:hAnsi="楷体"/>
          <w:sz w:val="24"/>
          <w:szCs w:val="28"/>
        </w:rPr>
        <w:t>7</w:t>
      </w:r>
      <w:r>
        <w:rPr>
          <w:rFonts w:ascii="楷体" w:eastAsia="楷体" w:hAnsi="楷体" w:hint="eastAsia"/>
          <w:sz w:val="24"/>
          <w:szCs w:val="28"/>
        </w:rPr>
        <w:t>、1</w:t>
      </w:r>
      <w:r>
        <w:rPr>
          <w:rFonts w:ascii="楷体" w:eastAsia="楷体" w:hAnsi="楷体"/>
          <w:sz w:val="24"/>
          <w:szCs w:val="28"/>
        </w:rPr>
        <w:t>8</w:t>
      </w:r>
      <w:r>
        <w:rPr>
          <w:rFonts w:ascii="楷体" w:eastAsia="楷体" w:hAnsi="楷体" w:hint="eastAsia"/>
          <w:sz w:val="24"/>
          <w:szCs w:val="28"/>
        </w:rPr>
        <w:t>世纪一种新的消费机制能够在英国和荷兰出现，但却未能发生在中国或意大利时，</w:t>
      </w:r>
      <w:r w:rsidR="00A575FE">
        <w:rPr>
          <w:rFonts w:ascii="楷体" w:eastAsia="楷体" w:hAnsi="楷体" w:hint="eastAsia"/>
          <w:sz w:val="24"/>
          <w:szCs w:val="28"/>
        </w:rPr>
        <w:t>认为关键在于：生活水平（英国人拥有更高的实际工资），效仿（他们效仿更高阶层），“勤勉革命”（为了购买更多物品，人们努力工作）。如果以跨学科的综合视野来看，这当然不是问题的全部，甚至这一答案也未曾考虑曾经风靡的马克思主义式的答案，但这是从消费出发的</w:t>
      </w:r>
      <w:r w:rsidR="00962EA9">
        <w:rPr>
          <w:rFonts w:ascii="楷体" w:eastAsia="楷体" w:hAnsi="楷体" w:hint="eastAsia"/>
          <w:sz w:val="24"/>
          <w:szCs w:val="28"/>
        </w:rPr>
        <w:t>独特</w:t>
      </w:r>
      <w:r w:rsidR="00A575FE">
        <w:rPr>
          <w:rFonts w:ascii="楷体" w:eastAsia="楷体" w:hAnsi="楷体" w:hint="eastAsia"/>
          <w:sz w:val="24"/>
          <w:szCs w:val="28"/>
        </w:rPr>
        <w:t>视角。</w:t>
      </w:r>
    </w:p>
    <w:p w14:paraId="76317B94" w14:textId="167F47BD" w:rsidR="00877048" w:rsidRDefault="00962EA9" w:rsidP="00877048">
      <w:pPr>
        <w:ind w:firstLine="480"/>
        <w:rPr>
          <w:rFonts w:ascii="楷体" w:eastAsia="楷体" w:hAnsi="楷体"/>
          <w:sz w:val="24"/>
          <w:szCs w:val="28"/>
        </w:rPr>
      </w:pPr>
      <w:r>
        <w:rPr>
          <w:rFonts w:ascii="楷体" w:eastAsia="楷体" w:hAnsi="楷体" w:hint="eastAsia"/>
          <w:sz w:val="24"/>
          <w:szCs w:val="28"/>
        </w:rPr>
        <w:t>第二部分则不按时间顺序编排，是更明确的专题研究，从当前时代的核心话题展开，回顾问题的历史和现状，探讨其背后的原理、可能性。每一章的主题依次为：</w:t>
      </w:r>
      <w:r w:rsidRPr="00962EA9">
        <w:rPr>
          <w:rFonts w:ascii="楷体" w:eastAsia="楷体" w:hAnsi="楷体" w:hint="eastAsia"/>
          <w:sz w:val="24"/>
          <w:szCs w:val="28"/>
        </w:rPr>
        <w:t>无节制和信贷；</w:t>
      </w:r>
      <w:r>
        <w:rPr>
          <w:rFonts w:ascii="楷体" w:eastAsia="楷体" w:hAnsi="楷体" w:hint="eastAsia"/>
          <w:sz w:val="24"/>
          <w:szCs w:val="28"/>
        </w:rPr>
        <w:t>探讨我们</w:t>
      </w:r>
      <w:r w:rsidRPr="00962EA9">
        <w:rPr>
          <w:rFonts w:ascii="楷体" w:eastAsia="楷体" w:hAnsi="楷体" w:hint="eastAsia"/>
          <w:sz w:val="24"/>
          <w:szCs w:val="28"/>
        </w:rPr>
        <w:t>是否已经置身于一</w:t>
      </w:r>
      <w:r w:rsidRPr="00962EA9">
        <w:rPr>
          <w:rFonts w:ascii="楷体" w:eastAsia="楷体" w:hAnsi="楷体"/>
          <w:sz w:val="24"/>
          <w:szCs w:val="28"/>
        </w:rPr>
        <w:t>个沉溺于那些快速且肤浅的刺激因素的“备受折磨的”社会；消费是如何改变代际身份的（少年儿童的，对老人的）；消费是怎样改变我们的道德标准、公平意识和同陌生的他人的联系的；探寻了我们是如何摆脱掉物品的</w:t>
      </w:r>
      <w:r>
        <w:rPr>
          <w:rFonts w:ascii="楷体" w:eastAsia="楷体" w:hAnsi="楷体" w:hint="eastAsia"/>
          <w:sz w:val="24"/>
          <w:szCs w:val="28"/>
        </w:rPr>
        <w:t>。</w:t>
      </w:r>
    </w:p>
    <w:p w14:paraId="2BEFD901" w14:textId="478C9EF6" w:rsidR="00962EA9" w:rsidRPr="000128ED" w:rsidRDefault="00962EA9" w:rsidP="00877048">
      <w:pPr>
        <w:ind w:firstLine="480"/>
        <w:rPr>
          <w:rFonts w:ascii="楷体" w:eastAsia="楷体" w:hAnsi="楷体" w:hint="eastAsia"/>
          <w:sz w:val="24"/>
          <w:szCs w:val="28"/>
        </w:rPr>
      </w:pPr>
      <w:r>
        <w:rPr>
          <w:rFonts w:ascii="楷体" w:eastAsia="楷体" w:hAnsi="楷体" w:hint="eastAsia"/>
          <w:sz w:val="24"/>
          <w:szCs w:val="28"/>
        </w:rPr>
        <w:t>从上面的回顾中不难发现，本书的内容确实是百科全书式的，几乎所有与近现代消费相关的母题都被作者考虑在内，那些该领域影响深远的书籍也基本都作为论据或实例被罗列在正文中。</w:t>
      </w:r>
      <w:r w:rsidR="00286607">
        <w:rPr>
          <w:rFonts w:ascii="楷体" w:eastAsia="楷体" w:hAnsi="楷体" w:hint="eastAsia"/>
          <w:sz w:val="24"/>
          <w:szCs w:val="28"/>
        </w:rPr>
        <w:t>对于读者来说，也有一些“不好”，除了每一主题的内容都无法作深入、完整的讨论外，就是容易为大量的信息所淹没，一时间不知道要抓住什么作为核心。仅就直观的感受来说，笔者通读完本书后，并不认为消费是弊大于利，也没有感受到消费主义的危害性，特别是那些被认为是当代的恶习，时常有着历史上的对应时。除了那些不可避免逐渐减少的外（如垃圾对环境的污染），读者可能会得到这样一种略带积极的印象：历史仍是在螺旋上升的。</w:t>
      </w:r>
    </w:p>
    <w:sectPr w:rsidR="00962EA9" w:rsidRPr="00012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9E"/>
    <w:rsid w:val="000128ED"/>
    <w:rsid w:val="00286607"/>
    <w:rsid w:val="004A5018"/>
    <w:rsid w:val="00877048"/>
    <w:rsid w:val="00962EA9"/>
    <w:rsid w:val="00A1029E"/>
    <w:rsid w:val="00A575FE"/>
    <w:rsid w:val="00D5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E210"/>
  <w15:chartTrackingRefBased/>
  <w15:docId w15:val="{C6E52C53-2CC1-42DF-AD1D-960FD813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2022-10-20T00:04:00Z</dcterms:created>
  <dcterms:modified xsi:type="dcterms:W3CDTF">2022-10-20T01:06:00Z</dcterms:modified>
</cp:coreProperties>
</file>