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E7AD" w14:textId="729A8614" w:rsidR="00AF08D6" w:rsidRDefault="00287AAC" w:rsidP="00DF345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如果说马克思·韦伯在《新教伦理与资本主义》中成功阐述了什么具有恒久价值的判断，那么一定是其对卡尔·马克思式的历史单因素决定论的反驳</w:t>
      </w:r>
      <w:r w:rsidR="00515883">
        <w:rPr>
          <w:rFonts w:ascii="楷体" w:eastAsia="楷体" w:hAnsi="楷体" w:hint="eastAsia"/>
          <w:sz w:val="24"/>
          <w:szCs w:val="28"/>
        </w:rPr>
        <w:t>。反倒是韦伯关于新教伦理的具体讨论，倒未必能够得到时间的检验，现在已经有了许多的有力的反对证据，指出新教伦理或许未必如马克思·韦伯所分析的那样在资本主义发展中具有举足轻重的重要地位</w:t>
      </w:r>
      <w:r w:rsidR="00DF3459">
        <w:rPr>
          <w:rFonts w:ascii="楷体" w:eastAsia="楷体" w:hAnsi="楷体" w:hint="eastAsia"/>
          <w:sz w:val="24"/>
          <w:szCs w:val="28"/>
        </w:rPr>
        <w:t>。</w:t>
      </w:r>
    </w:p>
    <w:p w14:paraId="664EA846" w14:textId="3F5131FD" w:rsidR="00DF3459" w:rsidRPr="00287AAC" w:rsidRDefault="00DF3459" w:rsidP="00DF3459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韦伯将社会演变和历史潮流视为多方面因素互相交织杂糅的结果”，“研究者在文化和历史现象的‘彩索’中，选择自己关注的‘丝线’，以之统领自己研究的视角与方向”，“不要用主观的体验与陶醉去对抗无生命的抽象科学，而要让科学也服务于文化和历史，去探寻那些人类文明的永恒价值与长久传统，用它们放射出的光芒指引当下的实践道路”，王楠</w:t>
      </w:r>
      <w:r w:rsidR="00111BB8">
        <w:rPr>
          <w:rFonts w:ascii="楷体" w:eastAsia="楷体" w:hAnsi="楷体" w:hint="eastAsia"/>
          <w:sz w:val="24"/>
          <w:szCs w:val="28"/>
        </w:rPr>
        <w:t>在导读中做的概括已然不错，这正是韦伯在本书中所留给我们的思想财富。</w:t>
      </w:r>
    </w:p>
    <w:sectPr w:rsidR="00DF3459" w:rsidRPr="0028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2E"/>
    <w:rsid w:val="00111BB8"/>
    <w:rsid w:val="00287AAC"/>
    <w:rsid w:val="00515883"/>
    <w:rsid w:val="00A6552E"/>
    <w:rsid w:val="00AF08D6"/>
    <w:rsid w:val="00D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C014"/>
  <w15:chartTrackingRefBased/>
  <w15:docId w15:val="{2F586E23-D264-4660-A3CD-F948C609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</cp:revision>
  <dcterms:created xsi:type="dcterms:W3CDTF">2022-05-22T10:11:00Z</dcterms:created>
  <dcterms:modified xsi:type="dcterms:W3CDTF">2022-05-22T10:35:00Z</dcterms:modified>
</cp:coreProperties>
</file>