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F8E2" w14:textId="44E8A9CB" w:rsidR="00204DD2" w:rsidRDefault="00007981" w:rsidP="005F11C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秦晖在对特定的、局限于较有限时间段或牵涉面较窄的历史进行描述、研究时，颇能发挥其特长，明晰清楚的</w:t>
      </w:r>
      <w:r w:rsidR="005F11C1">
        <w:rPr>
          <w:rFonts w:ascii="楷体" w:eastAsia="楷体" w:hAnsi="楷体" w:hint="eastAsia"/>
          <w:sz w:val="24"/>
          <w:szCs w:val="24"/>
        </w:rPr>
        <w:t>逻辑推理，简洁平易的归纳梳理，加之以独到尖锐的分析总结。但在宏观维度上，虽然行文如故，言之凿凿，却不免因粗糙、笼统进而失真。</w:t>
      </w:r>
    </w:p>
    <w:p w14:paraId="49AB1F9D" w14:textId="401B027E" w:rsidR="005F11C1" w:rsidRDefault="005F11C1" w:rsidP="005F11C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《传统十论》的首篇关于汉唐间的乡村组织一章大概是全书最少可争议之处的，新颖的角度与扎实的证据，足以在逻辑上</w:t>
      </w:r>
      <w:r w:rsidR="004F2C50">
        <w:rPr>
          <w:rFonts w:ascii="楷体" w:eastAsia="楷体" w:hAnsi="楷体" w:hint="eastAsia"/>
          <w:sz w:val="24"/>
          <w:szCs w:val="24"/>
        </w:rPr>
        <w:t>反驳所谓“皇权不下县”式的乡村自治是两千年的传统，为更多的研究提供启发和支撑。而接下来，秦晖对法家、儒家等的分析、阐述，则不免武断、简单，只具备理论上的自洽而不具有事实上的证据，</w:t>
      </w:r>
      <w:r w:rsidR="00EB68AD">
        <w:rPr>
          <w:rFonts w:ascii="楷体" w:eastAsia="楷体" w:hAnsi="楷体" w:hint="eastAsia"/>
          <w:sz w:val="24"/>
          <w:szCs w:val="24"/>
        </w:rPr>
        <w:t>分析的过程、</w:t>
      </w:r>
      <w:r w:rsidR="004F2C50">
        <w:rPr>
          <w:rFonts w:ascii="楷体" w:eastAsia="楷体" w:hAnsi="楷体" w:hint="eastAsia"/>
          <w:sz w:val="24"/>
          <w:szCs w:val="24"/>
        </w:rPr>
        <w:t>所得出的结论大抵</w:t>
      </w:r>
      <w:r w:rsidR="00EB68AD">
        <w:rPr>
          <w:rFonts w:ascii="楷体" w:eastAsia="楷体" w:hAnsi="楷体" w:hint="eastAsia"/>
          <w:sz w:val="24"/>
          <w:szCs w:val="24"/>
        </w:rPr>
        <w:t>似是而非，足够尖锐却不切中要害，优劣参半。</w:t>
      </w:r>
    </w:p>
    <w:p w14:paraId="673B76E2" w14:textId="473BD785" w:rsidR="00EB68AD" w:rsidRDefault="00EB68AD" w:rsidP="005F11C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同样的症状也出现在作者的另一本代表作《田园诗与狂想曲》中，开头的田野调查所获颇有价值，但作者越写越不让思维受这区区的现实所困，漫无边际的</w:t>
      </w:r>
      <w:r w:rsidR="00416941">
        <w:rPr>
          <w:rFonts w:ascii="楷体" w:eastAsia="楷体" w:hAnsi="楷体" w:hint="eastAsia"/>
          <w:sz w:val="24"/>
          <w:szCs w:val="24"/>
        </w:rPr>
        <w:t>展开</w:t>
      </w:r>
      <w:r>
        <w:rPr>
          <w:rFonts w:ascii="楷体" w:eastAsia="楷体" w:hAnsi="楷体" w:hint="eastAsia"/>
          <w:sz w:val="24"/>
          <w:szCs w:val="24"/>
        </w:rPr>
        <w:t>，</w:t>
      </w:r>
      <w:r w:rsidR="006F663A">
        <w:rPr>
          <w:rFonts w:ascii="楷体" w:eastAsia="楷体" w:hAnsi="楷体" w:hint="eastAsia"/>
          <w:sz w:val="24"/>
          <w:szCs w:val="24"/>
        </w:rPr>
        <w:t>恰</w:t>
      </w:r>
      <w:r>
        <w:rPr>
          <w:rFonts w:ascii="楷体" w:eastAsia="楷体" w:hAnsi="楷体" w:hint="eastAsia"/>
          <w:sz w:val="24"/>
          <w:szCs w:val="24"/>
        </w:rPr>
        <w:t>切合了书名的后半截。</w:t>
      </w:r>
    </w:p>
    <w:p w14:paraId="29EB1439" w14:textId="0FB235A2" w:rsidR="00C31476" w:rsidRPr="00007981" w:rsidRDefault="00C31476" w:rsidP="005F11C1">
      <w:pPr>
        <w:ind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秦晖是康德意义下的杰出的公共知识分子，但却难以称之为一流的学者。他未曾进入中华古典文明的语境之中，也不愿</w:t>
      </w:r>
      <w:r w:rsidR="00B87E0A">
        <w:rPr>
          <w:rFonts w:ascii="楷体" w:eastAsia="楷体" w:hAnsi="楷体" w:hint="eastAsia"/>
          <w:sz w:val="24"/>
          <w:szCs w:val="24"/>
        </w:rPr>
        <w:t>无保留地皈依于</w:t>
      </w:r>
      <w:r>
        <w:rPr>
          <w:rFonts w:ascii="楷体" w:eastAsia="楷体" w:hAnsi="楷体" w:hint="eastAsia"/>
          <w:sz w:val="24"/>
          <w:szCs w:val="24"/>
        </w:rPr>
        <w:t>西</w:t>
      </w:r>
      <w:r w:rsidR="00B87E0A">
        <w:rPr>
          <w:rFonts w:ascii="楷体" w:eastAsia="楷体" w:hAnsi="楷体" w:hint="eastAsia"/>
          <w:sz w:val="24"/>
          <w:szCs w:val="24"/>
        </w:rPr>
        <w:t>方的价值取向</w:t>
      </w:r>
      <w:r w:rsidR="006F663A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敏锐的眼光足以发现</w:t>
      </w:r>
      <w:r w:rsidR="001B492D">
        <w:rPr>
          <w:rFonts w:ascii="楷体" w:eastAsia="楷体" w:hAnsi="楷体" w:hint="eastAsia"/>
          <w:sz w:val="24"/>
          <w:szCs w:val="24"/>
        </w:rPr>
        <w:t>种种荒谬，但却无法提供</w:t>
      </w:r>
      <w:r w:rsidR="006F663A">
        <w:rPr>
          <w:rFonts w:ascii="楷体" w:eastAsia="楷体" w:hAnsi="楷体" w:hint="eastAsia"/>
          <w:sz w:val="24"/>
          <w:szCs w:val="24"/>
        </w:rPr>
        <w:t>可供实践的创见，在东西文明之间游荡</w:t>
      </w:r>
      <w:r w:rsidR="00732BC1">
        <w:rPr>
          <w:rFonts w:ascii="楷体" w:eastAsia="楷体" w:hAnsi="楷体" w:hint="eastAsia"/>
          <w:sz w:val="24"/>
          <w:szCs w:val="24"/>
        </w:rPr>
        <w:t>，或许在等待，等待着新的时代的到来。</w:t>
      </w:r>
    </w:p>
    <w:sectPr w:rsidR="00C31476" w:rsidRPr="0000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0A"/>
    <w:rsid w:val="00007981"/>
    <w:rsid w:val="001B492D"/>
    <w:rsid w:val="00204DD2"/>
    <w:rsid w:val="00416941"/>
    <w:rsid w:val="004F2C50"/>
    <w:rsid w:val="005F11C1"/>
    <w:rsid w:val="006F663A"/>
    <w:rsid w:val="00732BC1"/>
    <w:rsid w:val="00B87E0A"/>
    <w:rsid w:val="00C31476"/>
    <w:rsid w:val="00D22D0A"/>
    <w:rsid w:val="00E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61CA"/>
  <w15:chartTrackingRefBased/>
  <w15:docId w15:val="{8EE1869A-E1C2-4114-B957-F371615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2022-03-03T13:50:00Z</dcterms:created>
  <dcterms:modified xsi:type="dcterms:W3CDTF">2022-03-27T03:50:00Z</dcterms:modified>
</cp:coreProperties>
</file>