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F83C" w14:textId="3E068FA9" w:rsidR="007C5A52" w:rsidRDefault="007C5A52" w:rsidP="003B1C7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本书既然身为商务印书馆的“汉译世界学术名著丛书”，当然是有些年头了。作为法学入门教材，本书初版写于魏玛共和国时期，后来虽有多次修订，但</w:t>
      </w:r>
      <w:r w:rsidR="00B65998">
        <w:rPr>
          <w:rFonts w:ascii="楷体" w:eastAsia="楷体" w:hAnsi="楷体" w:hint="eastAsia"/>
          <w:sz w:val="24"/>
          <w:szCs w:val="28"/>
        </w:rPr>
        <w:t>基本框架应该仍旧与原版相差不大（做出如此判断是因为本书中的历史叙述仍止步于魏玛共和国时期，除非本书的汉译本是直接翻自初版的）。虽然本书在不少方面都有些“古老”了，但对于法学界的外行人来说，</w:t>
      </w:r>
      <w:r w:rsidR="003B1C78">
        <w:rPr>
          <w:rFonts w:ascii="楷体" w:eastAsia="楷体" w:hAnsi="楷体" w:hint="eastAsia"/>
          <w:sz w:val="24"/>
          <w:szCs w:val="28"/>
        </w:rPr>
        <w:t>尚不失为了解法学各领域的优秀基础读物。只不过美中不足的是，作者拉德布鲁赫并没有采用现在一般教科书的写作方式，清晰明确地将重点名词地定义给出，而是将其自然融化在历史的、学理的叙述中。</w:t>
      </w:r>
    </w:p>
    <w:p w14:paraId="3BB586F1" w14:textId="7F03E1D0" w:rsidR="003B1C78" w:rsidRDefault="003B1C78" w:rsidP="003B1C7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全书共十二章，每</w:t>
      </w:r>
      <w:r w:rsidR="00FF7788">
        <w:rPr>
          <w:rFonts w:ascii="楷体" w:eastAsia="楷体" w:hAnsi="楷体" w:hint="eastAsia"/>
          <w:sz w:val="24"/>
          <w:szCs w:val="28"/>
        </w:rPr>
        <w:t>章围绕着一个法学领域/法学概念，阐释作者对此的理解、相关的历史（尤其是德意志国家的），而不像一般教科书那样完全围绕着定义展开。第一章是法权（法律），关于法律最基本的内容；第二章为国家法，也就是一般而言的宪法</w:t>
      </w:r>
      <w:r w:rsidR="0054651A">
        <w:rPr>
          <w:rFonts w:ascii="楷体" w:eastAsia="楷体" w:hAnsi="楷体" w:hint="eastAsia"/>
          <w:sz w:val="24"/>
          <w:szCs w:val="28"/>
        </w:rPr>
        <w:t>以及其他公法</w:t>
      </w:r>
      <w:r w:rsidR="00FF7788">
        <w:rPr>
          <w:rFonts w:ascii="楷体" w:eastAsia="楷体" w:hAnsi="楷体" w:hint="eastAsia"/>
          <w:sz w:val="24"/>
          <w:szCs w:val="28"/>
        </w:rPr>
        <w:t>；第三章为私法，与公法</w:t>
      </w:r>
      <w:r w:rsidR="0054651A">
        <w:rPr>
          <w:rFonts w:ascii="楷体" w:eastAsia="楷体" w:hAnsi="楷体" w:hint="eastAsia"/>
          <w:sz w:val="24"/>
          <w:szCs w:val="28"/>
        </w:rPr>
        <w:t>相对；第四章为商法，第五章为经济法和劳动法，他们处在私法的边界处；第六章为刑法，与犯罪有关；之后的章节则相对不关乎公民个人，分别为：法院组织法、程序法、行政法、教会法（中国或许是宗教法）、</w:t>
      </w:r>
      <w:r w:rsidR="004B293A">
        <w:rPr>
          <w:rFonts w:ascii="楷体" w:eastAsia="楷体" w:hAnsi="楷体" w:hint="eastAsia"/>
          <w:sz w:val="24"/>
          <w:szCs w:val="28"/>
        </w:rPr>
        <w:t>国际法，以及最后的总结一章“法学”。</w:t>
      </w:r>
    </w:p>
    <w:p w14:paraId="52FAE850" w14:textId="605B6B12" w:rsidR="001823E7" w:rsidRPr="007C5A52" w:rsidRDefault="001823E7" w:rsidP="003B1C78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当然了，说本书有部分“过时”也未尝不可，但其中法学的精神，大抵还是在的。</w:t>
      </w:r>
    </w:p>
    <w:sectPr w:rsidR="001823E7" w:rsidRPr="007C5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DE"/>
    <w:rsid w:val="001823E7"/>
    <w:rsid w:val="001904DE"/>
    <w:rsid w:val="003B1C78"/>
    <w:rsid w:val="004521AF"/>
    <w:rsid w:val="004B293A"/>
    <w:rsid w:val="0054651A"/>
    <w:rsid w:val="007C5A52"/>
    <w:rsid w:val="00B65998"/>
    <w:rsid w:val="00DC6FA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18C8"/>
  <w15:chartTrackingRefBased/>
  <w15:docId w15:val="{005DF1BA-E3CE-4157-88FB-46057B01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2022-08-11T11:57:00Z</dcterms:created>
  <dcterms:modified xsi:type="dcterms:W3CDTF">2022-08-11T12:34:00Z</dcterms:modified>
</cp:coreProperties>
</file>