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4AFE" w14:textId="58519415" w:rsidR="00932D63" w:rsidRPr="007B6690" w:rsidRDefault="00932D63" w:rsidP="00932D63">
      <w:pPr>
        <w:jc w:val="center"/>
        <w:rPr>
          <w:rFonts w:ascii="宋体" w:eastAsia="宋体" w:hAnsi="宋体"/>
          <w:sz w:val="24"/>
          <w:szCs w:val="28"/>
        </w:rPr>
      </w:pPr>
      <w:r w:rsidRPr="00932D63">
        <w:rPr>
          <w:rFonts w:ascii="宋体" w:eastAsia="宋体" w:hAnsi="宋体" w:hint="eastAsia"/>
          <w:b/>
          <w:bCs/>
          <w:sz w:val="52"/>
          <w:szCs w:val="56"/>
        </w:rPr>
        <w:t>商周至隋唐土地租税赋役制度杂论</w:t>
      </w:r>
    </w:p>
    <w:p w14:paraId="3BA4E55D" w14:textId="77777777" w:rsidR="00932D63" w:rsidRPr="007B6690" w:rsidRDefault="00932D63" w:rsidP="00932D63">
      <w:pPr>
        <w:jc w:val="center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计算机学院 </w:t>
      </w:r>
      <w:r>
        <w:rPr>
          <w:rFonts w:ascii="楷体" w:eastAsia="楷体" w:hAnsi="楷体"/>
          <w:sz w:val="24"/>
          <w:szCs w:val="28"/>
        </w:rPr>
        <w:t xml:space="preserve">20337080 </w:t>
      </w:r>
      <w:r w:rsidRPr="007B6690">
        <w:rPr>
          <w:rFonts w:ascii="楷体" w:eastAsia="楷体" w:hAnsi="楷体" w:hint="eastAsia"/>
          <w:sz w:val="24"/>
          <w:szCs w:val="28"/>
        </w:rPr>
        <w:t>刘家骏</w:t>
      </w:r>
    </w:p>
    <w:p w14:paraId="3FFFFAA0" w14:textId="77777777" w:rsidR="00932D63" w:rsidRDefault="00932D63" w:rsidP="00932D63">
      <w:pPr>
        <w:rPr>
          <w:rFonts w:ascii="宋体" w:eastAsia="宋体" w:hAnsi="宋体"/>
          <w:sz w:val="24"/>
          <w:szCs w:val="28"/>
        </w:rPr>
      </w:pPr>
    </w:p>
    <w:p w14:paraId="5A3E9DCC" w14:textId="77777777" w:rsidR="00932D63" w:rsidRDefault="00932D63" w:rsidP="00932D63">
      <w:pPr>
        <w:rPr>
          <w:rFonts w:ascii="宋体" w:eastAsia="宋体" w:hAnsi="宋体"/>
          <w:sz w:val="24"/>
          <w:szCs w:val="28"/>
        </w:rPr>
      </w:pPr>
    </w:p>
    <w:p w14:paraId="3DF76497" w14:textId="13017205" w:rsidR="00BB40C9" w:rsidRDefault="00615346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土地租税与赋役制度，关系到平民对政府之义务。同时需注意到古代的中国一直是一个农业国家，除了少数时期如宋代商业极发达而税源较丰富外，大多数时间中，中央政府的运转主要依靠最基本的土地租税。由</w:t>
      </w:r>
      <w:r w:rsidRPr="00615346">
        <w:rPr>
          <w:rFonts w:ascii="宋体" w:eastAsia="宋体" w:hAnsi="宋体" w:hint="eastAsia"/>
          <w:sz w:val="24"/>
          <w:szCs w:val="28"/>
        </w:rPr>
        <w:t>土地租税赋役制度</w:t>
      </w:r>
      <w:r>
        <w:rPr>
          <w:rFonts w:ascii="宋体" w:eastAsia="宋体" w:hAnsi="宋体" w:hint="eastAsia"/>
          <w:sz w:val="24"/>
          <w:szCs w:val="28"/>
        </w:rPr>
        <w:t>在不同时期的变化、运行效果，可借以观察时代的进退、社会一般生产环境的好坏、人民负担的多寡。但遗憾的是，文献的不足征一直是研究各朝代</w:t>
      </w:r>
      <w:r w:rsidRPr="00615346">
        <w:rPr>
          <w:rFonts w:ascii="宋体" w:eastAsia="宋体" w:hAnsi="宋体" w:hint="eastAsia"/>
          <w:sz w:val="24"/>
          <w:szCs w:val="28"/>
        </w:rPr>
        <w:t>土地租税赋役制度</w:t>
      </w:r>
      <w:r>
        <w:rPr>
          <w:rFonts w:ascii="宋体" w:eastAsia="宋体" w:hAnsi="宋体" w:hint="eastAsia"/>
          <w:sz w:val="24"/>
          <w:szCs w:val="28"/>
        </w:rPr>
        <w:t>的一个客观的限制，一般说来，时代愈往后、当时社会愈稳定，则传世资料愈详细。但也有因为意外的考古发现，而某一时期的历史资料突然一下子丰富的。</w:t>
      </w:r>
      <w:r w:rsidR="00EE527B">
        <w:rPr>
          <w:rFonts w:ascii="宋体" w:eastAsia="宋体" w:hAnsi="宋体" w:hint="eastAsia"/>
          <w:sz w:val="24"/>
          <w:szCs w:val="28"/>
        </w:rPr>
        <w:t>因此，本文不准备对这一长段时间</w:t>
      </w:r>
      <w:r w:rsidR="00EE527B" w:rsidRPr="00EE527B">
        <w:rPr>
          <w:rFonts w:ascii="宋体" w:eastAsia="宋体" w:hAnsi="宋体" w:hint="eastAsia"/>
          <w:sz w:val="24"/>
          <w:szCs w:val="28"/>
        </w:rPr>
        <w:t>土地租税赋役制度</w:t>
      </w:r>
      <w:r w:rsidR="00EE527B">
        <w:rPr>
          <w:rFonts w:ascii="宋体" w:eastAsia="宋体" w:hAnsi="宋体" w:hint="eastAsia"/>
          <w:sz w:val="24"/>
          <w:szCs w:val="28"/>
        </w:rPr>
        <w:t>做一完整、连贯的梳理，而不妨以专题的形式，关注重点时期的转变。</w:t>
      </w:r>
    </w:p>
    <w:p w14:paraId="24DB7AC4" w14:textId="397FE1DD" w:rsidR="00EE527B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70685140" w14:textId="6A085C63" w:rsidR="00EE527B" w:rsidRPr="00F26479" w:rsidRDefault="00EE527B" w:rsidP="0070297C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F26479">
        <w:rPr>
          <w:rFonts w:ascii="宋体" w:eastAsia="宋体" w:hAnsi="宋体" w:hint="eastAsia"/>
          <w:b/>
          <w:bCs/>
          <w:sz w:val="32"/>
          <w:szCs w:val="36"/>
        </w:rPr>
        <w:t>一、</w:t>
      </w:r>
      <w:r>
        <w:rPr>
          <w:rFonts w:ascii="宋体" w:eastAsia="宋体" w:hAnsi="宋体" w:hint="eastAsia"/>
          <w:b/>
          <w:bCs/>
          <w:sz w:val="32"/>
          <w:szCs w:val="36"/>
        </w:rPr>
        <w:t>基本史料</w:t>
      </w:r>
    </w:p>
    <w:p w14:paraId="7A08B007" w14:textId="3A55E717" w:rsidR="00EE527B" w:rsidRPr="00EE527B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0C8F4296" w14:textId="4B69CE38" w:rsidR="00EE527B" w:rsidRDefault="0037625A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本文先就研究商周至隋唐时期</w:t>
      </w:r>
      <w:r w:rsidRPr="0037625A">
        <w:rPr>
          <w:rFonts w:ascii="宋体" w:eastAsia="宋体" w:hAnsi="宋体" w:hint="eastAsia"/>
          <w:sz w:val="24"/>
          <w:szCs w:val="28"/>
        </w:rPr>
        <w:t>土地租税赋役制度</w:t>
      </w:r>
      <w:r>
        <w:rPr>
          <w:rFonts w:ascii="宋体" w:eastAsia="宋体" w:hAnsi="宋体" w:hint="eastAsia"/>
          <w:sz w:val="24"/>
          <w:szCs w:val="28"/>
        </w:rPr>
        <w:t>可资利用的主要史料，做一钩玄提要。</w:t>
      </w:r>
    </w:p>
    <w:p w14:paraId="3F3268FC" w14:textId="0C10FE08" w:rsidR="0037625A" w:rsidRDefault="0037625A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甲骨的发现证实了《史记》关于商代帝系的记载，是现存有关商代历史的直接史料。但由于甲骨文上为占卜之辞，反映的主要是</w:t>
      </w:r>
      <w:r w:rsidR="00EB6D67">
        <w:rPr>
          <w:rFonts w:ascii="宋体" w:eastAsia="宋体" w:hAnsi="宋体" w:hint="eastAsia"/>
          <w:sz w:val="24"/>
          <w:szCs w:val="28"/>
        </w:rPr>
        <w:t>商代上层统治者的活动</w:t>
      </w:r>
      <w:r>
        <w:rPr>
          <w:rFonts w:ascii="宋体" w:eastAsia="宋体" w:hAnsi="宋体" w:hint="eastAsia"/>
          <w:sz w:val="24"/>
          <w:szCs w:val="28"/>
        </w:rPr>
        <w:t>，偶有关于农事的记载，但多表示商王对农业的重视，而与经济制度无关。故商代的租税制度，可考者寥寥。</w:t>
      </w:r>
    </w:p>
    <w:p w14:paraId="1023AC84" w14:textId="22709E9A" w:rsidR="00EE527B" w:rsidRPr="0037625A" w:rsidRDefault="00EB6D67" w:rsidP="007E0319">
      <w:pPr>
        <w:ind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西周初期经济制度的情形仍由于史料内容的局限，而模糊不明，目前学者所掌握的文本与</w:t>
      </w:r>
      <w:r w:rsidRPr="00EB6D67">
        <w:rPr>
          <w:rFonts w:ascii="宋体" w:eastAsia="宋体" w:hAnsi="宋体" w:hint="eastAsia"/>
          <w:sz w:val="24"/>
          <w:szCs w:val="28"/>
        </w:rPr>
        <w:t>和考古证据</w:t>
      </w:r>
      <w:r w:rsidR="007E0319">
        <w:rPr>
          <w:rFonts w:ascii="宋体" w:eastAsia="宋体" w:hAnsi="宋体" w:hint="eastAsia"/>
          <w:sz w:val="24"/>
          <w:szCs w:val="28"/>
        </w:rPr>
        <w:t>（主要为青铜器铭文）</w:t>
      </w:r>
      <w:r w:rsidRPr="00EB6D67">
        <w:rPr>
          <w:rFonts w:ascii="宋体" w:eastAsia="宋体" w:hAnsi="宋体" w:hint="eastAsia"/>
          <w:sz w:val="24"/>
          <w:szCs w:val="28"/>
        </w:rPr>
        <w:t>仅仅能反映周朝贵族以及</w:t>
      </w:r>
      <w:r>
        <w:rPr>
          <w:rFonts w:ascii="宋体" w:eastAsia="宋体" w:hAnsi="宋体" w:hint="eastAsia"/>
          <w:sz w:val="24"/>
          <w:szCs w:val="28"/>
        </w:rPr>
        <w:t>王室</w:t>
      </w:r>
      <w:r w:rsidRPr="00EB6D67">
        <w:rPr>
          <w:rFonts w:ascii="宋体" w:eastAsia="宋体" w:hAnsi="宋体"/>
          <w:sz w:val="24"/>
          <w:szCs w:val="28"/>
        </w:rPr>
        <w:t>内部的统治群体的</w:t>
      </w:r>
      <w:r w:rsidRPr="00EB6D67">
        <w:rPr>
          <w:rFonts w:ascii="宋体" w:eastAsia="宋体" w:hAnsi="宋体" w:hint="eastAsia"/>
          <w:sz w:val="24"/>
          <w:szCs w:val="28"/>
        </w:rPr>
        <w:t>活动</w:t>
      </w:r>
      <w:r>
        <w:rPr>
          <w:rStyle w:val="a9"/>
          <w:rFonts w:ascii="宋体" w:eastAsia="宋体" w:hAnsi="宋体"/>
          <w:sz w:val="24"/>
          <w:szCs w:val="28"/>
        </w:rPr>
        <w:footnoteReference w:id="1"/>
      </w:r>
      <w:r w:rsidRPr="00EB6D67">
        <w:rPr>
          <w:rFonts w:ascii="宋体" w:eastAsia="宋体" w:hAnsi="宋体" w:hint="eastAsia"/>
          <w:sz w:val="24"/>
          <w:szCs w:val="28"/>
        </w:rPr>
        <w:t>。</w:t>
      </w:r>
      <w:r>
        <w:rPr>
          <w:rFonts w:ascii="宋体" w:eastAsia="宋体" w:hAnsi="宋体" w:hint="eastAsia"/>
          <w:sz w:val="24"/>
          <w:szCs w:val="28"/>
        </w:rPr>
        <w:t>传世文献中，先秦诸子与《诗经》存有关于周代早期</w:t>
      </w:r>
      <w:r w:rsidRPr="00EB6D67">
        <w:rPr>
          <w:rFonts w:ascii="宋体" w:eastAsia="宋体" w:hAnsi="宋体" w:hint="eastAsia"/>
          <w:sz w:val="24"/>
          <w:szCs w:val="28"/>
        </w:rPr>
        <w:t>租税赋役制度</w:t>
      </w:r>
      <w:r>
        <w:rPr>
          <w:rFonts w:ascii="宋体" w:eastAsia="宋体" w:hAnsi="宋体" w:hint="eastAsia"/>
          <w:sz w:val="24"/>
          <w:szCs w:val="28"/>
        </w:rPr>
        <w:t>的只言片语，如井田制的说法即见于《孟子》</w:t>
      </w:r>
      <w:r w:rsidR="007E0319">
        <w:rPr>
          <w:rFonts w:ascii="宋体" w:eastAsia="宋体" w:hAnsi="宋体" w:hint="eastAsia"/>
          <w:sz w:val="24"/>
          <w:szCs w:val="28"/>
        </w:rPr>
        <w:t>，但由于诸子的时代上距西周早期较远，且无可靠的旁证，仍有一定的争议。</w:t>
      </w:r>
    </w:p>
    <w:p w14:paraId="1F383C7A" w14:textId="5A2A4857" w:rsidR="00EE527B" w:rsidRDefault="007E0319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春秋战国时期，由于诸子百家直接或间接</w:t>
      </w:r>
      <w:r w:rsidR="0043239C">
        <w:rPr>
          <w:rFonts w:ascii="宋体" w:eastAsia="宋体" w:hAnsi="宋体" w:hint="eastAsia"/>
          <w:sz w:val="24"/>
          <w:szCs w:val="28"/>
        </w:rPr>
        <w:t>的</w:t>
      </w:r>
      <w:r>
        <w:rPr>
          <w:rFonts w:ascii="宋体" w:eastAsia="宋体" w:hAnsi="宋体" w:hint="eastAsia"/>
          <w:sz w:val="24"/>
          <w:szCs w:val="28"/>
        </w:rPr>
        <w:t>记载，我们对于此一阶段</w:t>
      </w:r>
      <w:r w:rsidRPr="007E0319">
        <w:rPr>
          <w:rFonts w:ascii="宋体" w:eastAsia="宋体" w:hAnsi="宋体" w:hint="eastAsia"/>
          <w:sz w:val="24"/>
          <w:szCs w:val="28"/>
        </w:rPr>
        <w:t>租税赋役制度</w:t>
      </w:r>
      <w:r>
        <w:rPr>
          <w:rFonts w:ascii="宋体" w:eastAsia="宋体" w:hAnsi="宋体" w:hint="eastAsia"/>
          <w:sz w:val="24"/>
          <w:szCs w:val="28"/>
        </w:rPr>
        <w:t>的了解远较前一时代丰富</w:t>
      </w:r>
      <w:r w:rsidR="0043239C">
        <w:rPr>
          <w:rFonts w:ascii="宋体" w:eastAsia="宋体" w:hAnsi="宋体" w:hint="eastAsia"/>
          <w:sz w:val="24"/>
          <w:szCs w:val="28"/>
        </w:rPr>
        <w:t>，如《左传》即对当时的田制有具体的描写，而《管子》、《</w:t>
      </w:r>
      <w:r w:rsidR="0043239C" w:rsidRPr="0043239C">
        <w:rPr>
          <w:rFonts w:ascii="宋体" w:eastAsia="宋体" w:hAnsi="宋体" w:hint="eastAsia"/>
          <w:sz w:val="24"/>
          <w:szCs w:val="28"/>
        </w:rPr>
        <w:t>商君书</w:t>
      </w:r>
      <w:r w:rsidR="0043239C">
        <w:rPr>
          <w:rFonts w:ascii="宋体" w:eastAsia="宋体" w:hAnsi="宋体" w:hint="eastAsia"/>
          <w:sz w:val="24"/>
          <w:szCs w:val="28"/>
        </w:rPr>
        <w:t>》、《孟子》等则记录了当时的经济思想</w:t>
      </w:r>
      <w:r w:rsidR="00AC1415">
        <w:rPr>
          <w:rFonts w:ascii="宋体" w:eastAsia="宋体" w:hAnsi="宋体" w:hint="eastAsia"/>
          <w:sz w:val="24"/>
          <w:szCs w:val="28"/>
        </w:rPr>
        <w:t>。我们今日大体可知东周时期的农民有税、役、赋、贡的负担，但如具体的租额</w:t>
      </w:r>
      <w:r w:rsidR="00CC0529">
        <w:rPr>
          <w:rFonts w:ascii="宋体" w:eastAsia="宋体" w:hAnsi="宋体" w:hint="eastAsia"/>
          <w:sz w:val="24"/>
          <w:szCs w:val="28"/>
        </w:rPr>
        <w:t>等内容</w:t>
      </w:r>
      <w:r w:rsidR="00AC1415">
        <w:rPr>
          <w:rFonts w:ascii="宋体" w:eastAsia="宋体" w:hAnsi="宋体" w:hint="eastAsia"/>
          <w:sz w:val="24"/>
          <w:szCs w:val="28"/>
        </w:rPr>
        <w:t>则无考</w:t>
      </w:r>
      <w:r w:rsidR="00AC1415">
        <w:rPr>
          <w:rStyle w:val="a9"/>
          <w:rFonts w:ascii="宋体" w:eastAsia="宋体" w:hAnsi="宋体"/>
          <w:sz w:val="24"/>
          <w:szCs w:val="28"/>
        </w:rPr>
        <w:footnoteReference w:id="2"/>
      </w:r>
      <w:r w:rsidR="0043239C">
        <w:rPr>
          <w:rFonts w:ascii="宋体" w:eastAsia="宋体" w:hAnsi="宋体" w:hint="eastAsia"/>
          <w:sz w:val="24"/>
          <w:szCs w:val="28"/>
        </w:rPr>
        <w:t>。</w:t>
      </w:r>
    </w:p>
    <w:p w14:paraId="1F3552EE" w14:textId="388B004B" w:rsidR="0043239C" w:rsidRDefault="00F53318" w:rsidP="00EE527B">
      <w:pPr>
        <w:ind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《周礼》曾经一度被认为是对周初制度的真实描绘，但经过后人考证，现已基本确定为晚周到秦朝之间的作品</w:t>
      </w:r>
      <w:r>
        <w:rPr>
          <w:rStyle w:val="a9"/>
          <w:rFonts w:ascii="宋体" w:eastAsia="宋体" w:hAnsi="宋体"/>
          <w:sz w:val="24"/>
          <w:szCs w:val="28"/>
        </w:rPr>
        <w:footnoteReference w:id="3"/>
      </w:r>
      <w:r w:rsidR="00AC1415">
        <w:rPr>
          <w:rFonts w:ascii="宋体" w:eastAsia="宋体" w:hAnsi="宋体" w:hint="eastAsia"/>
          <w:sz w:val="24"/>
          <w:szCs w:val="28"/>
        </w:rPr>
        <w:t>。《周礼》虽不足以揭示周初政制之真相，但却被认为与战国晚期政府以及秦政府的组织原则相关</w:t>
      </w:r>
      <w:r w:rsidR="00AC1415">
        <w:rPr>
          <w:rStyle w:val="a9"/>
          <w:rFonts w:ascii="宋体" w:eastAsia="宋体" w:hAnsi="宋体"/>
          <w:sz w:val="24"/>
          <w:szCs w:val="28"/>
        </w:rPr>
        <w:footnoteReference w:id="4"/>
      </w:r>
      <w:r w:rsidR="00AC1415">
        <w:rPr>
          <w:rFonts w:ascii="宋体" w:eastAsia="宋体" w:hAnsi="宋体" w:hint="eastAsia"/>
          <w:sz w:val="24"/>
          <w:szCs w:val="28"/>
        </w:rPr>
        <w:t>。</w:t>
      </w:r>
      <w:r w:rsidR="00284E1B">
        <w:rPr>
          <w:rFonts w:ascii="宋体" w:eastAsia="宋体" w:hAnsi="宋体" w:hint="eastAsia"/>
          <w:sz w:val="24"/>
          <w:szCs w:val="28"/>
        </w:rPr>
        <w:t>除了《史记》、前后《汉书》对于秦汉时代基本赋税制度的描述外，我们关于此一时期经济制度具体运行</w:t>
      </w:r>
      <w:r w:rsidR="00284E1B">
        <w:rPr>
          <w:rFonts w:ascii="宋体" w:eastAsia="宋体" w:hAnsi="宋体" w:hint="eastAsia"/>
          <w:sz w:val="24"/>
          <w:szCs w:val="28"/>
        </w:rPr>
        <w:lastRenderedPageBreak/>
        <w:t>的了解，最为重要的材料是新近出土的大量行政文件。</w:t>
      </w:r>
      <w:r w:rsidR="00F31530">
        <w:rPr>
          <w:rFonts w:ascii="宋体" w:eastAsia="宋体" w:hAnsi="宋体" w:hint="eastAsia"/>
          <w:sz w:val="24"/>
          <w:szCs w:val="28"/>
        </w:rPr>
        <w:t>其中最为重要的要属睡虎地的秦简与汉朝时期边关居延出土的汉简</w:t>
      </w:r>
      <w:r w:rsidR="00F31530">
        <w:rPr>
          <w:rStyle w:val="a9"/>
          <w:rFonts w:ascii="宋体" w:eastAsia="宋体" w:hAnsi="宋体"/>
          <w:sz w:val="24"/>
          <w:szCs w:val="28"/>
        </w:rPr>
        <w:footnoteReference w:id="5"/>
      </w:r>
      <w:r w:rsidR="003F176D">
        <w:rPr>
          <w:rFonts w:ascii="宋体" w:eastAsia="宋体" w:hAnsi="宋体" w:hint="eastAsia"/>
          <w:sz w:val="24"/>
          <w:szCs w:val="28"/>
        </w:rPr>
        <w:t>，大大加深了学者对此一时期的了解，极好的补充了传世文献对地方社会记载的不足。</w:t>
      </w:r>
    </w:p>
    <w:p w14:paraId="5F4073CF" w14:textId="2F604497" w:rsidR="00EE527B" w:rsidRDefault="00C47B59" w:rsidP="00EE527B">
      <w:pPr>
        <w:ind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虽然考古证据有诸多优势，但毕竟不是所有时期都能有出土文献作为证据的，大多数时候还需依靠传世的文本资料。不过情况较好的一点是，虽然南北朝由于战乱等原因，资料相对又少一些，但到了隋唐时期，经济与文化繁荣使得文献资料极其丰富，除了正史之外，尚有《通典》</w:t>
      </w:r>
      <w:r w:rsidR="00F16DF8">
        <w:rPr>
          <w:rFonts w:ascii="宋体" w:eastAsia="宋体" w:hAnsi="宋体" w:hint="eastAsia"/>
          <w:sz w:val="24"/>
          <w:szCs w:val="28"/>
        </w:rPr>
        <w:t>、宋代的《</w:t>
      </w:r>
      <w:r w:rsidR="00F16DF8" w:rsidRPr="00F16DF8">
        <w:rPr>
          <w:rFonts w:ascii="宋体" w:eastAsia="宋体" w:hAnsi="宋体" w:hint="eastAsia"/>
          <w:sz w:val="24"/>
          <w:szCs w:val="28"/>
        </w:rPr>
        <w:t>册府元龟</w:t>
      </w:r>
      <w:r w:rsidR="00F16DF8">
        <w:rPr>
          <w:rFonts w:ascii="宋体" w:eastAsia="宋体" w:hAnsi="宋体" w:hint="eastAsia"/>
          <w:sz w:val="24"/>
          <w:szCs w:val="28"/>
        </w:rPr>
        <w:t>》等资料。偶尔也有一些出土证据，如三国时期的</w:t>
      </w:r>
      <w:r w:rsidR="00F16DF8" w:rsidRPr="00F16DF8">
        <w:rPr>
          <w:rFonts w:ascii="宋体" w:eastAsia="宋体" w:hAnsi="宋体" w:hint="eastAsia"/>
          <w:sz w:val="24"/>
          <w:szCs w:val="28"/>
        </w:rPr>
        <w:t>走马楼简牍</w:t>
      </w:r>
      <w:r w:rsidR="00F16DF8">
        <w:rPr>
          <w:rFonts w:ascii="宋体" w:eastAsia="宋体" w:hAnsi="宋体" w:hint="eastAsia"/>
          <w:sz w:val="24"/>
          <w:szCs w:val="28"/>
        </w:rPr>
        <w:t>、西魏边塞敦煌的土地及人口登记，后者还是均田制实施的唯一直接证据</w:t>
      </w:r>
      <w:r w:rsidR="00F16DF8">
        <w:rPr>
          <w:rStyle w:val="a9"/>
          <w:rFonts w:ascii="宋体" w:eastAsia="宋体" w:hAnsi="宋体"/>
          <w:sz w:val="24"/>
          <w:szCs w:val="28"/>
        </w:rPr>
        <w:footnoteReference w:id="6"/>
      </w:r>
      <w:r w:rsidR="00F16DF8">
        <w:rPr>
          <w:rFonts w:ascii="宋体" w:eastAsia="宋体" w:hAnsi="宋体" w:hint="eastAsia"/>
          <w:sz w:val="24"/>
          <w:szCs w:val="28"/>
        </w:rPr>
        <w:t>。</w:t>
      </w:r>
    </w:p>
    <w:p w14:paraId="289F5F0C" w14:textId="050E2083" w:rsidR="00EE527B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0A01EA34" w14:textId="0567930D" w:rsidR="00EE527B" w:rsidRPr="009B5F72" w:rsidRDefault="009B5F72" w:rsidP="009B5F72">
      <w:pPr>
        <w:jc w:val="center"/>
        <w:rPr>
          <w:rFonts w:ascii="宋体" w:eastAsia="宋体" w:hAnsi="宋体" w:hint="eastAsia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二</w:t>
      </w:r>
      <w:r w:rsidRPr="00F26479">
        <w:rPr>
          <w:rFonts w:ascii="宋体" w:eastAsia="宋体" w:hAnsi="宋体" w:hint="eastAsia"/>
          <w:b/>
          <w:bCs/>
          <w:sz w:val="32"/>
          <w:szCs w:val="36"/>
        </w:rPr>
        <w:t>、</w:t>
      </w:r>
      <w:r>
        <w:rPr>
          <w:rFonts w:ascii="宋体" w:eastAsia="宋体" w:hAnsi="宋体" w:hint="eastAsia"/>
          <w:b/>
          <w:bCs/>
          <w:sz w:val="32"/>
          <w:szCs w:val="36"/>
        </w:rPr>
        <w:t>由封建</w:t>
      </w:r>
      <w:r w:rsidR="00C4728D">
        <w:rPr>
          <w:rFonts w:ascii="宋体" w:eastAsia="宋体" w:hAnsi="宋体" w:hint="eastAsia"/>
          <w:b/>
          <w:bCs/>
          <w:sz w:val="32"/>
          <w:szCs w:val="36"/>
        </w:rPr>
        <w:t>到</w:t>
      </w:r>
      <w:r>
        <w:rPr>
          <w:rFonts w:ascii="宋体" w:eastAsia="宋体" w:hAnsi="宋体" w:hint="eastAsia"/>
          <w:b/>
          <w:bCs/>
          <w:sz w:val="32"/>
          <w:szCs w:val="36"/>
        </w:rPr>
        <w:t>编户齐民</w:t>
      </w:r>
    </w:p>
    <w:p w14:paraId="5A188A13" w14:textId="7A75DF87" w:rsidR="00EE527B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170D3C13" w14:textId="71C66C75" w:rsidR="00EE527B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2091212A" w14:textId="2B3E159B" w:rsidR="00C31577" w:rsidRPr="009B5F72" w:rsidRDefault="00C31577" w:rsidP="00C31577">
      <w:pPr>
        <w:jc w:val="center"/>
        <w:rPr>
          <w:rFonts w:ascii="宋体" w:eastAsia="宋体" w:hAnsi="宋体" w:hint="eastAsia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三</w:t>
      </w:r>
      <w:r w:rsidRPr="00F26479">
        <w:rPr>
          <w:rFonts w:ascii="宋体" w:eastAsia="宋体" w:hAnsi="宋体" w:hint="eastAsia"/>
          <w:b/>
          <w:bCs/>
          <w:sz w:val="32"/>
          <w:szCs w:val="36"/>
        </w:rPr>
        <w:t>、</w:t>
      </w:r>
      <w:r>
        <w:rPr>
          <w:rFonts w:ascii="宋体" w:eastAsia="宋体" w:hAnsi="宋体" w:hint="eastAsia"/>
          <w:b/>
          <w:bCs/>
          <w:sz w:val="32"/>
          <w:szCs w:val="36"/>
        </w:rPr>
        <w:t>土地属权与赋役</w:t>
      </w:r>
    </w:p>
    <w:p w14:paraId="643BB040" w14:textId="60E568E1" w:rsidR="00EE527B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5BF57393" w14:textId="725FC78F" w:rsidR="00EE527B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07CFA7E4" w14:textId="3373EE7A" w:rsidR="00C31577" w:rsidRPr="009B5F72" w:rsidRDefault="00C31577" w:rsidP="00C31577">
      <w:pPr>
        <w:jc w:val="center"/>
        <w:rPr>
          <w:rFonts w:ascii="宋体" w:eastAsia="宋体" w:hAnsi="宋体" w:hint="eastAsia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四</w:t>
      </w:r>
      <w:r w:rsidRPr="00F26479">
        <w:rPr>
          <w:rFonts w:ascii="宋体" w:eastAsia="宋体" w:hAnsi="宋体" w:hint="eastAsia"/>
          <w:b/>
          <w:bCs/>
          <w:sz w:val="32"/>
          <w:szCs w:val="36"/>
        </w:rPr>
        <w:t>、</w:t>
      </w:r>
      <w:r>
        <w:rPr>
          <w:rFonts w:ascii="宋体" w:eastAsia="宋体" w:hAnsi="宋体" w:hint="eastAsia"/>
          <w:b/>
          <w:bCs/>
          <w:sz w:val="32"/>
          <w:szCs w:val="36"/>
        </w:rPr>
        <w:t>租庸调制的崩溃与两税法</w:t>
      </w:r>
    </w:p>
    <w:p w14:paraId="5F77AE23" w14:textId="0D6051DB" w:rsidR="00EE527B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4330E991" w14:textId="467D438E" w:rsidR="00EE527B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212EF162" w14:textId="15856C1C" w:rsidR="00240E09" w:rsidRPr="009B5F72" w:rsidRDefault="00240E09" w:rsidP="00240E09">
      <w:pPr>
        <w:jc w:val="center"/>
        <w:rPr>
          <w:rFonts w:ascii="宋体" w:eastAsia="宋体" w:hAnsi="宋体" w:hint="eastAsia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五</w:t>
      </w:r>
      <w:r w:rsidRPr="00F26479">
        <w:rPr>
          <w:rFonts w:ascii="宋体" w:eastAsia="宋体" w:hAnsi="宋体" w:hint="eastAsia"/>
          <w:b/>
          <w:bCs/>
          <w:sz w:val="32"/>
          <w:szCs w:val="36"/>
        </w:rPr>
        <w:t>、</w:t>
      </w:r>
      <w:r w:rsidR="00806F46">
        <w:rPr>
          <w:rFonts w:ascii="宋体" w:eastAsia="宋体" w:hAnsi="宋体" w:hint="eastAsia"/>
          <w:b/>
          <w:bCs/>
          <w:sz w:val="32"/>
          <w:szCs w:val="36"/>
        </w:rPr>
        <w:t>余论</w:t>
      </w:r>
    </w:p>
    <w:p w14:paraId="4E957D4B" w14:textId="57F496DD" w:rsidR="00EE527B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5D4C7659" w14:textId="59651AE8" w:rsidR="00EE527B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16C629AC" w14:textId="77777777" w:rsidR="00EE527B" w:rsidRDefault="00EE527B" w:rsidP="00EE527B">
      <w:pPr>
        <w:ind w:firstLine="480"/>
        <w:rPr>
          <w:rFonts w:hint="eastAsia"/>
        </w:rPr>
      </w:pPr>
    </w:p>
    <w:sectPr w:rsidR="00EE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5AE20" w14:textId="77777777" w:rsidR="006F274B" w:rsidRDefault="006F274B" w:rsidP="00EE527B">
      <w:r>
        <w:separator/>
      </w:r>
    </w:p>
  </w:endnote>
  <w:endnote w:type="continuationSeparator" w:id="0">
    <w:p w14:paraId="745FF086" w14:textId="77777777" w:rsidR="006F274B" w:rsidRDefault="006F274B" w:rsidP="00EE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DB226" w14:textId="77777777" w:rsidR="006F274B" w:rsidRDefault="006F274B" w:rsidP="00EE527B">
      <w:r>
        <w:separator/>
      </w:r>
    </w:p>
  </w:footnote>
  <w:footnote w:type="continuationSeparator" w:id="0">
    <w:p w14:paraId="790F1F61" w14:textId="77777777" w:rsidR="006F274B" w:rsidRDefault="006F274B" w:rsidP="00EE527B">
      <w:r>
        <w:continuationSeparator/>
      </w:r>
    </w:p>
  </w:footnote>
  <w:footnote w:id="1">
    <w:p w14:paraId="504E0AA4" w14:textId="3B7514DC" w:rsidR="00EB6D67" w:rsidRPr="00EB6D67" w:rsidRDefault="00EB6D67">
      <w:pPr>
        <w:pStyle w:val="a7"/>
        <w:rPr>
          <w:rFonts w:ascii="楷体" w:eastAsia="楷体" w:hAnsi="楷体" w:hint="eastAsia"/>
          <w:sz w:val="21"/>
          <w:szCs w:val="21"/>
        </w:rPr>
      </w:pPr>
      <w:r w:rsidRPr="00EB6D67">
        <w:rPr>
          <w:rStyle w:val="a9"/>
          <w:rFonts w:ascii="楷体" w:eastAsia="楷体" w:hAnsi="楷体"/>
          <w:sz w:val="21"/>
          <w:szCs w:val="21"/>
        </w:rPr>
        <w:footnoteRef/>
      </w:r>
      <w:r w:rsidRPr="00EB6D67">
        <w:rPr>
          <w:rFonts w:ascii="楷体" w:eastAsia="楷体" w:hAnsi="楷体"/>
          <w:sz w:val="21"/>
          <w:szCs w:val="21"/>
        </w:rPr>
        <w:t xml:space="preserve"> </w:t>
      </w:r>
      <w:r w:rsidRPr="00EB6D67">
        <w:rPr>
          <w:rFonts w:ascii="楷体" w:eastAsia="楷体" w:hAnsi="楷体" w:hint="eastAsia"/>
          <w:sz w:val="21"/>
          <w:szCs w:val="21"/>
        </w:rPr>
        <w:t>万志英：《剑桥中国经济史》，崔传刚译，北京：中国人民大学出版社，</w:t>
      </w:r>
      <w:r w:rsidRPr="00EB6D67">
        <w:rPr>
          <w:rFonts w:ascii="楷体" w:eastAsia="楷体" w:hAnsi="楷体"/>
          <w:sz w:val="21"/>
          <w:szCs w:val="21"/>
        </w:rPr>
        <w:t>2018年</w:t>
      </w:r>
      <w:r>
        <w:rPr>
          <w:rFonts w:ascii="楷体" w:eastAsia="楷体" w:hAnsi="楷体" w:hint="eastAsia"/>
          <w:sz w:val="21"/>
          <w:szCs w:val="21"/>
        </w:rPr>
        <w:t>，第1</w:t>
      </w:r>
      <w:r>
        <w:rPr>
          <w:rFonts w:ascii="楷体" w:eastAsia="楷体" w:hAnsi="楷体"/>
          <w:sz w:val="21"/>
          <w:szCs w:val="21"/>
        </w:rPr>
        <w:t>2</w:t>
      </w:r>
      <w:r>
        <w:rPr>
          <w:rFonts w:ascii="楷体" w:eastAsia="楷体" w:hAnsi="楷体" w:hint="eastAsia"/>
          <w:sz w:val="21"/>
          <w:szCs w:val="21"/>
        </w:rPr>
        <w:t>页</w:t>
      </w:r>
      <w:r w:rsidRPr="00EB6D67">
        <w:rPr>
          <w:rFonts w:ascii="楷体" w:eastAsia="楷体" w:hAnsi="楷体"/>
          <w:sz w:val="21"/>
          <w:szCs w:val="21"/>
        </w:rPr>
        <w:t>。</w:t>
      </w:r>
    </w:p>
  </w:footnote>
  <w:footnote w:id="2">
    <w:p w14:paraId="6E35CA6D" w14:textId="7B6DA392" w:rsidR="00AC1415" w:rsidRPr="00AC1415" w:rsidRDefault="00AC1415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Pr="00AC1415">
        <w:rPr>
          <w:rFonts w:ascii="楷体" w:eastAsia="楷体" w:hAnsi="楷体" w:hint="eastAsia"/>
          <w:sz w:val="21"/>
          <w:szCs w:val="21"/>
        </w:rPr>
        <w:t>钱穆</w:t>
      </w:r>
      <w:r w:rsidRPr="00AC1415">
        <w:rPr>
          <w:rFonts w:ascii="楷体" w:eastAsia="楷体" w:hAnsi="楷体"/>
          <w:sz w:val="21"/>
          <w:szCs w:val="21"/>
        </w:rPr>
        <w:t>:《国史大纲</w:t>
      </w:r>
      <w:r>
        <w:rPr>
          <w:rFonts w:ascii="楷体" w:eastAsia="楷体" w:hAnsi="楷体" w:hint="eastAsia"/>
          <w:sz w:val="21"/>
          <w:szCs w:val="21"/>
        </w:rPr>
        <w:t>（上）</w:t>
      </w:r>
      <w:r w:rsidRPr="00AC1415">
        <w:rPr>
          <w:rFonts w:ascii="楷体" w:eastAsia="楷体" w:hAnsi="楷体"/>
          <w:sz w:val="21"/>
          <w:szCs w:val="21"/>
        </w:rPr>
        <w:t>》，台北：联经出版事业股份有限公司，1998年</w:t>
      </w:r>
      <w:r>
        <w:rPr>
          <w:rFonts w:ascii="楷体" w:eastAsia="楷体" w:hAnsi="楷体" w:hint="eastAsia"/>
          <w:sz w:val="21"/>
          <w:szCs w:val="21"/>
        </w:rPr>
        <w:t>，第1</w:t>
      </w:r>
      <w:r>
        <w:rPr>
          <w:rFonts w:ascii="楷体" w:eastAsia="楷体" w:hAnsi="楷体"/>
          <w:sz w:val="21"/>
          <w:szCs w:val="21"/>
        </w:rPr>
        <w:t>47-148</w:t>
      </w:r>
      <w:r>
        <w:rPr>
          <w:rFonts w:ascii="楷体" w:eastAsia="楷体" w:hAnsi="楷体" w:hint="eastAsia"/>
          <w:sz w:val="21"/>
          <w:szCs w:val="21"/>
        </w:rPr>
        <w:t>页</w:t>
      </w:r>
      <w:r w:rsidRPr="00AC1415">
        <w:rPr>
          <w:rFonts w:ascii="楷体" w:eastAsia="楷体" w:hAnsi="楷体"/>
          <w:sz w:val="21"/>
          <w:szCs w:val="21"/>
        </w:rPr>
        <w:t>。</w:t>
      </w:r>
    </w:p>
  </w:footnote>
  <w:footnote w:id="3">
    <w:p w14:paraId="01BC01F1" w14:textId="1B1EEBC8" w:rsidR="00F53318" w:rsidRDefault="00F53318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Pr="00F53318">
        <w:rPr>
          <w:rFonts w:ascii="楷体" w:eastAsia="楷体" w:hAnsi="楷体" w:hint="eastAsia"/>
          <w:sz w:val="21"/>
          <w:szCs w:val="21"/>
        </w:rPr>
        <w:t>钱穆</w:t>
      </w:r>
      <w:r w:rsidRPr="00F53318">
        <w:rPr>
          <w:rFonts w:ascii="楷体" w:eastAsia="楷体" w:hAnsi="楷体"/>
          <w:sz w:val="21"/>
          <w:szCs w:val="21"/>
        </w:rPr>
        <w:t>:</w:t>
      </w:r>
      <w:r>
        <w:rPr>
          <w:rFonts w:ascii="楷体" w:eastAsia="楷体" w:hAnsi="楷体" w:hint="eastAsia"/>
          <w:sz w:val="21"/>
          <w:szCs w:val="21"/>
        </w:rPr>
        <w:t>《周官著作时代考》，</w:t>
      </w:r>
      <w:r w:rsidRPr="00F53318">
        <w:rPr>
          <w:rFonts w:ascii="楷体" w:eastAsia="楷体" w:hAnsi="楷体"/>
          <w:sz w:val="21"/>
          <w:szCs w:val="21"/>
        </w:rPr>
        <w:t>《两汉经学今古文平议》，台北：联经出版事业股份有限公司，1998年</w:t>
      </w:r>
      <w:r>
        <w:rPr>
          <w:rFonts w:ascii="楷体" w:eastAsia="楷体" w:hAnsi="楷体" w:hint="eastAsia"/>
          <w:sz w:val="21"/>
          <w:szCs w:val="21"/>
        </w:rPr>
        <w:t>，第4</w:t>
      </w:r>
      <w:r>
        <w:rPr>
          <w:rFonts w:ascii="楷体" w:eastAsia="楷体" w:hAnsi="楷体"/>
          <w:sz w:val="21"/>
          <w:szCs w:val="21"/>
        </w:rPr>
        <w:t>62</w:t>
      </w:r>
      <w:r>
        <w:rPr>
          <w:rFonts w:ascii="楷体" w:eastAsia="楷体" w:hAnsi="楷体" w:hint="eastAsia"/>
          <w:sz w:val="21"/>
          <w:szCs w:val="21"/>
        </w:rPr>
        <w:t>页</w:t>
      </w:r>
      <w:r w:rsidRPr="00F53318">
        <w:rPr>
          <w:rFonts w:ascii="楷体" w:eastAsia="楷体" w:hAnsi="楷体"/>
          <w:sz w:val="21"/>
          <w:szCs w:val="21"/>
        </w:rPr>
        <w:t>。</w:t>
      </w:r>
    </w:p>
  </w:footnote>
  <w:footnote w:id="4">
    <w:p w14:paraId="0E1544A8" w14:textId="2C0593E0" w:rsidR="00AC1415" w:rsidRDefault="00AC1415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Pr="00EB6D67">
        <w:rPr>
          <w:rFonts w:ascii="楷体" w:eastAsia="楷体" w:hAnsi="楷体" w:hint="eastAsia"/>
          <w:sz w:val="21"/>
          <w:szCs w:val="21"/>
        </w:rPr>
        <w:t>万志英：《剑桥中国经济史》，</w:t>
      </w:r>
      <w:r>
        <w:rPr>
          <w:rFonts w:ascii="楷体" w:eastAsia="楷体" w:hAnsi="楷体" w:hint="eastAsia"/>
          <w:sz w:val="21"/>
          <w:szCs w:val="21"/>
        </w:rPr>
        <w:t>第7</w:t>
      </w:r>
      <w:r>
        <w:rPr>
          <w:rFonts w:ascii="楷体" w:eastAsia="楷体" w:hAnsi="楷体"/>
          <w:sz w:val="21"/>
          <w:szCs w:val="21"/>
        </w:rPr>
        <w:t>6</w:t>
      </w:r>
      <w:r>
        <w:rPr>
          <w:rFonts w:ascii="楷体" w:eastAsia="楷体" w:hAnsi="楷体" w:hint="eastAsia"/>
          <w:sz w:val="21"/>
          <w:szCs w:val="21"/>
        </w:rPr>
        <w:t>页。</w:t>
      </w:r>
    </w:p>
  </w:footnote>
  <w:footnote w:id="5">
    <w:p w14:paraId="7403EF0D" w14:textId="3C9A7E9C" w:rsidR="00F31530" w:rsidRDefault="00F31530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Pr="00EB6D67">
        <w:rPr>
          <w:rFonts w:ascii="楷体" w:eastAsia="楷体" w:hAnsi="楷体" w:hint="eastAsia"/>
          <w:sz w:val="21"/>
          <w:szCs w:val="21"/>
        </w:rPr>
        <w:t>万志英：《剑桥中国经济史》，</w:t>
      </w:r>
      <w:r>
        <w:rPr>
          <w:rFonts w:ascii="楷体" w:eastAsia="楷体" w:hAnsi="楷体" w:hint="eastAsia"/>
          <w:sz w:val="21"/>
          <w:szCs w:val="21"/>
        </w:rPr>
        <w:t>第7</w:t>
      </w:r>
      <w:r>
        <w:rPr>
          <w:rFonts w:ascii="楷体" w:eastAsia="楷体" w:hAnsi="楷体"/>
          <w:sz w:val="21"/>
          <w:szCs w:val="21"/>
        </w:rPr>
        <w:t>6</w:t>
      </w:r>
      <w:r>
        <w:rPr>
          <w:rFonts w:ascii="楷体" w:eastAsia="楷体" w:hAnsi="楷体" w:hint="eastAsia"/>
          <w:sz w:val="21"/>
          <w:szCs w:val="21"/>
        </w:rPr>
        <w:t>页</w:t>
      </w:r>
      <w:r>
        <w:rPr>
          <w:rFonts w:ascii="楷体" w:eastAsia="楷体" w:hAnsi="楷体" w:hint="eastAsia"/>
          <w:sz w:val="21"/>
          <w:szCs w:val="21"/>
        </w:rPr>
        <w:t>。</w:t>
      </w:r>
      <w:r w:rsidRPr="00F31530">
        <w:rPr>
          <w:rFonts w:ascii="楷体" w:eastAsia="楷体" w:hAnsi="楷体" w:hint="eastAsia"/>
          <w:sz w:val="21"/>
          <w:szCs w:val="21"/>
        </w:rPr>
        <w:t>杜正胜：《编户齐民》，台北：联经出版事业股份有限公司，</w:t>
      </w:r>
      <w:r w:rsidRPr="00F31530">
        <w:rPr>
          <w:rFonts w:ascii="楷体" w:eastAsia="楷体" w:hAnsi="楷体"/>
          <w:sz w:val="21"/>
          <w:szCs w:val="21"/>
        </w:rPr>
        <w:t>1990年</w:t>
      </w:r>
      <w:r>
        <w:rPr>
          <w:rFonts w:ascii="楷体" w:eastAsia="楷体" w:hAnsi="楷体" w:hint="eastAsia"/>
          <w:sz w:val="21"/>
          <w:szCs w:val="21"/>
        </w:rPr>
        <w:t>，第4</w:t>
      </w:r>
      <w:r>
        <w:rPr>
          <w:rFonts w:ascii="楷体" w:eastAsia="楷体" w:hAnsi="楷体"/>
          <w:sz w:val="21"/>
          <w:szCs w:val="21"/>
        </w:rPr>
        <w:t>-5</w:t>
      </w:r>
      <w:r>
        <w:rPr>
          <w:rFonts w:ascii="楷体" w:eastAsia="楷体" w:hAnsi="楷体" w:hint="eastAsia"/>
          <w:sz w:val="21"/>
          <w:szCs w:val="21"/>
        </w:rPr>
        <w:t>页。</w:t>
      </w:r>
    </w:p>
  </w:footnote>
  <w:footnote w:id="6">
    <w:p w14:paraId="1B342063" w14:textId="186B8AE9" w:rsidR="00F16DF8" w:rsidRDefault="00F16DF8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Pr="00EB6D67">
        <w:rPr>
          <w:rFonts w:ascii="楷体" w:eastAsia="楷体" w:hAnsi="楷体" w:hint="eastAsia"/>
          <w:sz w:val="21"/>
          <w:szCs w:val="21"/>
        </w:rPr>
        <w:t>万志英：《剑桥中国经济史》，</w:t>
      </w:r>
      <w:r>
        <w:rPr>
          <w:rFonts w:ascii="楷体" w:eastAsia="楷体" w:hAnsi="楷体" w:hint="eastAsia"/>
          <w:sz w:val="21"/>
          <w:szCs w:val="21"/>
        </w:rPr>
        <w:t>第</w:t>
      </w:r>
      <w:r>
        <w:rPr>
          <w:rFonts w:ascii="楷体" w:eastAsia="楷体" w:hAnsi="楷体"/>
          <w:sz w:val="21"/>
          <w:szCs w:val="21"/>
        </w:rPr>
        <w:t>155</w:t>
      </w:r>
      <w:r>
        <w:rPr>
          <w:rFonts w:ascii="楷体" w:eastAsia="楷体" w:hAnsi="楷体" w:hint="eastAsia"/>
          <w:sz w:val="21"/>
          <w:szCs w:val="21"/>
        </w:rPr>
        <w:t>页</w:t>
      </w:r>
      <w:r>
        <w:rPr>
          <w:rFonts w:ascii="楷体" w:eastAsia="楷体" w:hAnsi="楷体" w:hint="eastAsia"/>
          <w:sz w:val="21"/>
          <w:szCs w:val="21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57"/>
    <w:rsid w:val="00240E09"/>
    <w:rsid w:val="00284E1B"/>
    <w:rsid w:val="0037625A"/>
    <w:rsid w:val="003F176D"/>
    <w:rsid w:val="0043239C"/>
    <w:rsid w:val="00615346"/>
    <w:rsid w:val="006F274B"/>
    <w:rsid w:val="0070297C"/>
    <w:rsid w:val="007E0319"/>
    <w:rsid w:val="00806F46"/>
    <w:rsid w:val="00932D63"/>
    <w:rsid w:val="009B5F72"/>
    <w:rsid w:val="00AC1415"/>
    <w:rsid w:val="00BB40C9"/>
    <w:rsid w:val="00BE312E"/>
    <w:rsid w:val="00C31577"/>
    <w:rsid w:val="00C4728D"/>
    <w:rsid w:val="00C47B59"/>
    <w:rsid w:val="00CC0529"/>
    <w:rsid w:val="00DA2257"/>
    <w:rsid w:val="00EB6D67"/>
    <w:rsid w:val="00EE527B"/>
    <w:rsid w:val="00F16DF8"/>
    <w:rsid w:val="00F31530"/>
    <w:rsid w:val="00F5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ADEAB"/>
  <w15:chartTrackingRefBased/>
  <w15:docId w15:val="{B928AE59-73A1-4499-AE96-38ACE941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D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2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27B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EB6D67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EB6D67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EB6D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29349-E6FC-436B-BA8A-9F824E1C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21</cp:revision>
  <dcterms:created xsi:type="dcterms:W3CDTF">2022-12-20T00:47:00Z</dcterms:created>
  <dcterms:modified xsi:type="dcterms:W3CDTF">2022-12-20T03:16:00Z</dcterms:modified>
</cp:coreProperties>
</file>