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0597B" w14:textId="6CE4960E" w:rsidR="008730B4" w:rsidRDefault="006F0C89" w:rsidP="008F54D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写得很好。相较于上一本《基督教欧洲的巨变》，作者蒂莫西·布莱宁虽然同样采用了将这一时间段内发生的事，按照不同领域分门别类各自叙述的方式，但显然本书的分类更清晰，从交通、贸易与生产到权力、宗教与文化等等，比起初读标题几乎摸不着头脑的“从‘白银时代’到‘黑铁世纪’”好得多，简洁而明晰。需要承认的是，随着时间越来越接近当代，历史资料的复杂程度也</w:t>
      </w:r>
      <w:r w:rsidR="00854B5F">
        <w:rPr>
          <w:rFonts w:ascii="楷体" w:eastAsia="楷体" w:hAnsi="楷体" w:hint="eastAsia"/>
          <w:sz w:val="24"/>
          <w:szCs w:val="28"/>
        </w:rPr>
        <w:t>几何上升，不仅是不同领域的进展都在成倍的增加，而且值得被划分的类别也在呈指数地变化。这使得分类叙述的历史，不仅是应该被接受的，甚至是几乎唯一可行的试图涵盖尽可能全面内容的</w:t>
      </w:r>
      <w:r w:rsidR="0007060A">
        <w:rPr>
          <w:rFonts w:ascii="楷体" w:eastAsia="楷体" w:hAnsi="楷体" w:hint="eastAsia"/>
          <w:sz w:val="24"/>
          <w:szCs w:val="28"/>
        </w:rPr>
        <w:t>近现代</w:t>
      </w:r>
      <w:r w:rsidR="00854B5F">
        <w:rPr>
          <w:rFonts w:ascii="楷体" w:eastAsia="楷体" w:hAnsi="楷体" w:hint="eastAsia"/>
          <w:sz w:val="24"/>
          <w:szCs w:val="28"/>
        </w:rPr>
        <w:t>通史写法，只不过上一本的作者的实践不上也不下，又想用一条线索串联起时代（基督教世界的崩溃），又想全面地叙述时代地各个侧面，最后地结果是两头都不沾</w:t>
      </w:r>
      <w:r w:rsidR="009A6169">
        <w:rPr>
          <w:rFonts w:ascii="楷体" w:eastAsia="楷体" w:hAnsi="楷体" w:hint="eastAsia"/>
          <w:sz w:val="24"/>
          <w:szCs w:val="28"/>
        </w:rPr>
        <w:t>。本书显然放弃了前一种尝试，而专注于将不同领域的线索呈现在读者的眼前，同时做到了微观与宏观相平衡，既有历史事件的细节脉络，又有事后的回顾总结，即使关于这整个时代（1</w:t>
      </w:r>
      <w:r w:rsidR="009A6169">
        <w:rPr>
          <w:rFonts w:ascii="楷体" w:eastAsia="楷体" w:hAnsi="楷体"/>
          <w:sz w:val="24"/>
          <w:szCs w:val="28"/>
        </w:rPr>
        <w:t>648-1815</w:t>
      </w:r>
      <w:r w:rsidR="009A6169">
        <w:rPr>
          <w:rFonts w:ascii="楷体" w:eastAsia="楷体" w:hAnsi="楷体" w:hint="eastAsia"/>
          <w:sz w:val="24"/>
          <w:szCs w:val="28"/>
        </w:rPr>
        <w:t>）作者没有给出全面的简要结论，但作者不难通过阅读本书，收获自己的想法。</w:t>
      </w:r>
      <w:r w:rsidR="0007060A">
        <w:rPr>
          <w:rFonts w:ascii="楷体" w:eastAsia="楷体" w:hAnsi="楷体" w:hint="eastAsia"/>
          <w:sz w:val="24"/>
          <w:szCs w:val="28"/>
        </w:rPr>
        <w:t>作者简洁清晰的分类，使得需要用来提示重要事件的书签也无需太多，因为大多数时候目录就已足够读者查询内容。</w:t>
      </w:r>
    </w:p>
    <w:p w14:paraId="0DB590E3" w14:textId="49E21341" w:rsidR="009A6169" w:rsidRDefault="004C6E0A" w:rsidP="008F54D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至于本书的遗憾，那到不能算是作者的缺陷，只能说是随着欧洲“走向”（这当然是一种带有目的论色彩的说法）</w:t>
      </w:r>
      <w:r w:rsidR="00C574ED">
        <w:rPr>
          <w:rFonts w:ascii="楷体" w:eastAsia="楷体" w:hAnsi="楷体" w:hint="eastAsia"/>
          <w:sz w:val="24"/>
          <w:szCs w:val="28"/>
        </w:rPr>
        <w:t>现代，要想真正“全面”地掌握每一个学科的发展历史，已不大可能。本书社会经济史和政治战争史的部分都比较全面，但文化和思想史（特别是哲学、科学史）的部分则有些不足；对于“地理大发现”后的欧洲世界，如何愈发紧密地（或者说有初步的趋势）与全球联系在一起，也还有着更广阔的着墨空间。</w:t>
      </w:r>
    </w:p>
    <w:p w14:paraId="01097697" w14:textId="21EAD14D" w:rsidR="00664571" w:rsidRDefault="000177EB" w:rsidP="008F54D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本书的第一部分“生与死”，关注的是这一时期的社会</w:t>
      </w:r>
      <w:r w:rsidR="00FA2337">
        <w:rPr>
          <w:rFonts w:ascii="楷体" w:eastAsia="楷体" w:hAnsi="楷体" w:hint="eastAsia"/>
          <w:sz w:val="24"/>
          <w:szCs w:val="28"/>
        </w:rPr>
        <w:t>、</w:t>
      </w:r>
      <w:r>
        <w:rPr>
          <w:rFonts w:ascii="楷体" w:eastAsia="楷体" w:hAnsi="楷体" w:hint="eastAsia"/>
          <w:sz w:val="24"/>
          <w:szCs w:val="28"/>
        </w:rPr>
        <w:t>经济与</w:t>
      </w:r>
      <w:r w:rsidR="00A303C4">
        <w:rPr>
          <w:rFonts w:ascii="楷体" w:eastAsia="楷体" w:hAnsi="楷体" w:hint="eastAsia"/>
          <w:sz w:val="24"/>
          <w:szCs w:val="28"/>
        </w:rPr>
        <w:t>大众生活层面</w:t>
      </w:r>
      <w:r w:rsidR="002A2631">
        <w:rPr>
          <w:rFonts w:ascii="楷体" w:eastAsia="楷体" w:hAnsi="楷体" w:hint="eastAsia"/>
          <w:sz w:val="24"/>
          <w:szCs w:val="28"/>
        </w:rPr>
        <w:t>，对于了解同时代一般人的生活与环境，有着相当大的帮助，但在这里就不作详细的探讨。在陆路交通中提到了颇可注意的一点，“（1</w:t>
      </w:r>
      <w:r w:rsidR="002A2631">
        <w:rPr>
          <w:rFonts w:ascii="楷体" w:eastAsia="楷体" w:hAnsi="楷体"/>
          <w:sz w:val="24"/>
          <w:szCs w:val="28"/>
        </w:rPr>
        <w:t>7</w:t>
      </w:r>
      <w:r w:rsidR="002A2631">
        <w:rPr>
          <w:rFonts w:ascii="楷体" w:eastAsia="楷体" w:hAnsi="楷体" w:hint="eastAsia"/>
          <w:sz w:val="24"/>
          <w:szCs w:val="28"/>
        </w:rPr>
        <w:t>、1</w:t>
      </w:r>
      <w:r w:rsidR="002A2631">
        <w:rPr>
          <w:rFonts w:ascii="楷体" w:eastAsia="楷体" w:hAnsi="楷体"/>
          <w:sz w:val="24"/>
          <w:szCs w:val="28"/>
        </w:rPr>
        <w:t>8</w:t>
      </w:r>
      <w:r w:rsidR="002A2631">
        <w:rPr>
          <w:rFonts w:ascii="楷体" w:eastAsia="楷体" w:hAnsi="楷体" w:hint="eastAsia"/>
          <w:sz w:val="24"/>
          <w:szCs w:val="28"/>
        </w:rPr>
        <w:t>世纪）欧洲的道路基本上是罗马帝国的遗产——尽管已经被疏于照管了1</w:t>
      </w:r>
      <w:r w:rsidR="002A2631">
        <w:rPr>
          <w:rFonts w:ascii="楷体" w:eastAsia="楷体" w:hAnsi="楷体"/>
          <w:sz w:val="24"/>
          <w:szCs w:val="28"/>
        </w:rPr>
        <w:t>400</w:t>
      </w:r>
      <w:r w:rsidR="002A2631">
        <w:rPr>
          <w:rFonts w:ascii="楷体" w:eastAsia="楷体" w:hAnsi="楷体" w:hint="eastAsia"/>
          <w:sz w:val="24"/>
          <w:szCs w:val="28"/>
        </w:rPr>
        <w:t>多年。”这可算是中世纪欧洲</w:t>
      </w:r>
      <w:r w:rsidR="002D4427">
        <w:rPr>
          <w:rFonts w:ascii="楷体" w:eastAsia="楷体" w:hAnsi="楷体" w:hint="eastAsia"/>
          <w:sz w:val="24"/>
          <w:szCs w:val="28"/>
        </w:rPr>
        <w:t>社会经济衰落的显著证据，所谓“黑暗时代”就算是夸大其词，也不能算漫谈无根。</w:t>
      </w:r>
    </w:p>
    <w:p w14:paraId="486C39E2" w14:textId="2938B14D" w:rsidR="002D4427" w:rsidRDefault="0030264F" w:rsidP="008F54D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承续着新教改革的余波，这一时期宗教冲突的烈度总体上要小了许多，不仅新教徒的数量稳步增长，不信基督者的数量也在大量增加，特别见于知识分子中间</w:t>
      </w:r>
      <w:r w:rsidR="000A40B4">
        <w:rPr>
          <w:rFonts w:ascii="楷体" w:eastAsia="楷体" w:hAnsi="楷体" w:hint="eastAsia"/>
          <w:sz w:val="24"/>
          <w:szCs w:val="28"/>
        </w:rPr>
        <w:t>。令人哑然失笑的，一些教士乃至主教还是唯物主义的信仰者，如法国的德·布里耶纳（约1</w:t>
      </w:r>
      <w:r w:rsidR="000A40B4">
        <w:rPr>
          <w:rFonts w:ascii="楷体" w:eastAsia="楷体" w:hAnsi="楷体"/>
          <w:sz w:val="24"/>
          <w:szCs w:val="28"/>
        </w:rPr>
        <w:t>727-</w:t>
      </w:r>
      <w:r w:rsidR="000A40B4">
        <w:rPr>
          <w:rFonts w:ascii="楷体" w:eastAsia="楷体" w:hAnsi="楷体" w:hint="eastAsia"/>
          <w:sz w:val="24"/>
          <w:szCs w:val="28"/>
        </w:rPr>
        <w:t>约1</w:t>
      </w:r>
      <w:r w:rsidR="000A40B4">
        <w:rPr>
          <w:rFonts w:ascii="楷体" w:eastAsia="楷体" w:hAnsi="楷体"/>
          <w:sz w:val="24"/>
          <w:szCs w:val="28"/>
        </w:rPr>
        <w:t>793</w:t>
      </w:r>
      <w:r w:rsidR="000A40B4">
        <w:rPr>
          <w:rFonts w:ascii="楷体" w:eastAsia="楷体" w:hAnsi="楷体" w:hint="eastAsia"/>
          <w:sz w:val="24"/>
          <w:szCs w:val="28"/>
        </w:rPr>
        <w:t>）</w:t>
      </w:r>
      <w:r w:rsidR="007E5AC6">
        <w:rPr>
          <w:rFonts w:ascii="楷体" w:eastAsia="楷体" w:hAnsi="楷体" w:hint="eastAsia"/>
          <w:sz w:val="24"/>
          <w:szCs w:val="28"/>
        </w:rPr>
        <w:t>。但如同中世纪盛期的到来伴随着教权的鼎峰，“理性时代”（就启蒙运动而言）</w:t>
      </w:r>
      <w:r w:rsidR="004833F9">
        <w:rPr>
          <w:rFonts w:ascii="楷体" w:eastAsia="楷体" w:hAnsi="楷体" w:hint="eastAsia"/>
          <w:sz w:val="24"/>
          <w:szCs w:val="28"/>
        </w:rPr>
        <w:t>并不意味着宗教信仰被无神论全面的取代，相反，统一的宗教权威的消失反倒与民间逐渐高涨的宗教热情相同步（其中或许也有社会经济增长的因素在内），1</w:t>
      </w:r>
      <w:r w:rsidR="004833F9">
        <w:rPr>
          <w:rFonts w:ascii="楷体" w:eastAsia="楷体" w:hAnsi="楷体"/>
          <w:sz w:val="24"/>
          <w:szCs w:val="28"/>
        </w:rPr>
        <w:t>648</w:t>
      </w:r>
      <w:r w:rsidR="004833F9">
        <w:rPr>
          <w:rFonts w:ascii="楷体" w:eastAsia="楷体" w:hAnsi="楷体" w:hint="eastAsia"/>
          <w:sz w:val="24"/>
          <w:szCs w:val="28"/>
        </w:rPr>
        <w:t>年后欧洲见证了朝圣活动的大复苏，马丁·路德</w:t>
      </w:r>
      <w:r w:rsidR="009E38D4">
        <w:rPr>
          <w:rFonts w:ascii="楷体" w:eastAsia="楷体" w:hAnsi="楷体" w:hint="eastAsia"/>
          <w:sz w:val="24"/>
          <w:szCs w:val="28"/>
        </w:rPr>
        <w:t>改革拯救基督教信仰的努力，至少在平信徒间部分得到了印证。</w:t>
      </w:r>
      <w:r w:rsidR="001D7DD1">
        <w:rPr>
          <w:rFonts w:ascii="楷体" w:eastAsia="楷体" w:hAnsi="楷体" w:hint="eastAsia"/>
          <w:sz w:val="24"/>
          <w:szCs w:val="28"/>
        </w:rPr>
        <w:t>而且就算是那些对天主教廷激烈反对的启蒙思想家们，有许多也只是用另一套相对宽容的基督教信仰来反对天主教的</w:t>
      </w:r>
      <w:r w:rsidR="007711A9">
        <w:rPr>
          <w:rFonts w:ascii="楷体" w:eastAsia="楷体" w:hAnsi="楷体" w:hint="eastAsia"/>
          <w:sz w:val="24"/>
          <w:szCs w:val="28"/>
        </w:rPr>
        <w:t>专制</w:t>
      </w:r>
      <w:r w:rsidR="001D7DD1">
        <w:rPr>
          <w:rFonts w:ascii="楷体" w:eastAsia="楷体" w:hAnsi="楷体" w:hint="eastAsia"/>
          <w:sz w:val="24"/>
          <w:szCs w:val="28"/>
        </w:rPr>
        <w:t>权威，而不是</w:t>
      </w:r>
      <w:r w:rsidR="00F10E68">
        <w:rPr>
          <w:rFonts w:ascii="楷体" w:eastAsia="楷体" w:hAnsi="楷体" w:hint="eastAsia"/>
          <w:sz w:val="24"/>
          <w:szCs w:val="28"/>
        </w:rPr>
        <w:t>基于</w:t>
      </w:r>
      <w:r w:rsidR="001D7DD1">
        <w:rPr>
          <w:rFonts w:ascii="楷体" w:eastAsia="楷体" w:hAnsi="楷体" w:hint="eastAsia"/>
          <w:sz w:val="24"/>
          <w:szCs w:val="28"/>
        </w:rPr>
        <w:t>唯物的无神论信仰。</w:t>
      </w:r>
    </w:p>
    <w:p w14:paraId="7EF6B0A9" w14:textId="0AA5F3E3" w:rsidR="007A3C33" w:rsidRDefault="007A3C33" w:rsidP="009A6169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对启蒙运动本身只有侧面或剖面式的片段描摹，对其在政治上的重大影响——法国大革命——着墨较多，但对启蒙运动的来龙去脉则没有直接描写。无可置疑的是，启蒙运动是对这一时期思想界最为重要、影响最为深远的思潮的指代，启蒙运动至少有两方面的重要推力：一是近代科学早期体系的建立和初步成果的涌现，</w:t>
      </w:r>
      <w:r w:rsidR="00C8496B">
        <w:rPr>
          <w:rFonts w:ascii="楷体" w:eastAsia="楷体" w:hAnsi="楷体" w:hint="eastAsia"/>
          <w:sz w:val="24"/>
          <w:szCs w:val="28"/>
        </w:rPr>
        <w:t>以</w:t>
      </w:r>
      <w:r>
        <w:rPr>
          <w:rFonts w:ascii="楷体" w:eastAsia="楷体" w:hAnsi="楷体" w:hint="eastAsia"/>
          <w:sz w:val="24"/>
          <w:szCs w:val="28"/>
        </w:rPr>
        <w:t>伽利略</w:t>
      </w:r>
      <w:r w:rsidR="00C8496B">
        <w:rPr>
          <w:rFonts w:ascii="楷体" w:eastAsia="楷体" w:hAnsi="楷体" w:hint="eastAsia"/>
          <w:sz w:val="24"/>
          <w:szCs w:val="28"/>
        </w:rPr>
        <w:t>、笛卡尔为开创者，牛顿为这一时期的代表人物和高峰，“理性”的力量为知识分子所重视；</w:t>
      </w:r>
      <w:r w:rsidR="00FB11EC">
        <w:rPr>
          <w:rFonts w:ascii="楷体" w:eastAsia="楷体" w:hAnsi="楷体" w:hint="eastAsia"/>
          <w:sz w:val="24"/>
          <w:szCs w:val="28"/>
        </w:rPr>
        <w:t>二是</w:t>
      </w:r>
      <w:r w:rsidR="00262F54">
        <w:rPr>
          <w:rFonts w:ascii="楷体" w:eastAsia="楷体" w:hAnsi="楷体" w:hint="eastAsia"/>
          <w:sz w:val="24"/>
          <w:szCs w:val="28"/>
        </w:rPr>
        <w:t>对人民大众权力的重视，天赋人权、社会契约等一系列启蒙思想赋予了一般百姓更多的权力，相应的要求王权、贵族权力的</w:t>
      </w:r>
      <w:r w:rsidR="00262F54">
        <w:rPr>
          <w:rFonts w:ascii="楷体" w:eastAsia="楷体" w:hAnsi="楷体" w:hint="eastAsia"/>
          <w:sz w:val="24"/>
          <w:szCs w:val="28"/>
        </w:rPr>
        <w:lastRenderedPageBreak/>
        <w:t>限制乃至彻底消除，人人生而平等的理念得到广泛传播</w:t>
      </w:r>
      <w:r w:rsidR="001D6053">
        <w:rPr>
          <w:rFonts w:ascii="楷体" w:eastAsia="楷体" w:hAnsi="楷体" w:hint="eastAsia"/>
          <w:sz w:val="24"/>
          <w:szCs w:val="28"/>
        </w:rPr>
        <w:t>。后一种思潮的出现，是否是希腊、罗马古典公民精神的复兴，还是一种只属于</w:t>
      </w:r>
      <w:r w:rsidR="00827816">
        <w:rPr>
          <w:rFonts w:ascii="楷体" w:eastAsia="楷体" w:hAnsi="楷体" w:hint="eastAsia"/>
          <w:sz w:val="24"/>
          <w:szCs w:val="28"/>
        </w:rPr>
        <w:t>后文艺复兴时代的独立创造，还需要进一步对启蒙运动的起源作探讨，才能得出更可靠的结论。但无论如何，上述的那些有别于中世纪欧洲的普遍理念，已成为了现代西方普世价值的重要组成。</w:t>
      </w:r>
    </w:p>
    <w:p w14:paraId="1B8A11AD" w14:textId="5855DE56" w:rsidR="00827816" w:rsidRDefault="00A0061A" w:rsidP="008F54D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这一时期也是全欧洲大大小小战争不断的时期，其实直到第二次世界大战之后联合国体系的建立，欧洲才迎来了相对持久的和平。</w:t>
      </w:r>
      <w:r w:rsidR="009A5BEE">
        <w:rPr>
          <w:rFonts w:ascii="楷体" w:eastAsia="楷体" w:hAnsi="楷体" w:hint="eastAsia"/>
          <w:sz w:val="24"/>
          <w:szCs w:val="28"/>
        </w:rPr>
        <w:t>虽然如此，我们回过头去看1</w:t>
      </w:r>
      <w:r w:rsidR="009A5BEE">
        <w:rPr>
          <w:rFonts w:ascii="楷体" w:eastAsia="楷体" w:hAnsi="楷体"/>
          <w:sz w:val="24"/>
          <w:szCs w:val="28"/>
        </w:rPr>
        <w:t>648-1815</w:t>
      </w:r>
      <w:r w:rsidR="009A5BEE">
        <w:rPr>
          <w:rFonts w:ascii="楷体" w:eastAsia="楷体" w:hAnsi="楷体" w:hint="eastAsia"/>
          <w:sz w:val="24"/>
          <w:szCs w:val="28"/>
        </w:rPr>
        <w:t>年，只有两场战争值得持久的关注，并成为标志性的事件而被后人所铭记。第一场是在1</w:t>
      </w:r>
      <w:r w:rsidR="009A5BEE">
        <w:rPr>
          <w:rFonts w:ascii="楷体" w:eastAsia="楷体" w:hAnsi="楷体"/>
          <w:sz w:val="24"/>
          <w:szCs w:val="28"/>
        </w:rPr>
        <w:t>648</w:t>
      </w:r>
      <w:r w:rsidR="009A5BEE">
        <w:rPr>
          <w:rFonts w:ascii="楷体" w:eastAsia="楷体" w:hAnsi="楷体" w:hint="eastAsia"/>
          <w:sz w:val="24"/>
          <w:szCs w:val="28"/>
        </w:rPr>
        <w:t>年签订的《威斯特伐利亚和约》所结束的三十年战争，</w:t>
      </w:r>
      <w:r w:rsidR="00E06107">
        <w:rPr>
          <w:rFonts w:ascii="楷体" w:eastAsia="楷体" w:hAnsi="楷体" w:hint="eastAsia"/>
          <w:sz w:val="24"/>
          <w:szCs w:val="28"/>
        </w:rPr>
        <w:t>另一场是</w:t>
      </w:r>
      <w:r w:rsidR="00C82AE1">
        <w:rPr>
          <w:rFonts w:ascii="楷体" w:eastAsia="楷体" w:hAnsi="楷体" w:hint="eastAsia"/>
          <w:sz w:val="24"/>
          <w:szCs w:val="28"/>
        </w:rPr>
        <w:t>最终结束于1</w:t>
      </w:r>
      <w:r w:rsidR="00C82AE1">
        <w:rPr>
          <w:rFonts w:ascii="楷体" w:eastAsia="楷体" w:hAnsi="楷体"/>
          <w:sz w:val="24"/>
          <w:szCs w:val="28"/>
        </w:rPr>
        <w:t>815</w:t>
      </w:r>
      <w:r w:rsidR="00C82AE1">
        <w:rPr>
          <w:rFonts w:ascii="楷体" w:eastAsia="楷体" w:hAnsi="楷体" w:hint="eastAsia"/>
          <w:sz w:val="24"/>
          <w:szCs w:val="28"/>
        </w:rPr>
        <w:t>年的法国革命战争（包括拿破仑战争）。</w:t>
      </w:r>
      <w:r w:rsidR="001E3A8B">
        <w:rPr>
          <w:rFonts w:ascii="楷体" w:eastAsia="楷体" w:hAnsi="楷体" w:hint="eastAsia"/>
          <w:sz w:val="24"/>
          <w:szCs w:val="28"/>
        </w:rPr>
        <w:t>虽然作者将“权力”（即政治）放在了第二部分，“战争与和平”放在第四部分，但就像作者引用的克劳塞维茨的名言“战争只是政治通过另一种手段的延续”所说的一样，战争与政治、权力的争夺密不可分，互为表里，互为因果。三十年战争的结束，近代民族国家的雏形已经在欧洲大陆出现；法国革命战争结束之时，启蒙运动的思想得到了它最广泛的传播。</w:t>
      </w:r>
      <w:r w:rsidR="005D3825">
        <w:rPr>
          <w:rFonts w:ascii="楷体" w:eastAsia="楷体" w:hAnsi="楷体" w:hint="eastAsia"/>
          <w:sz w:val="24"/>
          <w:szCs w:val="28"/>
        </w:rPr>
        <w:t>在战争与变革之中，国家、民族、人民，是作者所归纳的三驾马车，国家与民族不仅是知识分子的建构，也是一般大众的热情参与。反而是在知识分子间还有着基督教世界解体后，由于共享希腊、罗马精神遗产，世界主义（或者说欧洲主义）的主张为启蒙思想家（如狄德罗、吉本）所认可。</w:t>
      </w:r>
      <w:r w:rsidR="002F704B">
        <w:rPr>
          <w:rFonts w:ascii="楷体" w:eastAsia="楷体" w:hAnsi="楷体" w:hint="eastAsia"/>
          <w:sz w:val="24"/>
          <w:szCs w:val="28"/>
        </w:rPr>
        <w:t>但在相当长的一段时间内，欧洲并没有得到统一（最后通过欧盟实现），其原因或许与古希腊时代的诸城邦类似。</w:t>
      </w:r>
      <w:r w:rsidR="005D3825">
        <w:rPr>
          <w:rFonts w:ascii="楷体" w:eastAsia="楷体" w:hAnsi="楷体" w:hint="eastAsia"/>
          <w:sz w:val="24"/>
          <w:szCs w:val="28"/>
        </w:rPr>
        <w:t>虽然国家意识的建构过程不是本书重点描述的对象，但毫无疑问，这一时期无论是一般的城市居民，还是</w:t>
      </w:r>
      <w:r w:rsidR="00665779">
        <w:rPr>
          <w:rFonts w:ascii="楷体" w:eastAsia="楷体" w:hAnsi="楷体" w:hint="eastAsia"/>
          <w:sz w:val="24"/>
          <w:szCs w:val="28"/>
        </w:rPr>
        <w:t>贵族与</w:t>
      </w:r>
      <w:r w:rsidR="005D3825">
        <w:rPr>
          <w:rFonts w:ascii="楷体" w:eastAsia="楷体" w:hAnsi="楷体" w:hint="eastAsia"/>
          <w:sz w:val="24"/>
          <w:szCs w:val="28"/>
        </w:rPr>
        <w:t>国王</w:t>
      </w:r>
      <w:r w:rsidR="00665779">
        <w:rPr>
          <w:rFonts w:ascii="楷体" w:eastAsia="楷体" w:hAnsi="楷体" w:hint="eastAsia"/>
          <w:sz w:val="24"/>
          <w:szCs w:val="28"/>
        </w:rPr>
        <w:t>（突出的例子是普鲁士的腓特烈二世与法国的路易十四）</w:t>
      </w:r>
      <w:r w:rsidR="005D3825">
        <w:rPr>
          <w:rFonts w:ascii="楷体" w:eastAsia="楷体" w:hAnsi="楷体" w:hint="eastAsia"/>
          <w:sz w:val="24"/>
          <w:szCs w:val="28"/>
        </w:rPr>
        <w:t>，</w:t>
      </w:r>
      <w:r w:rsidR="00665779">
        <w:rPr>
          <w:rFonts w:ascii="楷体" w:eastAsia="楷体" w:hAnsi="楷体" w:hint="eastAsia"/>
          <w:sz w:val="24"/>
          <w:szCs w:val="28"/>
        </w:rPr>
        <w:t>一个超越任何单独个人存在的“国家利益”已成为相当程度的共识，虽然不意味着人人都会为此而努力。</w:t>
      </w:r>
    </w:p>
    <w:p w14:paraId="35A8792C" w14:textId="586F8810" w:rsidR="005E4D8E" w:rsidRDefault="005E4D8E" w:rsidP="009A6169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托克维尔在《旧制度与大革命》中谈及革命的爆发，波旁王朝被视为坏政府的典型。但同样也是法国，为欧洲大陆思想最为进步、启蒙精神最为</w:t>
      </w:r>
      <w:r w:rsidR="008B2869">
        <w:rPr>
          <w:rFonts w:ascii="楷体" w:eastAsia="楷体" w:hAnsi="楷体" w:hint="eastAsia"/>
          <w:sz w:val="24"/>
          <w:szCs w:val="28"/>
        </w:rPr>
        <w:t>深入社会、启蒙思想家最多的地方。</w:t>
      </w:r>
      <w:r w:rsidR="004A38B6">
        <w:rPr>
          <w:rFonts w:ascii="楷体" w:eastAsia="楷体" w:hAnsi="楷体" w:hint="eastAsia"/>
          <w:sz w:val="24"/>
          <w:szCs w:val="28"/>
        </w:rPr>
        <w:t>国王路易的“专制主义”统治对此没有什么促进作用，不过是延缓了从思想到实践的变革过程，并使得这一过程更加剧烈</w:t>
      </w:r>
      <w:r w:rsidR="00EA4BB9">
        <w:rPr>
          <w:rFonts w:ascii="楷体" w:eastAsia="楷体" w:hAnsi="楷体" w:hint="eastAsia"/>
          <w:sz w:val="24"/>
          <w:szCs w:val="28"/>
        </w:rPr>
        <w:t>。法国在大革命中扮演了启蒙运动思想的先锋，但却在相当长一段时间内并未收获思想家们所期待的安定、人人平等而普遍幸福的社会，新制度最早在政治相对平稳的英国以及新生的美国站稳脚跟，</w:t>
      </w:r>
      <w:r w:rsidR="00FF4A73">
        <w:rPr>
          <w:rFonts w:ascii="楷体" w:eastAsia="楷体" w:hAnsi="楷体" w:hint="eastAsia"/>
          <w:sz w:val="24"/>
          <w:szCs w:val="28"/>
        </w:rPr>
        <w:t>虽然前者是在吸取了法国革命的教训之后，也就是在1</w:t>
      </w:r>
      <w:r w:rsidR="00FF4A73">
        <w:rPr>
          <w:rFonts w:ascii="楷体" w:eastAsia="楷体" w:hAnsi="楷体"/>
          <w:sz w:val="24"/>
          <w:szCs w:val="28"/>
        </w:rPr>
        <w:t>815</w:t>
      </w:r>
      <w:r w:rsidR="00FF4A73">
        <w:rPr>
          <w:rFonts w:ascii="楷体" w:eastAsia="楷体" w:hAnsi="楷体" w:hint="eastAsia"/>
          <w:sz w:val="24"/>
          <w:szCs w:val="28"/>
        </w:rPr>
        <w:t>年以后。</w:t>
      </w:r>
      <w:r w:rsidR="00F933AA">
        <w:rPr>
          <w:rFonts w:ascii="楷体" w:eastAsia="楷体" w:hAnsi="楷体" w:hint="eastAsia"/>
          <w:sz w:val="24"/>
          <w:szCs w:val="28"/>
        </w:rPr>
        <w:t>“</w:t>
      </w:r>
      <w:r w:rsidR="00F933AA" w:rsidRPr="00F933AA">
        <w:rPr>
          <w:rFonts w:ascii="楷体" w:eastAsia="楷体" w:hAnsi="楷体" w:hint="eastAsia"/>
          <w:sz w:val="24"/>
          <w:szCs w:val="28"/>
        </w:rPr>
        <w:t>有史以来，还没有过一个理想的目的是用非理想的、不人道的手段达成的，正如历史上没有一个自由社会是由奴隶造成的一样。</w:t>
      </w:r>
      <w:r w:rsidR="00F933AA">
        <w:rPr>
          <w:rFonts w:ascii="楷体" w:eastAsia="楷体" w:hAnsi="楷体" w:hint="eastAsia"/>
          <w:sz w:val="24"/>
          <w:szCs w:val="28"/>
        </w:rPr>
        <w:t>”吉拉斯在《新阶级》中所作的判断，从来未曾被历史所推翻。</w:t>
      </w:r>
    </w:p>
    <w:p w14:paraId="49C3B942" w14:textId="2FEAD36B" w:rsidR="00F933AA" w:rsidRDefault="00061DD3" w:rsidP="009A6169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笔者在上一本企鹅欧洲史的笔记中所提出的一些问题，本书中提供了</w:t>
      </w:r>
      <w:r w:rsidR="009E601E">
        <w:rPr>
          <w:rFonts w:ascii="楷体" w:eastAsia="楷体" w:hAnsi="楷体" w:hint="eastAsia"/>
          <w:sz w:val="24"/>
          <w:szCs w:val="28"/>
        </w:rPr>
        <w:t>部分的</w:t>
      </w:r>
      <w:r>
        <w:rPr>
          <w:rFonts w:ascii="楷体" w:eastAsia="楷体" w:hAnsi="楷体" w:hint="eastAsia"/>
          <w:sz w:val="24"/>
          <w:szCs w:val="28"/>
        </w:rPr>
        <w:t>解答。</w:t>
      </w:r>
      <w:r w:rsidR="009E601E">
        <w:rPr>
          <w:rFonts w:ascii="楷体" w:eastAsia="楷体" w:hAnsi="楷体" w:hint="eastAsia"/>
          <w:sz w:val="24"/>
          <w:szCs w:val="28"/>
        </w:rPr>
        <w:t>一是随着欧洲自身已不太注重宗教信仰在政治中的决定性作用，奥斯曼土耳其的形象也从“基督教世界的入侵者”变成了纷争的列强之一，欧洲各国也可以出于暂时的利益考虑而与奥斯曼结盟，如法国便长时间视奥斯曼为在东欧的天然盟友。</w:t>
      </w:r>
      <w:r w:rsidR="003236FF">
        <w:rPr>
          <w:rFonts w:ascii="楷体" w:eastAsia="楷体" w:hAnsi="楷体" w:hint="eastAsia"/>
          <w:sz w:val="24"/>
          <w:szCs w:val="28"/>
        </w:rPr>
        <w:t>二是新教改革</w:t>
      </w:r>
      <w:r w:rsidR="003472FE">
        <w:rPr>
          <w:rFonts w:ascii="楷体" w:eastAsia="楷体" w:hAnsi="楷体" w:hint="eastAsia"/>
          <w:sz w:val="24"/>
          <w:szCs w:val="28"/>
        </w:rPr>
        <w:t>所带来的积极影响，似乎都不是独特的，无论是由于强调所有平信徒都应该直接阅读《圣经》而推动的教育普及，还是对天主教会专制权威的的抨击，同一领域还有其他因素也在发挥作用，新教改革或许重要但并非无可替代。</w:t>
      </w:r>
    </w:p>
    <w:p w14:paraId="5EBD8B82" w14:textId="59FAF245" w:rsidR="00816E6E" w:rsidRPr="00A10842" w:rsidRDefault="00C8163E" w:rsidP="009A6169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在后来人的视野中，首先发生于英国的“工业革命”也是这一时期改变世界的至关重要之事，但就作者所列出的证据来看，1</w:t>
      </w:r>
      <w:r>
        <w:rPr>
          <w:rFonts w:ascii="楷体" w:eastAsia="楷体" w:hAnsi="楷体"/>
          <w:sz w:val="24"/>
          <w:szCs w:val="28"/>
        </w:rPr>
        <w:t>9</w:t>
      </w:r>
      <w:r>
        <w:rPr>
          <w:rFonts w:ascii="楷体" w:eastAsia="楷体" w:hAnsi="楷体" w:hint="eastAsia"/>
          <w:sz w:val="24"/>
          <w:szCs w:val="28"/>
        </w:rPr>
        <w:t>世纪初期发明的铁路和在上一世纪中后期出现的改良蒸汽动力（瓦特）产生的作用都是渐进的，至少在当时</w:t>
      </w:r>
      <w:r>
        <w:rPr>
          <w:rFonts w:ascii="楷体" w:eastAsia="楷体" w:hAnsi="楷体" w:hint="eastAsia"/>
          <w:sz w:val="24"/>
          <w:szCs w:val="28"/>
        </w:rPr>
        <w:lastRenderedPageBreak/>
        <w:t>人们对此还没有现代人那么激动。工业革命能够最早在英国出现，确实体现了不列颠所具有的</w:t>
      </w:r>
      <w:r w:rsidR="008E1C39">
        <w:rPr>
          <w:rFonts w:ascii="楷体" w:eastAsia="楷体" w:hAnsi="楷体" w:hint="eastAsia"/>
          <w:sz w:val="24"/>
          <w:szCs w:val="28"/>
        </w:rPr>
        <w:t>政治、经济、资源多方面的综合优势，对当时的英国人来说，这是他们引以为豪的自由、新教和繁荣三块伟大基石为基础的整个文化的胜利（作者原意指的是英国人对军事胜利的得意）。</w:t>
      </w:r>
    </w:p>
    <w:sectPr w:rsidR="00816E6E" w:rsidRPr="00A1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9E36" w14:textId="77777777" w:rsidR="00B066C7" w:rsidRDefault="00B066C7" w:rsidP="00594F94">
      <w:r>
        <w:separator/>
      </w:r>
    </w:p>
  </w:endnote>
  <w:endnote w:type="continuationSeparator" w:id="0">
    <w:p w14:paraId="508CB3E2" w14:textId="77777777" w:rsidR="00B066C7" w:rsidRDefault="00B066C7" w:rsidP="00594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5393" w14:textId="77777777" w:rsidR="00B066C7" w:rsidRDefault="00B066C7" w:rsidP="00594F94">
      <w:r>
        <w:separator/>
      </w:r>
    </w:p>
  </w:footnote>
  <w:footnote w:type="continuationSeparator" w:id="0">
    <w:p w14:paraId="3423A6DB" w14:textId="77777777" w:rsidR="00B066C7" w:rsidRDefault="00B066C7" w:rsidP="00594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BE"/>
    <w:rsid w:val="000177EB"/>
    <w:rsid w:val="00061DD3"/>
    <w:rsid w:val="0007060A"/>
    <w:rsid w:val="000A40B4"/>
    <w:rsid w:val="001B67F1"/>
    <w:rsid w:val="001D6053"/>
    <w:rsid w:val="001D7DD1"/>
    <w:rsid w:val="001E3A8B"/>
    <w:rsid w:val="00262F54"/>
    <w:rsid w:val="002A2631"/>
    <w:rsid w:val="002D4427"/>
    <w:rsid w:val="002F704B"/>
    <w:rsid w:val="0030264F"/>
    <w:rsid w:val="003236FF"/>
    <w:rsid w:val="003472FE"/>
    <w:rsid w:val="004563BE"/>
    <w:rsid w:val="004833F9"/>
    <w:rsid w:val="004A38B6"/>
    <w:rsid w:val="004C6E0A"/>
    <w:rsid w:val="00594F94"/>
    <w:rsid w:val="005D3825"/>
    <w:rsid w:val="005E4D8E"/>
    <w:rsid w:val="00664571"/>
    <w:rsid w:val="00665779"/>
    <w:rsid w:val="006F0C89"/>
    <w:rsid w:val="007711A9"/>
    <w:rsid w:val="007A3C33"/>
    <w:rsid w:val="007E5AC6"/>
    <w:rsid w:val="00816E6E"/>
    <w:rsid w:val="00827816"/>
    <w:rsid w:val="00854B5F"/>
    <w:rsid w:val="008730B4"/>
    <w:rsid w:val="008B2869"/>
    <w:rsid w:val="008E1C39"/>
    <w:rsid w:val="008F54DC"/>
    <w:rsid w:val="009A5BEE"/>
    <w:rsid w:val="009A6169"/>
    <w:rsid w:val="009E38D4"/>
    <w:rsid w:val="009E601E"/>
    <w:rsid w:val="00A0061A"/>
    <w:rsid w:val="00A10842"/>
    <w:rsid w:val="00A24846"/>
    <w:rsid w:val="00A303C4"/>
    <w:rsid w:val="00AA757C"/>
    <w:rsid w:val="00B066C7"/>
    <w:rsid w:val="00B33C28"/>
    <w:rsid w:val="00C574ED"/>
    <w:rsid w:val="00C8163E"/>
    <w:rsid w:val="00C82AE1"/>
    <w:rsid w:val="00C8496B"/>
    <w:rsid w:val="00D309E4"/>
    <w:rsid w:val="00E06107"/>
    <w:rsid w:val="00E60BE2"/>
    <w:rsid w:val="00EA4BB9"/>
    <w:rsid w:val="00EC04FE"/>
    <w:rsid w:val="00F10E68"/>
    <w:rsid w:val="00F933AA"/>
    <w:rsid w:val="00FA2337"/>
    <w:rsid w:val="00FB11EC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BD186"/>
  <w15:chartTrackingRefBased/>
  <w15:docId w15:val="{E8FA5423-4FF2-4244-B298-DFAD064D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35</cp:revision>
  <dcterms:created xsi:type="dcterms:W3CDTF">2022-07-11T03:08:00Z</dcterms:created>
  <dcterms:modified xsi:type="dcterms:W3CDTF">2022-07-11T12:38:00Z</dcterms:modified>
</cp:coreProperties>
</file>