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7177" w14:textId="5BEC39C0" w:rsidR="003764F8" w:rsidRDefault="00316071" w:rsidP="0031607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《内北国而外中国》是萧启庆的论文集，收录了二十来篇蒙元史研究的论文，全书的字数也达到了7</w:t>
      </w:r>
      <w:r>
        <w:rPr>
          <w:rFonts w:ascii="楷体" w:eastAsia="楷体" w:hAnsi="楷体"/>
          <w:sz w:val="24"/>
          <w:szCs w:val="28"/>
        </w:rPr>
        <w:t>0</w:t>
      </w:r>
      <w:r>
        <w:rPr>
          <w:rFonts w:ascii="楷体" w:eastAsia="楷体" w:hAnsi="楷体" w:hint="eastAsia"/>
          <w:sz w:val="24"/>
          <w:szCs w:val="28"/>
        </w:rPr>
        <w:t>万字，读其文字，可言蔚为大观。按书目的文章编排次序，或详或略，逐一就文章进行讨论。</w:t>
      </w:r>
    </w:p>
    <w:p w14:paraId="369A639C" w14:textId="5BEEA1B5" w:rsidR="00316071" w:rsidRDefault="00316071" w:rsidP="0031607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蒙古帝国的崛兴与分裂》放在全书的开头，在安排上确为合理。本文更似一种研究的综合，而非专项的研究，作者甚至没有使用任何注解以标明资料的来源。作者从十二世纪初成吉思汗在蒙古的崛起，一直写道忽必烈立国中原，并认为，后者标志着蒙古帝国的名存实亡。在解释蒙古人狂热的征服欲望时，作者认为主要是经济（游牧对农耕社会资源掠夺）、心理（创造“世界帝国”的欲望）在推动，</w:t>
      </w:r>
      <w:r w:rsidR="009829F9">
        <w:rPr>
          <w:rFonts w:ascii="楷体" w:eastAsia="楷体" w:hAnsi="楷体" w:hint="eastAsia"/>
          <w:sz w:val="24"/>
          <w:szCs w:val="28"/>
        </w:rPr>
        <w:t>而气候变迁等原因并不是核心。我们还可以认为，蒙古的征伐欲望可能随着一次又一次的胜利而不断被放大，如滚雪球般。而为何蒙古能屡战屡胜，作者认为东西文明的衰落，与蒙古自身的军事优势，以及连续的优秀继承人都是原因。</w:t>
      </w:r>
    </w:p>
    <w:p w14:paraId="6CBE788A" w14:textId="55C48832" w:rsidR="009829F9" w:rsidRPr="00316071" w:rsidRDefault="009829F9" w:rsidP="00316071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第二篇文字为《元朝的统一与统合：以汉地、江南为中心》，“统合”指的是消弭构成国家的各部门——包括区域、民族、阶级——之间的差异而形成一个向心力高、凝聚力强的政治共同体。</w:t>
      </w:r>
      <w:r w:rsidR="0070539C">
        <w:rPr>
          <w:rFonts w:ascii="楷体" w:eastAsia="楷体" w:hAnsi="楷体" w:hint="eastAsia"/>
          <w:sz w:val="24"/>
          <w:szCs w:val="28"/>
        </w:rPr>
        <w:t>作者先分析统一，再谈统合。作者认为，元朝统一的性质是中原王朝统一战争和蒙古征服战争的混合，不过，笔者以为，并不是所有时候分辨“性质”都是有益、可行、有价值的，倘若过多依赖后见之明，则对分析问题毫无帮助，只是变成了今人的文字游戏罢了。统一的其他点不多谈，就统合来说，本文认为元朝在汉地、江南经济、文化的合流与交融上作得比较好，但意识形态、族群政治参与、民族融合以及阶级鸿沟等问题上不成功，这一失败与蒙古及汉族文化异质性过高及蒙古的征服性格有关。</w:t>
      </w:r>
      <w:r w:rsidR="00BF469E">
        <w:rPr>
          <w:rFonts w:ascii="楷体" w:eastAsia="楷体" w:hAnsi="楷体" w:hint="eastAsia"/>
          <w:sz w:val="24"/>
          <w:szCs w:val="28"/>
        </w:rPr>
        <w:t>而在有的学者看来，从整体上看，元朝实际上并未迈入“统合的门槛”，甚至未能真正实施统合。</w:t>
      </w:r>
    </w:p>
    <w:sectPr w:rsidR="009829F9" w:rsidRPr="00316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38"/>
    <w:rsid w:val="00316071"/>
    <w:rsid w:val="003764F8"/>
    <w:rsid w:val="0070539C"/>
    <w:rsid w:val="0090624F"/>
    <w:rsid w:val="009829F9"/>
    <w:rsid w:val="00BF469E"/>
    <w:rsid w:val="00C1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C46E"/>
  <w15:chartTrackingRefBased/>
  <w15:docId w15:val="{FCEC7E0D-17AE-4355-836A-22436115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2022-11-01T00:21:00Z</dcterms:created>
  <dcterms:modified xsi:type="dcterms:W3CDTF">2022-11-01T00:44:00Z</dcterms:modified>
</cp:coreProperties>
</file>