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174E" w14:textId="6F00E1FD" w:rsidR="00C90FB8" w:rsidRDefault="00D57BAD" w:rsidP="0098322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从瞿同祖的学术生命来看，是不幸的。正值学术壮年，突遭逢大难，从此再未能够有所挥毫</w:t>
      </w:r>
      <w:r w:rsidR="0098322B">
        <w:rPr>
          <w:rFonts w:ascii="楷体" w:eastAsia="楷体" w:hAnsi="楷体" w:hint="eastAsia"/>
          <w:sz w:val="24"/>
          <w:szCs w:val="28"/>
        </w:rPr>
        <w:t>。但其学术成就却也是强劲的，两本著作足以传世，为后人所铭记。一本是《中国法律与中国社会》，还有一本就是《清代地方政府》。</w:t>
      </w:r>
    </w:p>
    <w:p w14:paraId="51C789DE" w14:textId="78E8D143" w:rsidR="0098322B" w:rsidRDefault="0098322B" w:rsidP="0098322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本书的内容实际上并不算很多，抛去比正文还多的注释，本书的中译本只有约1</w:t>
      </w:r>
      <w:r w:rsidR="00FA1797">
        <w:rPr>
          <w:rFonts w:ascii="楷体" w:eastAsia="楷体" w:hAnsi="楷体"/>
          <w:sz w:val="24"/>
          <w:szCs w:val="28"/>
        </w:rPr>
        <w:t>3</w:t>
      </w:r>
      <w:r>
        <w:rPr>
          <w:rFonts w:ascii="楷体" w:eastAsia="楷体" w:hAnsi="楷体" w:hint="eastAsia"/>
          <w:sz w:val="24"/>
          <w:szCs w:val="28"/>
        </w:rPr>
        <w:t>万字。但字多不代表质量好，本书的突出优点在两点：一是资料扎实，二是考察的角度新颖、结论深刻。</w:t>
      </w:r>
      <w:r w:rsidR="00FA1797">
        <w:rPr>
          <w:rFonts w:ascii="楷体" w:eastAsia="楷体" w:hAnsi="楷体" w:hint="eastAsia"/>
          <w:sz w:val="24"/>
          <w:szCs w:val="28"/>
        </w:rPr>
        <w:t>资料扎实，从本书所引资料、文末注释即可一窥，据译者所列数据，作者共引中文史料三百七十种，西文著作六十六种，日文著作二十五种，可称博观约取。</w:t>
      </w:r>
    </w:p>
    <w:p w14:paraId="16B0E3EB" w14:textId="073F4B84" w:rsidR="002B01D8" w:rsidRDefault="002B01D8" w:rsidP="0098322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角度新颖一点，也为译者所强调，下摘取译者所写之序：</w:t>
      </w:r>
    </w:p>
    <w:p w14:paraId="2240C8F8" w14:textId="4BC851E4" w:rsidR="002B01D8" w:rsidRPr="002B01D8" w:rsidRDefault="002B01D8" w:rsidP="002B01D8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2B01D8">
        <w:rPr>
          <w:rFonts w:ascii="楷体" w:eastAsia="楷体" w:hAnsi="楷体" w:hint="eastAsia"/>
          <w:sz w:val="24"/>
          <w:szCs w:val="28"/>
        </w:rPr>
        <w:t>本书的内容重心在于政治或政府体制中的个人及其行</w:t>
      </w:r>
      <w:r w:rsidRPr="002B01D8">
        <w:rPr>
          <w:rFonts w:ascii="楷体" w:eastAsia="楷体" w:hAnsi="楷体"/>
          <w:sz w:val="24"/>
          <w:szCs w:val="28"/>
        </w:rPr>
        <w:t>为，重心在于对政治制度体制传统的完整性认识。</w:t>
      </w:r>
    </w:p>
    <w:p w14:paraId="23353894" w14:textId="46D69A40" w:rsidR="002B01D8" w:rsidRDefault="002B01D8" w:rsidP="002B01D8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2B01D8">
        <w:rPr>
          <w:rFonts w:ascii="楷体" w:eastAsia="楷体" w:hAnsi="楷体" w:hint="eastAsia"/>
          <w:sz w:val="24"/>
          <w:szCs w:val="28"/>
        </w:rPr>
        <w:t>本书的研究视角特别注重非正式的、私人性的因素对传</w:t>
      </w:r>
      <w:r w:rsidRPr="002B01D8">
        <w:rPr>
          <w:rFonts w:ascii="楷体" w:eastAsia="楷体" w:hAnsi="楷体"/>
          <w:sz w:val="24"/>
          <w:szCs w:val="28"/>
        </w:rPr>
        <w:t>统地方政府和政治</w:t>
      </w:r>
      <w:r>
        <w:rPr>
          <w:rFonts w:ascii="楷体" w:eastAsia="楷体" w:hAnsi="楷体" w:hint="eastAsia"/>
          <w:sz w:val="24"/>
          <w:szCs w:val="28"/>
        </w:rPr>
        <w:t>行政的重要影响。</w:t>
      </w:r>
    </w:p>
    <w:p w14:paraId="25ADFB34" w14:textId="0FCFA489" w:rsidR="002B01D8" w:rsidRDefault="002B01D8" w:rsidP="002B01D8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8"/>
        </w:rPr>
      </w:pPr>
      <w:r w:rsidRPr="002B01D8">
        <w:rPr>
          <w:rFonts w:ascii="楷体" w:eastAsia="楷体" w:hAnsi="楷体" w:hint="eastAsia"/>
          <w:sz w:val="24"/>
          <w:szCs w:val="28"/>
        </w:rPr>
        <w:t>运用了从前政治制度史研究者们易于忽视的大量丰富而</w:t>
      </w:r>
      <w:r w:rsidRPr="002B01D8">
        <w:rPr>
          <w:rFonts w:ascii="楷体" w:eastAsia="楷体" w:hAnsi="楷体"/>
          <w:sz w:val="24"/>
          <w:szCs w:val="28"/>
        </w:rPr>
        <w:t>生动的史料</w:t>
      </w:r>
      <w:r>
        <w:rPr>
          <w:rFonts w:ascii="楷体" w:eastAsia="楷体" w:hAnsi="楷体" w:hint="eastAsia"/>
          <w:sz w:val="24"/>
          <w:szCs w:val="28"/>
        </w:rPr>
        <w:t>（笔者按：主要指的是清代官员、幕友所写的笔记）</w:t>
      </w:r>
      <w:r w:rsidRPr="002B01D8">
        <w:rPr>
          <w:rFonts w:ascii="楷体" w:eastAsia="楷体" w:hAnsi="楷体"/>
          <w:sz w:val="24"/>
          <w:szCs w:val="28"/>
        </w:rPr>
        <w:t>，揭示了书面规定的制度与实际运作的制度之间的巨大差异，揭示了在许多行政场合法律并未被执行</w:t>
      </w:r>
      <w:r>
        <w:rPr>
          <w:rFonts w:ascii="楷体" w:eastAsia="楷体" w:hAnsi="楷体" w:hint="eastAsia"/>
          <w:sz w:val="24"/>
          <w:szCs w:val="28"/>
        </w:rPr>
        <w:t>的严重事实，向我们展示了一套更活生生的制度模式。</w:t>
      </w:r>
    </w:p>
    <w:p w14:paraId="2BE7D47E" w14:textId="5CB1DEBB" w:rsidR="000B064B" w:rsidRDefault="000B064B" w:rsidP="008F1297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若不怕重复的话，</w:t>
      </w:r>
      <w:r w:rsidR="008F1297">
        <w:rPr>
          <w:rFonts w:ascii="楷体" w:eastAsia="楷体" w:hAnsi="楷体" w:hint="eastAsia"/>
          <w:sz w:val="24"/>
          <w:szCs w:val="28"/>
        </w:rPr>
        <w:t>我们可以将</w:t>
      </w:r>
      <w:r>
        <w:rPr>
          <w:rFonts w:ascii="楷体" w:eastAsia="楷体" w:hAnsi="楷体" w:hint="eastAsia"/>
          <w:sz w:val="24"/>
          <w:szCs w:val="28"/>
        </w:rPr>
        <w:t>本书整体上的结构分为四个部分，第一部分是讨论清代地方政府州、县在地方行政层级中所处的位置，与上级政府的关系。第二部分分析州县政府的工作人员，从州县官、书吏、衙役、长随一直到幕友</w:t>
      </w:r>
      <w:r w:rsidR="00051ACD">
        <w:rPr>
          <w:rFonts w:ascii="楷体" w:eastAsia="楷体" w:hAnsi="楷体" w:hint="eastAsia"/>
          <w:sz w:val="24"/>
          <w:szCs w:val="28"/>
        </w:rPr>
        <w:t>，除了州县官以外，其他部分的讨论一般遵循“组织、职能、录用与服务期限、经济待遇、贪赃形式、纪律控制”的格式</w:t>
      </w:r>
      <w:r>
        <w:rPr>
          <w:rFonts w:ascii="楷体" w:eastAsia="楷体" w:hAnsi="楷体" w:hint="eastAsia"/>
          <w:sz w:val="24"/>
          <w:szCs w:val="28"/>
        </w:rPr>
        <w:t>。第三部分则从地方政府的职能出发，涵盖了司法、征税、治安等。最后一部分讨论地方士绅与州县政府之关系。</w:t>
      </w:r>
    </w:p>
    <w:p w14:paraId="51CE68B9" w14:textId="55708F97" w:rsidR="00051ACD" w:rsidRDefault="00750F6C" w:rsidP="008F1297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特别值得一谈的，是本文所揭示的清代地方政府中普遍的“陋规”现象，按照作者的分析，“陋规”实际上已经成为了不成文的条例，没有“陋规”，不仅一般的工作人员会出现消极怠工，甚至整个政府都可能运转不起来。</w:t>
      </w:r>
      <w:r w:rsidR="00480F44">
        <w:rPr>
          <w:rFonts w:ascii="楷体" w:eastAsia="楷体" w:hAnsi="楷体" w:hint="eastAsia"/>
          <w:sz w:val="24"/>
          <w:szCs w:val="28"/>
        </w:rPr>
        <w:t>作者认为，清廷之所以了解但不愿意做出努力改变“陋规”，是因为解决的根本方法——增列预算——会减少朝廷的岁入</w:t>
      </w:r>
      <w:r w:rsidR="00F70532">
        <w:rPr>
          <w:rFonts w:ascii="楷体" w:eastAsia="楷体" w:hAnsi="楷体" w:hint="eastAsia"/>
          <w:sz w:val="24"/>
          <w:szCs w:val="28"/>
        </w:rPr>
        <w:t>。</w:t>
      </w:r>
      <w:r w:rsidR="00480F44">
        <w:rPr>
          <w:rFonts w:ascii="楷体" w:eastAsia="楷体" w:hAnsi="楷体" w:hint="eastAsia"/>
          <w:sz w:val="24"/>
          <w:szCs w:val="28"/>
        </w:rPr>
        <w:t>朝廷不愿意承担这样的风险</w:t>
      </w:r>
      <w:r w:rsidR="00F70532">
        <w:rPr>
          <w:rFonts w:ascii="楷体" w:eastAsia="楷体" w:hAnsi="楷体" w:hint="eastAsia"/>
          <w:sz w:val="24"/>
          <w:szCs w:val="28"/>
        </w:rPr>
        <w:t>，于是只能力图将陋规适当规范化，但并不成功，实际上的事态已经超过了中央政府控制之外。</w:t>
      </w:r>
      <w:r w:rsidR="00E216DC">
        <w:rPr>
          <w:rFonts w:ascii="楷体" w:eastAsia="楷体" w:hAnsi="楷体" w:hint="eastAsia"/>
          <w:sz w:val="24"/>
          <w:szCs w:val="28"/>
        </w:rPr>
        <w:t>理论上说，愈是高效的政府，其实际运行规则应愈与明文制度相符合（若不考虑“恶法”的存在）。这里的问题是，像清朝地方政府这样寻常的“陋规”，究竟是清代的特殊情况，抑或是古代政府的普遍情景？若是后者，那不同朝代的“陋规”是否有程度上的区别？同样的问题放在其他古代帝国呢？正是要比较历史的目光，方能有更多有价值的结论。</w:t>
      </w:r>
    </w:p>
    <w:p w14:paraId="5A417749" w14:textId="6FBA508F" w:rsidR="00E216DC" w:rsidRDefault="00E216DC" w:rsidP="008F1297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其次，作者谈到了作为科举考试优胜者的的地方长官和作为</w:t>
      </w:r>
      <w:r w:rsidR="007B6E24">
        <w:rPr>
          <w:rFonts w:ascii="楷体" w:eastAsia="楷体" w:hAnsi="楷体" w:hint="eastAsia"/>
          <w:sz w:val="24"/>
          <w:szCs w:val="28"/>
        </w:rPr>
        <w:t>行政专家的幕友在政府结构中的分工关系，指出在整个清代，行政专家和官员一直分属两个不同的群体，没有融合的可能。但作者也在前文中提到过，一些获得了功名并有资格担任州县长官的士人，曾担任过幕友，因此具备了专业的行政技术，这或许可视为一种培养具有专业行政技能官员的途径。但作者最后的结论也未必失当，如果考虑到有这样经历的人数在所有地方官员中所占的比例，不过作者并没有为我们列出数据。</w:t>
      </w:r>
      <w:r w:rsidR="00F06C10">
        <w:rPr>
          <w:rFonts w:ascii="楷体" w:eastAsia="楷体" w:hAnsi="楷体" w:hint="eastAsia"/>
          <w:sz w:val="24"/>
          <w:szCs w:val="28"/>
        </w:rPr>
        <w:t>笔者认为，行政专家与官员的分流未必会带来行政上的低效，但如果政府无法让政府运作得到行政专家在结构性上的帮助，其低效则是无可置疑的。清代政府似乎有这样的情形，与上述无法解决“陋规”问题</w:t>
      </w:r>
      <w:r w:rsidR="009E1D2E">
        <w:rPr>
          <w:rFonts w:ascii="楷体" w:eastAsia="楷体" w:hAnsi="楷体" w:hint="eastAsia"/>
          <w:sz w:val="24"/>
          <w:szCs w:val="28"/>
        </w:rPr>
        <w:t>反映了</w:t>
      </w:r>
      <w:r w:rsidR="00F06C10">
        <w:rPr>
          <w:rFonts w:ascii="楷体" w:eastAsia="楷体" w:hAnsi="楷体" w:hint="eastAsia"/>
          <w:sz w:val="24"/>
          <w:szCs w:val="28"/>
        </w:rPr>
        <w:t>同样的行政失败。</w:t>
      </w:r>
    </w:p>
    <w:p w14:paraId="59B16BF1" w14:textId="21E642EE" w:rsidR="009E1D2E" w:rsidRPr="009E1D2E" w:rsidRDefault="009E1D2E" w:rsidP="008F1297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lastRenderedPageBreak/>
        <w:t>本书也为我们提出了许多未曾解答的问题，如：散州和县的区别在何处，如果两者在行政层级、职能上没有区别的化，为何要有两个不同的名称？为何知州与知县的官员来源呈现出显著的差异，其反映出了什么问题？作者认为“学绅”是中间阶级，而官绅是与地方官相同阶级，这一划分是否有问题，是否可以将一般的地方士绅都划入中间阶级中？清代地方行政结构的稳定性真的是因为除了普通百姓外，所有其他群体都获得了最大回报吗，是否与元明清社会所呈现出来的停滞性有关系？这些都是值得再开新篇作研究的题目，从这个意义上说，本书是一个良好的基础，但不是句点。</w:t>
      </w:r>
    </w:p>
    <w:sectPr w:rsidR="009E1D2E" w:rsidRPr="009E1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2947"/>
    <w:multiLevelType w:val="hybridMultilevel"/>
    <w:tmpl w:val="4BE4CC7C"/>
    <w:lvl w:ilvl="0" w:tplc="B1045FCA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59666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79"/>
    <w:rsid w:val="00051ACD"/>
    <w:rsid w:val="000B064B"/>
    <w:rsid w:val="002B01D8"/>
    <w:rsid w:val="00480F44"/>
    <w:rsid w:val="00523A79"/>
    <w:rsid w:val="00750F6C"/>
    <w:rsid w:val="007B6E24"/>
    <w:rsid w:val="008F1297"/>
    <w:rsid w:val="0098322B"/>
    <w:rsid w:val="009E1D2E"/>
    <w:rsid w:val="00C90FB8"/>
    <w:rsid w:val="00D57BAD"/>
    <w:rsid w:val="00E216DC"/>
    <w:rsid w:val="00F06C10"/>
    <w:rsid w:val="00F70532"/>
    <w:rsid w:val="00FA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910F"/>
  <w15:chartTrackingRefBased/>
  <w15:docId w15:val="{ADFFE4CD-C7C9-4642-9476-644AA734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1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12</cp:revision>
  <dcterms:created xsi:type="dcterms:W3CDTF">2022-10-21T00:08:00Z</dcterms:created>
  <dcterms:modified xsi:type="dcterms:W3CDTF">2022-10-21T01:24:00Z</dcterms:modified>
</cp:coreProperties>
</file>