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3F67" w14:textId="7A0F151B" w:rsidR="00F55E76" w:rsidRDefault="006378A7" w:rsidP="005E14A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本文是余英时早年的一篇文字，酝酿于新亚书院时期，最终成稿于访学哈佛之际。</w:t>
      </w:r>
      <w:r w:rsidR="007F29ED">
        <w:rPr>
          <w:rFonts w:ascii="楷体" w:eastAsia="楷体" w:hAnsi="楷体" w:hint="eastAsia"/>
          <w:sz w:val="24"/>
          <w:szCs w:val="28"/>
        </w:rPr>
        <w:t>本文</w:t>
      </w:r>
      <w:r w:rsidR="003A7F90">
        <w:rPr>
          <w:rFonts w:ascii="楷体" w:eastAsia="楷体" w:hAnsi="楷体" w:hint="eastAsia"/>
          <w:sz w:val="24"/>
          <w:szCs w:val="28"/>
        </w:rPr>
        <w:t>篇幅较长，约有五万字左右，算是一中长篇的论文，在上个世纪五六十年代，已可作为博士生的毕业论文。</w:t>
      </w:r>
    </w:p>
    <w:p w14:paraId="2EF4A29C" w14:textId="4EBB7C56" w:rsidR="005E14AE" w:rsidRDefault="00DF0358" w:rsidP="005E14A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先看本文的史料与基本的研究方法</w:t>
      </w:r>
      <w:r w:rsidR="00C36CE1">
        <w:rPr>
          <w:rFonts w:ascii="楷体" w:eastAsia="楷体" w:hAnsi="楷体" w:hint="eastAsia"/>
          <w:sz w:val="24"/>
          <w:szCs w:val="28"/>
        </w:rPr>
        <w:t>。汉代研究，最重要、最完善的史料仍是前三史（《史记》、《汉书》、《后汉书》），以及少数的时人文章（如荀悦），这些是“第一手”的资料（出土文献终究有限制，且其发现多靠运气，作者写作时自然没有参考出土文献的机会）。在本文的研究方法上，</w:t>
      </w:r>
      <w:r w:rsidR="00C43468">
        <w:rPr>
          <w:rFonts w:ascii="楷体" w:eastAsia="楷体" w:hAnsi="楷体" w:hint="eastAsia"/>
          <w:sz w:val="24"/>
          <w:szCs w:val="28"/>
        </w:rPr>
        <w:t>除却传统的论史结合外，作者多采用人物的列表分析，尽可能将所掌握的证据呈现给读者。</w:t>
      </w:r>
    </w:p>
    <w:p w14:paraId="099DCF27" w14:textId="37818ACC" w:rsidR="00C43468" w:rsidRDefault="00CE3410" w:rsidP="005E14A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最要紧之结论，在于证实这样一种历史的趋势，在由西汉初至东汉初年，“士”的力量得到了显著的增强，且“士”与传统的宗族势力相结合，成为当时社会上据有主导地位的势力。王莽之新朝、更始帝与绿林军、赤眉军等皆是因未与士族大姓相协调而亡，光武帝则因积极与士族大姓相结合而兴。作者的论述</w:t>
      </w:r>
      <w:r w:rsidR="00F266D8">
        <w:rPr>
          <w:rFonts w:ascii="楷体" w:eastAsia="楷体" w:hAnsi="楷体" w:hint="eastAsia"/>
          <w:sz w:val="24"/>
          <w:szCs w:val="28"/>
        </w:rPr>
        <w:t>从多个方面展开，包括两汉之际起兵群雄的背景分析、士族数量在西汉的激增、光武或王莽或更始集团与大姓之关系等，对本文所要阐述之题意“</w:t>
      </w:r>
      <w:r w:rsidR="00F266D8" w:rsidRPr="00F266D8">
        <w:rPr>
          <w:rFonts w:ascii="楷体" w:eastAsia="楷体" w:hAnsi="楷体" w:hint="eastAsia"/>
          <w:sz w:val="24"/>
          <w:szCs w:val="28"/>
        </w:rPr>
        <w:t>东汉政权之建立与士族大姓之关系</w:t>
      </w:r>
      <w:r w:rsidR="00F266D8">
        <w:rPr>
          <w:rFonts w:ascii="楷体" w:eastAsia="楷体" w:hAnsi="楷体" w:hint="eastAsia"/>
          <w:sz w:val="24"/>
          <w:szCs w:val="28"/>
        </w:rPr>
        <w:t>”做了详尽之叙述。</w:t>
      </w:r>
    </w:p>
    <w:p w14:paraId="7FB67AD7" w14:textId="6938FC8C" w:rsidR="00F266D8" w:rsidRDefault="00F266D8" w:rsidP="008521D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然就士族与东汉政权之关系，</w:t>
      </w:r>
      <w:r w:rsidR="008521D9">
        <w:rPr>
          <w:rFonts w:ascii="楷体" w:eastAsia="楷体" w:hAnsi="楷体" w:hint="eastAsia"/>
          <w:sz w:val="24"/>
          <w:szCs w:val="28"/>
        </w:rPr>
        <w:t>以及士族与大族之关系，</w:t>
      </w:r>
      <w:r>
        <w:rPr>
          <w:rFonts w:ascii="楷体" w:eastAsia="楷体" w:hAnsi="楷体" w:hint="eastAsia"/>
          <w:sz w:val="24"/>
          <w:szCs w:val="28"/>
        </w:rPr>
        <w:t>本文只是开了一个头，尚有</w:t>
      </w:r>
      <w:r w:rsidR="008521D9">
        <w:rPr>
          <w:rFonts w:ascii="楷体" w:eastAsia="楷体" w:hAnsi="楷体" w:hint="eastAsia"/>
          <w:sz w:val="24"/>
          <w:szCs w:val="28"/>
        </w:rPr>
        <w:t>待</w:t>
      </w:r>
      <w:r>
        <w:rPr>
          <w:rFonts w:ascii="楷体" w:eastAsia="楷体" w:hAnsi="楷体" w:hint="eastAsia"/>
          <w:sz w:val="24"/>
          <w:szCs w:val="28"/>
        </w:rPr>
        <w:t>揭示、阐发之处。</w:t>
      </w:r>
      <w:r w:rsidR="008521D9">
        <w:rPr>
          <w:rFonts w:ascii="楷体" w:eastAsia="楷体" w:hAnsi="楷体" w:hint="eastAsia"/>
          <w:sz w:val="24"/>
          <w:szCs w:val="28"/>
        </w:rPr>
        <w:t>作者在结语中写道，“</w:t>
      </w:r>
      <w:r w:rsidR="008521D9" w:rsidRPr="008521D9">
        <w:rPr>
          <w:rFonts w:ascii="楷体" w:eastAsia="楷体" w:hAnsi="楷体" w:hint="eastAsia"/>
          <w:sz w:val="24"/>
          <w:szCs w:val="28"/>
        </w:rPr>
        <w:t>要想把士族与大姓截然分开，的确已很为困难</w:t>
      </w:r>
      <w:r w:rsidR="008521D9">
        <w:rPr>
          <w:rFonts w:ascii="楷体" w:eastAsia="楷体" w:hAnsi="楷体" w:hint="eastAsia"/>
          <w:sz w:val="24"/>
          <w:szCs w:val="28"/>
        </w:rPr>
        <w:t>”、“</w:t>
      </w:r>
      <w:r w:rsidR="008521D9" w:rsidRPr="008521D9">
        <w:rPr>
          <w:rFonts w:ascii="楷体" w:eastAsia="楷体" w:hAnsi="楷体" w:hint="eastAsia"/>
          <w:sz w:val="24"/>
          <w:szCs w:val="28"/>
        </w:rPr>
        <w:t>在这一阶段的历史进程中，不是士族跟着大姓走，而是大姓跟着士族走</w:t>
      </w:r>
      <w:r w:rsidR="008521D9">
        <w:rPr>
          <w:rFonts w:ascii="楷体" w:eastAsia="楷体" w:hAnsi="楷体" w:hint="eastAsia"/>
          <w:sz w:val="24"/>
          <w:szCs w:val="28"/>
        </w:rPr>
        <w:t>”</w:t>
      </w:r>
      <w:r w:rsidR="00081C3D">
        <w:rPr>
          <w:rFonts w:ascii="楷体" w:eastAsia="楷体" w:hAnsi="楷体" w:hint="eastAsia"/>
          <w:sz w:val="24"/>
          <w:szCs w:val="28"/>
        </w:rPr>
        <w:t>，此当为不易之论。但本文毕竟是从“士族”的视角出发而写就的，若从“大姓”的问题展开，我们还可问：在与士族相紧密结合前后，大姓的影响力是否发生了显著的变化？如果说，西汉以来所形成之士族，是传统的宗族之上，浸染学术修养、学风与家风相融合而形成，则西汉以前之大姓该做如何之观察与解释？就笔者的一些简略但未必准确的印象来说，似乎春秋战国之所谓大姓，往往与封建之“大夫”紧密相联系，具有贵族性、世袭性之特征，而“士”则为下层新崛起之知识阶层，具有平民性、流动性之特征。“周秦之变”（此非秦晖所阐述之意义）或可视为一大转折关头，</w:t>
      </w:r>
      <w:r w:rsidR="001F7260">
        <w:rPr>
          <w:rFonts w:ascii="楷体" w:eastAsia="楷体" w:hAnsi="楷体" w:hint="eastAsia"/>
          <w:sz w:val="24"/>
          <w:szCs w:val="28"/>
        </w:rPr>
        <w:t>此时旧日六国之贵族已失去政治上险要之地位，而新兴之“士”尚未及巩固自身，固有作者所观察到的，西汉政权之建立与“士”之关系甚微。但我们也需注意观察如旧日六国贵族在秦汉之际的作用，如项羽等人，方有一较为全局性的视野。</w:t>
      </w:r>
    </w:p>
    <w:p w14:paraId="4A3D790D" w14:textId="527F7976" w:rsidR="001F7260" w:rsidRPr="006378A7" w:rsidRDefault="001F7260" w:rsidP="00483200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东汉之建立既已仰赖士族之帮助，</w:t>
      </w:r>
      <w:r w:rsidR="00483200">
        <w:rPr>
          <w:rFonts w:ascii="楷体" w:eastAsia="楷体" w:hAnsi="楷体" w:hint="eastAsia"/>
          <w:sz w:val="24"/>
          <w:szCs w:val="28"/>
        </w:rPr>
        <w:t>“</w:t>
      </w:r>
      <w:r w:rsidR="00483200" w:rsidRPr="00483200">
        <w:rPr>
          <w:rFonts w:ascii="楷体" w:eastAsia="楷体" w:hAnsi="楷体" w:hint="eastAsia"/>
          <w:sz w:val="24"/>
          <w:szCs w:val="28"/>
        </w:rPr>
        <w:t>自此以后东汉政权完</w:t>
      </w:r>
      <w:r w:rsidR="00B63088">
        <w:rPr>
          <w:rFonts w:ascii="楷体" w:eastAsia="楷体" w:hAnsi="楷体" w:hint="eastAsia"/>
          <w:sz w:val="24"/>
          <w:szCs w:val="28"/>
        </w:rPr>
        <w:t>全</w:t>
      </w:r>
      <w:r w:rsidR="00483200" w:rsidRPr="00483200">
        <w:rPr>
          <w:rFonts w:ascii="楷体" w:eastAsia="楷体" w:hAnsi="楷体" w:hint="eastAsia"/>
          <w:sz w:val="24"/>
          <w:szCs w:val="28"/>
        </w:rPr>
        <w:t>稳定。光武对于这些武装宗族采取了怀柔与分化并用的策略，直到完全摧毁了他们的力</w:t>
      </w:r>
      <w:r w:rsidR="00B63088">
        <w:rPr>
          <w:rFonts w:ascii="楷体" w:eastAsia="楷体" w:hAnsi="楷体" w:hint="eastAsia"/>
          <w:sz w:val="24"/>
          <w:szCs w:val="28"/>
        </w:rPr>
        <w:t>量</w:t>
      </w:r>
      <w:r w:rsidR="00483200" w:rsidRPr="00483200">
        <w:rPr>
          <w:rFonts w:ascii="楷体" w:eastAsia="楷体" w:hAnsi="楷体" w:hint="eastAsia"/>
          <w:sz w:val="24"/>
          <w:szCs w:val="28"/>
        </w:rPr>
        <w:t>才肯罢手</w:t>
      </w:r>
      <w:r w:rsidR="00483200">
        <w:rPr>
          <w:rFonts w:ascii="楷体" w:eastAsia="楷体" w:hAnsi="楷体" w:hint="eastAsia"/>
          <w:sz w:val="24"/>
          <w:szCs w:val="28"/>
        </w:rPr>
        <w:t>”，然而实际上并未能够做到“完全摧毁”，不然作者也不必在结语中留下“</w:t>
      </w:r>
      <w:r w:rsidR="00483200" w:rsidRPr="00483200">
        <w:rPr>
          <w:rFonts w:ascii="楷体" w:eastAsia="楷体" w:hAnsi="楷体" w:hint="eastAsia"/>
          <w:sz w:val="24"/>
          <w:szCs w:val="28"/>
        </w:rPr>
        <w:t>：此一藉着上族大姓的辅助而建立起来的政权，最后还是因为与士大夫阶层之间失去了协调而归于灭亡！</w:t>
      </w:r>
      <w:r w:rsidR="00483200">
        <w:rPr>
          <w:rFonts w:ascii="楷体" w:eastAsia="楷体" w:hAnsi="楷体" w:hint="eastAsia"/>
          <w:sz w:val="24"/>
          <w:szCs w:val="28"/>
        </w:rPr>
        <w:t>”的慨叹。</w:t>
      </w:r>
      <w:r w:rsidR="00B63088">
        <w:rPr>
          <w:rFonts w:ascii="楷体" w:eastAsia="楷体" w:hAnsi="楷体" w:hint="eastAsia"/>
          <w:sz w:val="24"/>
          <w:szCs w:val="28"/>
        </w:rPr>
        <w:t>此或许为一种观察提供了证据，即由战国至秦再至汉之际，社会阶层之动荡远剧于两汉之际，在后一时期，尚能有更多之上层保持影响力，此或即与“士族与大姓的结合”有关</w:t>
      </w:r>
      <w:r w:rsidR="0066051B">
        <w:rPr>
          <w:rFonts w:ascii="楷体" w:eastAsia="楷体" w:hAnsi="楷体" w:hint="eastAsia"/>
          <w:sz w:val="24"/>
          <w:szCs w:val="28"/>
        </w:rPr>
        <w:t>，亦与此一时代变革之特征有关</w:t>
      </w:r>
      <w:r w:rsidR="00B63088">
        <w:rPr>
          <w:rFonts w:ascii="楷体" w:eastAsia="楷体" w:hAnsi="楷体" w:hint="eastAsia"/>
          <w:sz w:val="24"/>
          <w:szCs w:val="28"/>
        </w:rPr>
        <w:t>。</w:t>
      </w:r>
    </w:p>
    <w:sectPr w:rsidR="001F7260" w:rsidRPr="0063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EE"/>
    <w:rsid w:val="00081C3D"/>
    <w:rsid w:val="001F7260"/>
    <w:rsid w:val="003A7F90"/>
    <w:rsid w:val="00483200"/>
    <w:rsid w:val="005E14AE"/>
    <w:rsid w:val="006378A7"/>
    <w:rsid w:val="0066051B"/>
    <w:rsid w:val="007F29ED"/>
    <w:rsid w:val="008521D9"/>
    <w:rsid w:val="00B63088"/>
    <w:rsid w:val="00BB2CEE"/>
    <w:rsid w:val="00C36CE1"/>
    <w:rsid w:val="00C43468"/>
    <w:rsid w:val="00CE3410"/>
    <w:rsid w:val="00DF0358"/>
    <w:rsid w:val="00F266D8"/>
    <w:rsid w:val="00F5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6B18"/>
  <w15:chartTrackingRefBased/>
  <w15:docId w15:val="{431DB818-E756-4FDE-B413-F10FFBFB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12</cp:revision>
  <dcterms:created xsi:type="dcterms:W3CDTF">2022-12-12T00:34:00Z</dcterms:created>
  <dcterms:modified xsi:type="dcterms:W3CDTF">2022-12-12T01:48:00Z</dcterms:modified>
</cp:coreProperties>
</file>