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498E" w14:textId="6331C672" w:rsidR="00E85902" w:rsidRDefault="008D7A7B" w:rsidP="000C56F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如导论所叙，有关</w:t>
      </w:r>
      <w:r w:rsidR="005D1031">
        <w:rPr>
          <w:rFonts w:ascii="楷体" w:eastAsia="楷体" w:hAnsi="楷体" w:hint="eastAsia"/>
          <w:sz w:val="24"/>
          <w:szCs w:val="28"/>
        </w:rPr>
        <w:t>中国内部持续性的</w:t>
      </w:r>
      <w:r>
        <w:rPr>
          <w:rFonts w:ascii="楷体" w:eastAsia="楷体" w:hAnsi="楷体" w:hint="eastAsia"/>
          <w:sz w:val="24"/>
          <w:szCs w:val="28"/>
        </w:rPr>
        <w:t>“建制议程”（constitutional</w:t>
      </w:r>
      <w:r>
        <w:rPr>
          <w:rFonts w:ascii="楷体" w:eastAsia="楷体" w:hAnsi="楷体"/>
          <w:sz w:val="24"/>
          <w:szCs w:val="28"/>
        </w:rPr>
        <w:t xml:space="preserve"> </w:t>
      </w:r>
      <w:r>
        <w:rPr>
          <w:rFonts w:ascii="楷体" w:eastAsia="楷体" w:hAnsi="楷体" w:hint="eastAsia"/>
          <w:sz w:val="24"/>
          <w:szCs w:val="28"/>
        </w:rPr>
        <w:t>agenda）的三个问题是本书四篇文章的核心问题：政治参与的扩大如何同国家权力及其合法性加强的目的协调；政治竞争如何同公共利益的概念协调；国家的财政需求如何同地方社会的需要协调起来。有论者以为</w:t>
      </w:r>
      <w:r w:rsidR="005D1031">
        <w:rPr>
          <w:rFonts w:ascii="楷体" w:eastAsia="楷体" w:hAnsi="楷体" w:hint="eastAsia"/>
          <w:sz w:val="24"/>
          <w:szCs w:val="28"/>
        </w:rPr>
        <w:t>此三者暗合政治学的基本问题：政治参与、政治竞争、政治控制，或可借此一窥作者的思路。依旧秉持着西方汉学家一般的从细处着手的方法，</w:t>
      </w:r>
      <w:r w:rsidR="000C56FB">
        <w:rPr>
          <w:rFonts w:ascii="楷体" w:eastAsia="楷体" w:hAnsi="楷体" w:hint="eastAsia"/>
          <w:sz w:val="24"/>
          <w:szCs w:val="28"/>
        </w:rPr>
        <w:t>作者选取的主角分别是魏源、冯桂芬、税收的中介性势力在清朝的恶行事例与在共和国时期的消亡。</w:t>
      </w:r>
    </w:p>
    <w:p w14:paraId="156F202B" w14:textId="007B6CDA" w:rsidR="000C56FB" w:rsidRDefault="001A2132" w:rsidP="000C56F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作者于本书中的长处，在《叫魂》中已展现的淋漓尽致，所占篇幅不长，所选事例不大，分析见解</w:t>
      </w:r>
      <w:r w:rsidR="00115AC5">
        <w:rPr>
          <w:rFonts w:ascii="楷体" w:eastAsia="楷体" w:hAnsi="楷体" w:hint="eastAsia"/>
          <w:sz w:val="24"/>
          <w:szCs w:val="28"/>
        </w:rPr>
        <w:t>则</w:t>
      </w:r>
      <w:r>
        <w:rPr>
          <w:rFonts w:ascii="楷体" w:eastAsia="楷体" w:hAnsi="楷体" w:hint="eastAsia"/>
          <w:sz w:val="24"/>
          <w:szCs w:val="28"/>
        </w:rPr>
        <w:t>富有洞见，译者说的“对于史、孔来说，不管从事何种研究，最终的问题意识应当‘涉及人类意识和思想史运动的深层关怀’”，大体得当。</w:t>
      </w:r>
    </w:p>
    <w:p w14:paraId="1A0B8E89" w14:textId="781D0FCB" w:rsidR="00115AC5" w:rsidRDefault="00115AC5" w:rsidP="000C56F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现代国家建构的重要细节有许多方面，对于中国的现代性“转变”，尤其如此。在所谓“现代化”的过程中，作者所提出的三个需要解决的问题或矛盾并不是最重要的，概言之，这些至少不能道尽根本。</w:t>
      </w:r>
      <w:r w:rsidR="004C5811">
        <w:rPr>
          <w:rFonts w:ascii="楷体" w:eastAsia="楷体" w:hAnsi="楷体" w:hint="eastAsia"/>
          <w:sz w:val="24"/>
          <w:szCs w:val="28"/>
        </w:rPr>
        <w:t>在处理材料的取向上，作者的方法颇有可取之处，如关注除外部势力外的内部性历史演变，试图将历史的部分与更宏大的过程相联系。但或许是由于作者治学方法本身的局限，或者是作者所要探讨的问题还没有前人很好的研究基础，面对“中国现代国家起源”这一课题，作者所为自己所关注的方面赋予了并不恰当的权重</w:t>
      </w:r>
      <w:r w:rsidR="00AA3010">
        <w:rPr>
          <w:rFonts w:ascii="楷体" w:eastAsia="楷体" w:hAnsi="楷体" w:hint="eastAsia"/>
          <w:sz w:val="24"/>
          <w:szCs w:val="28"/>
        </w:rPr>
        <w:t>，是为疏于对历史整体上的掌控。</w:t>
      </w:r>
    </w:p>
    <w:p w14:paraId="0DF3CD45" w14:textId="785DDD64" w:rsidR="00AA3010" w:rsidRDefault="00AA3010" w:rsidP="000C56F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作者在局部的处理和见解都有鞭辟入里、独创一格之处，这些都无可疑虑，单独拿出来都可作为西方汉学研究的典范。唯其放到一起作为作者对大历史问题的关键洞见而提出时，则</w:t>
      </w:r>
      <w:r w:rsidR="00571E52">
        <w:rPr>
          <w:rFonts w:ascii="楷体" w:eastAsia="楷体" w:hAnsi="楷体" w:hint="eastAsia"/>
          <w:sz w:val="24"/>
          <w:szCs w:val="28"/>
        </w:rPr>
        <w:t>大</w:t>
      </w:r>
      <w:r>
        <w:rPr>
          <w:rFonts w:ascii="楷体" w:eastAsia="楷体" w:hAnsi="楷体" w:hint="eastAsia"/>
          <w:sz w:val="24"/>
          <w:szCs w:val="28"/>
        </w:rPr>
        <w:t>有支离之感，</w:t>
      </w:r>
      <w:r w:rsidR="00571E52">
        <w:rPr>
          <w:rFonts w:ascii="楷体" w:eastAsia="楷体" w:hAnsi="楷体" w:hint="eastAsia"/>
          <w:sz w:val="24"/>
          <w:szCs w:val="28"/>
        </w:rPr>
        <w:t>所谓“散而无统，不足成一家之言”是也。</w:t>
      </w:r>
    </w:p>
    <w:p w14:paraId="44033199" w14:textId="42054BBB" w:rsidR="00571E52" w:rsidRPr="00571E52" w:rsidRDefault="00571E52" w:rsidP="000C56F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们并不要否认作者提出的这三个问题的重要性，却是以为应当作为“现代中国国家构建”的关键部分而不是核心来考虑。这样会在一个更进退余裕的位置。其实直到当下的中国，孔飞力的三大“建制议程”尚还是</w:t>
      </w:r>
      <w:r w:rsidR="006D1961">
        <w:rPr>
          <w:rFonts w:ascii="楷体" w:eastAsia="楷体" w:hAnsi="楷体" w:hint="eastAsia"/>
          <w:sz w:val="24"/>
          <w:szCs w:val="28"/>
        </w:rPr>
        <w:t>未有定论，有待于嗣轨之来者再创新篇，从实践上完成历史议题的建构，这就是</w:t>
      </w:r>
      <w:r w:rsidR="00485A8A">
        <w:rPr>
          <w:rFonts w:ascii="楷体" w:eastAsia="楷体" w:hAnsi="楷体" w:hint="eastAsia"/>
          <w:sz w:val="24"/>
          <w:szCs w:val="28"/>
        </w:rPr>
        <w:t>体现</w:t>
      </w:r>
      <w:r w:rsidR="006D1961">
        <w:rPr>
          <w:rFonts w:ascii="楷体" w:eastAsia="楷体" w:hAnsi="楷体" w:hint="eastAsia"/>
          <w:sz w:val="24"/>
          <w:szCs w:val="28"/>
        </w:rPr>
        <w:t>作者的眼力所在了。</w:t>
      </w:r>
    </w:p>
    <w:sectPr w:rsidR="00571E52" w:rsidRPr="0057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5F"/>
    <w:rsid w:val="000C56FB"/>
    <w:rsid w:val="00115AC5"/>
    <w:rsid w:val="001A2132"/>
    <w:rsid w:val="00485A8A"/>
    <w:rsid w:val="004C5811"/>
    <w:rsid w:val="00571E52"/>
    <w:rsid w:val="005D1031"/>
    <w:rsid w:val="006D1961"/>
    <w:rsid w:val="008D7A7B"/>
    <w:rsid w:val="00AA3010"/>
    <w:rsid w:val="00E85902"/>
    <w:rsid w:val="00E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FB89"/>
  <w15:chartTrackingRefBased/>
  <w15:docId w15:val="{5BADE73D-F4A9-427E-954A-F49E78F7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2022-05-17T10:14:00Z</dcterms:created>
  <dcterms:modified xsi:type="dcterms:W3CDTF">2022-05-17T10:58:00Z</dcterms:modified>
</cp:coreProperties>
</file>