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3E83" w14:textId="1E447A78" w:rsidR="001044FF" w:rsidRDefault="007B0B1F" w:rsidP="00925D2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在鹭江出版社初版时名为《古文献学四讲》，到了中西书局再版时改名为《古文献学讲义》，其实内容是一模一样的，只多收录了作者黄大年学生辛德勇的书评《研治古代文史的必备入门工具——读黄永年先生著&lt;古文献学四讲&gt;》，也可说是导读</w:t>
      </w:r>
      <w:r w:rsidR="00925D2F">
        <w:rPr>
          <w:rFonts w:ascii="楷体" w:eastAsia="楷体" w:hAnsi="楷体" w:hint="eastAsia"/>
          <w:sz w:val="24"/>
          <w:szCs w:val="28"/>
        </w:rPr>
        <w:t>。</w:t>
      </w:r>
    </w:p>
    <w:p w14:paraId="686C4FF6" w14:textId="464DA39E" w:rsidR="00925D2F" w:rsidRPr="00925D2F" w:rsidRDefault="00925D2F" w:rsidP="00925D2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所谓四讲，即目录学、版本学、碑刻学和文史工具书介绍，最后一讲多有和上述三讲重合的地方。</w:t>
      </w:r>
      <w:r w:rsidR="00A63870">
        <w:rPr>
          <w:rFonts w:ascii="楷体" w:eastAsia="楷体" w:hAnsi="楷体" w:hint="eastAsia"/>
          <w:sz w:val="24"/>
          <w:szCs w:val="28"/>
        </w:rPr>
        <w:t>本书的这些知识，笔者在荣新江著的《学术训练与学术规范》中也粗有涉及，但本书所讲更为系统、全面。关于本书的价值，辛德勇的书评写得很不错了，似没有再</w:t>
      </w:r>
      <w:r w:rsidR="00971F39">
        <w:rPr>
          <w:rFonts w:ascii="楷体" w:eastAsia="楷体" w:hAnsi="楷体" w:hint="eastAsia"/>
          <w:sz w:val="24"/>
          <w:szCs w:val="28"/>
        </w:rPr>
        <w:t>画蛇添足的必要。在学术的入门之前，本书当作为不可或缺的工具书（按照作者原话，也是用来读的书）时时备用。</w:t>
      </w:r>
    </w:p>
    <w:sectPr w:rsidR="00925D2F" w:rsidRPr="0092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B5"/>
    <w:rsid w:val="001044FF"/>
    <w:rsid w:val="007B0B1F"/>
    <w:rsid w:val="00925D2F"/>
    <w:rsid w:val="00971F39"/>
    <w:rsid w:val="00A63870"/>
    <w:rsid w:val="00C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357F"/>
  <w15:chartTrackingRefBased/>
  <w15:docId w15:val="{2BDA7D56-8AAB-4768-AE52-85C4D679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</cp:revision>
  <dcterms:created xsi:type="dcterms:W3CDTF">2022-09-18T01:08:00Z</dcterms:created>
  <dcterms:modified xsi:type="dcterms:W3CDTF">2022-09-18T01:27:00Z</dcterms:modified>
</cp:coreProperties>
</file>