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DC8C" w14:textId="7094F34E" w:rsidR="004478AB" w:rsidRDefault="00140F8D" w:rsidP="00140F8D">
      <w:pPr>
        <w:ind w:firstLine="480"/>
        <w:rPr>
          <w:rFonts w:ascii="楷体" w:eastAsia="楷体" w:hAnsi="楷体"/>
          <w:sz w:val="24"/>
          <w:szCs w:val="28"/>
        </w:rPr>
      </w:pPr>
      <w:r>
        <w:rPr>
          <w:rFonts w:ascii="楷体" w:eastAsia="楷体" w:hAnsi="楷体" w:hint="eastAsia"/>
          <w:sz w:val="24"/>
          <w:szCs w:val="28"/>
        </w:rPr>
        <w:t>张呈忠关于宋代福利问题的研究综述里，对本文给予了高度的评价，认为“</w:t>
      </w:r>
      <w:r w:rsidRPr="00140F8D">
        <w:rPr>
          <w:rFonts w:ascii="楷体" w:eastAsia="楷体" w:hAnsi="楷体" w:hint="eastAsia"/>
          <w:sz w:val="24"/>
          <w:szCs w:val="28"/>
        </w:rPr>
        <w:t>此后关于宋代士大夫与公益事业的个案以及综合研究中鲜有能够超越此文理论视野的成果</w:t>
      </w:r>
      <w:r>
        <w:rPr>
          <w:rFonts w:ascii="楷体" w:eastAsia="楷体" w:hAnsi="楷体" w:hint="eastAsia"/>
          <w:sz w:val="24"/>
          <w:szCs w:val="28"/>
        </w:rPr>
        <w:t>”。虽然本文与“蔡京悖论”并无之间关系，但张呈忠的评价引起了笔者阅读本文的极大兴趣。</w:t>
      </w:r>
    </w:p>
    <w:p w14:paraId="0ED3DB69" w14:textId="38C3DBF9" w:rsidR="00140F8D" w:rsidRDefault="00C514B4" w:rsidP="00140F8D">
      <w:pPr>
        <w:ind w:firstLine="480"/>
        <w:rPr>
          <w:rFonts w:ascii="楷体" w:eastAsia="楷体" w:hAnsi="楷体"/>
          <w:sz w:val="24"/>
          <w:szCs w:val="28"/>
        </w:rPr>
      </w:pPr>
      <w:r>
        <w:rPr>
          <w:rFonts w:ascii="楷体" w:eastAsia="楷体" w:hAnsi="楷体" w:hint="eastAsia"/>
          <w:sz w:val="24"/>
          <w:szCs w:val="28"/>
        </w:rPr>
        <w:t>本文展现了作者刘子健出众的史学能力，刘子健不仅对史学研究的基本工具掌握娴熟，也有着独树一帜的思想创造。</w:t>
      </w:r>
      <w:r w:rsidR="00D373B2">
        <w:rPr>
          <w:rFonts w:ascii="楷体" w:eastAsia="楷体" w:hAnsi="楷体" w:hint="eastAsia"/>
          <w:sz w:val="24"/>
          <w:szCs w:val="28"/>
        </w:rPr>
        <w:t>本文的前面大半部分的内容，作者主要进行的工作，是对南宋的士绅刘宰的生平进行考订。主要的史料来源，是刘宰的</w:t>
      </w:r>
      <w:r w:rsidR="00D373B2" w:rsidRPr="00D373B2">
        <w:rPr>
          <w:rFonts w:ascii="楷体" w:eastAsia="楷体" w:hAnsi="楷体" w:hint="eastAsia"/>
          <w:sz w:val="24"/>
          <w:szCs w:val="28"/>
        </w:rPr>
        <w:t>《漫塘文集》</w:t>
      </w:r>
      <w:r w:rsidR="00D373B2">
        <w:rPr>
          <w:rFonts w:ascii="楷体" w:eastAsia="楷体" w:hAnsi="楷体" w:hint="eastAsia"/>
          <w:sz w:val="24"/>
          <w:szCs w:val="28"/>
        </w:rPr>
        <w:t>与</w:t>
      </w:r>
      <w:r w:rsidR="00D373B2" w:rsidRPr="00D373B2">
        <w:rPr>
          <w:rFonts w:ascii="楷体" w:eastAsia="楷体" w:hAnsi="楷体" w:hint="eastAsia"/>
          <w:sz w:val="24"/>
          <w:szCs w:val="28"/>
        </w:rPr>
        <w:t>《京口</w:t>
      </w:r>
      <w:r w:rsidR="00D373B2">
        <w:rPr>
          <w:rFonts w:ascii="楷体" w:eastAsia="楷体" w:hAnsi="楷体" w:hint="eastAsia"/>
          <w:sz w:val="24"/>
          <w:szCs w:val="28"/>
        </w:rPr>
        <w:t>耆</w:t>
      </w:r>
      <w:r w:rsidR="00D373B2" w:rsidRPr="00D373B2">
        <w:rPr>
          <w:rFonts w:ascii="楷体" w:eastAsia="楷体" w:hAnsi="楷体" w:hint="eastAsia"/>
          <w:sz w:val="24"/>
          <w:szCs w:val="28"/>
        </w:rPr>
        <w:t>旧传》</w:t>
      </w:r>
      <w:r w:rsidR="00D373B2">
        <w:rPr>
          <w:rFonts w:ascii="楷体" w:eastAsia="楷体" w:hAnsi="楷体" w:hint="eastAsia"/>
          <w:sz w:val="24"/>
          <w:szCs w:val="28"/>
        </w:rPr>
        <w:t>。通过对史料的收集、辨析，作者还原了刘宰的生平事迹，以及人生中所经历的大事件。其中比较重要的几项，如刘宰作为乡绅对地方的赈济、刘宰与士大夫之间的交游、刘宰与地方政府之间的互动，为读者揭开了观察南宋地方政府、南宋型乡绅的新类型（特别区别于隋唐与明清）。这一部分的内容多是对史料的整理，刘宰个人的生活事迹，似乎只是一个比较突出、但在历史的大年表上默默无名的地方精英的个人故事，无关乎宏旨，没有什么重要的意义。</w:t>
      </w:r>
      <w:r w:rsidR="003B7242">
        <w:rPr>
          <w:rFonts w:ascii="楷体" w:eastAsia="楷体" w:hAnsi="楷体" w:hint="eastAsia"/>
          <w:sz w:val="24"/>
          <w:szCs w:val="28"/>
        </w:rPr>
        <w:t>如果仅仅停留在这里，则本文无非是一篇考证比较细致的历史论文，但就在本文的第九节，也是最后一节中，作者展现了其透过史料对历史现象的深刻洞见与想象力。</w:t>
      </w:r>
    </w:p>
    <w:p w14:paraId="4CDAC2BD" w14:textId="6DBED894" w:rsidR="003B7242" w:rsidRDefault="0069121F" w:rsidP="00140F8D">
      <w:pPr>
        <w:ind w:firstLine="480"/>
        <w:rPr>
          <w:rFonts w:ascii="楷体" w:eastAsia="楷体" w:hAnsi="楷体"/>
          <w:sz w:val="24"/>
          <w:szCs w:val="28"/>
        </w:rPr>
      </w:pPr>
      <w:r>
        <w:rPr>
          <w:rFonts w:ascii="楷体" w:eastAsia="楷体" w:hAnsi="楷体" w:hint="eastAsia"/>
          <w:sz w:val="24"/>
          <w:szCs w:val="28"/>
        </w:rPr>
        <w:t>第九节的标题为“</w:t>
      </w:r>
      <w:r w:rsidRPr="0069121F">
        <w:rPr>
          <w:rFonts w:ascii="楷体" w:eastAsia="楷体" w:hAnsi="楷体" w:hint="eastAsia"/>
          <w:sz w:val="24"/>
          <w:szCs w:val="28"/>
        </w:rPr>
        <w:t>申论—南宋孺家的阶级性限制社团发展</w:t>
      </w:r>
      <w:r>
        <w:rPr>
          <w:rFonts w:ascii="楷体" w:eastAsia="楷体" w:hAnsi="楷体" w:hint="eastAsia"/>
          <w:sz w:val="24"/>
          <w:szCs w:val="28"/>
        </w:rPr>
        <w:t>”，在别处，“申论”的含义无非是就前文的内容做一些简单的引申，但本文为“申论”提高到了一个相当的高度。</w:t>
      </w:r>
      <w:r w:rsidR="00F95A6F">
        <w:rPr>
          <w:rFonts w:ascii="楷体" w:eastAsia="楷体" w:hAnsi="楷体" w:hint="eastAsia"/>
          <w:sz w:val="24"/>
          <w:szCs w:val="28"/>
        </w:rPr>
        <w:t>作者仅仅在只有一个研究案例的基础上，提出了自己对于历史的看法，即</w:t>
      </w:r>
      <w:r w:rsidR="00F95A6F" w:rsidRPr="00F95A6F">
        <w:rPr>
          <w:rFonts w:ascii="楷体" w:eastAsia="楷体" w:hAnsi="楷体" w:hint="eastAsia"/>
          <w:sz w:val="24"/>
          <w:szCs w:val="28"/>
        </w:rPr>
        <w:t>南宋儒家的阶级性，</w:t>
      </w:r>
      <w:r w:rsidR="00F95A6F" w:rsidRPr="00F95A6F">
        <w:rPr>
          <w:rFonts w:ascii="楷体" w:eastAsia="楷体" w:hAnsi="楷体"/>
          <w:sz w:val="24"/>
          <w:szCs w:val="28"/>
        </w:rPr>
        <w:t>重重限制</w:t>
      </w:r>
      <w:r w:rsidR="00F95A6F">
        <w:rPr>
          <w:rFonts w:ascii="楷体" w:eastAsia="楷体" w:hAnsi="楷体" w:hint="eastAsia"/>
          <w:sz w:val="24"/>
          <w:szCs w:val="28"/>
        </w:rPr>
        <w:t>了</w:t>
      </w:r>
      <w:r w:rsidR="00F95A6F" w:rsidRPr="00F95A6F">
        <w:rPr>
          <w:rFonts w:ascii="楷体" w:eastAsia="楷体" w:hAnsi="楷体"/>
          <w:sz w:val="24"/>
          <w:szCs w:val="28"/>
        </w:rPr>
        <w:t>社团的发展</w:t>
      </w:r>
      <w:r w:rsidR="00F95A6F">
        <w:rPr>
          <w:rFonts w:ascii="楷体" w:eastAsia="楷体" w:hAnsi="楷体" w:hint="eastAsia"/>
          <w:sz w:val="24"/>
          <w:szCs w:val="28"/>
        </w:rPr>
        <w:t>，刘宰的事迹为突出的表现。读者可能会感到困惑，何以作者只凭借单独的案例</w:t>
      </w:r>
      <w:r w:rsidR="001A4F8A">
        <w:rPr>
          <w:rFonts w:ascii="楷体" w:eastAsia="楷体" w:hAnsi="楷体" w:hint="eastAsia"/>
          <w:sz w:val="24"/>
          <w:szCs w:val="28"/>
        </w:rPr>
        <w:t>再配合一些各方面的知识</w:t>
      </w:r>
      <w:r w:rsidR="00F95A6F">
        <w:rPr>
          <w:rFonts w:ascii="楷体" w:eastAsia="楷体" w:hAnsi="楷体" w:hint="eastAsia"/>
          <w:sz w:val="24"/>
          <w:szCs w:val="28"/>
        </w:rPr>
        <w:t>，</w:t>
      </w:r>
      <w:r w:rsidR="001A4F8A">
        <w:rPr>
          <w:rFonts w:ascii="楷体" w:eastAsia="楷体" w:hAnsi="楷体" w:hint="eastAsia"/>
          <w:sz w:val="24"/>
          <w:szCs w:val="28"/>
        </w:rPr>
        <w:t>便</w:t>
      </w:r>
      <w:r w:rsidR="00F95A6F">
        <w:rPr>
          <w:rFonts w:ascii="楷体" w:eastAsia="楷体" w:hAnsi="楷体" w:hint="eastAsia"/>
          <w:sz w:val="24"/>
          <w:szCs w:val="28"/>
        </w:rPr>
        <w:t>敢于下这样大胆的、概括性的结论？作者解释，“申论”不是“结论”，申论只是作者个人的见解，是一种基于已有现象的假设，是一种有待被证伪的猜想，在这一点上，作者认为他是在引用自然科学的研究方法。作者的方法无疑是富有争议，但也是极有创意的，实际上，“自然科学”的方法也要求有足够的样本，仅仅一个是显然不足的。但我们还是要感叹于作者做判断的勇气，以及从历史现象中总结原因的史学洞见。</w:t>
      </w:r>
      <w:r w:rsidR="00F35336">
        <w:rPr>
          <w:rFonts w:ascii="楷体" w:eastAsia="楷体" w:hAnsi="楷体" w:hint="eastAsia"/>
          <w:sz w:val="24"/>
          <w:szCs w:val="28"/>
        </w:rPr>
        <w:t>笔者尚未在其他地方见到本文的这种研究方法。</w:t>
      </w:r>
    </w:p>
    <w:p w14:paraId="4D879ABA" w14:textId="61A576B8" w:rsidR="00DC2A88" w:rsidRPr="00140F8D" w:rsidRDefault="00DC2A88" w:rsidP="00DC2A88">
      <w:pPr>
        <w:ind w:firstLine="480"/>
        <w:rPr>
          <w:rFonts w:ascii="楷体" w:eastAsia="楷体" w:hAnsi="楷体" w:hint="eastAsia"/>
          <w:sz w:val="24"/>
          <w:szCs w:val="28"/>
        </w:rPr>
      </w:pPr>
      <w:r>
        <w:rPr>
          <w:rFonts w:ascii="楷体" w:eastAsia="楷体" w:hAnsi="楷体" w:hint="eastAsia"/>
          <w:sz w:val="24"/>
          <w:szCs w:val="28"/>
        </w:rPr>
        <w:t>在没有看到进一步的研究、案例之前，本文的“申论”部分是否可靠，仍是悬而未决、有待检验的。除了研究方法令读者眼前一亮外，行文中的一处细节，笔者感到值得提出来。不少的后辈学者常常引用作者刘子健所提出的“宋代文化转向内在”的趋势，并在理解中有极端化的倾向。但本文中写道“</w:t>
      </w:r>
      <w:r w:rsidRPr="00DC2A88">
        <w:rPr>
          <w:rFonts w:ascii="楷体" w:eastAsia="楷体" w:hAnsi="楷体" w:hint="eastAsia"/>
          <w:sz w:val="24"/>
          <w:szCs w:val="28"/>
        </w:rPr>
        <w:t>南宋理学，</w:t>
      </w:r>
      <w:r w:rsidRPr="00DC2A88">
        <w:rPr>
          <w:rFonts w:ascii="楷体" w:eastAsia="楷体" w:hAnsi="楷体"/>
          <w:sz w:val="24"/>
          <w:szCs w:val="28"/>
        </w:rPr>
        <w:t xml:space="preserve"> 沿袭</w:t>
      </w:r>
      <w:r>
        <w:rPr>
          <w:rFonts w:ascii="楷体" w:eastAsia="楷体" w:hAnsi="楷体" w:hint="eastAsia"/>
          <w:sz w:val="24"/>
          <w:szCs w:val="28"/>
        </w:rPr>
        <w:t>儒</w:t>
      </w:r>
      <w:r w:rsidRPr="00DC2A88">
        <w:rPr>
          <w:rFonts w:ascii="楷体" w:eastAsia="楷体" w:hAnsi="楷体"/>
          <w:sz w:val="24"/>
          <w:szCs w:val="28"/>
        </w:rPr>
        <w:t>家传</w:t>
      </w:r>
      <w:r w:rsidRPr="00DC2A88">
        <w:rPr>
          <w:rFonts w:ascii="楷体" w:eastAsia="楷体" w:hAnsi="楷体" w:hint="eastAsia"/>
          <w:sz w:val="24"/>
          <w:szCs w:val="28"/>
        </w:rPr>
        <w:t>统，</w:t>
      </w:r>
      <w:r w:rsidRPr="00DC2A88">
        <w:rPr>
          <w:rFonts w:ascii="楷体" w:eastAsia="楷体" w:hAnsi="楷体"/>
          <w:sz w:val="24"/>
          <w:szCs w:val="28"/>
        </w:rPr>
        <w:t>也重视伦理经世等项，并不放弃外向的重点</w:t>
      </w:r>
      <w:r>
        <w:rPr>
          <w:rFonts w:ascii="楷体" w:eastAsia="楷体" w:hAnsi="楷体" w:hint="eastAsia"/>
          <w:sz w:val="24"/>
          <w:szCs w:val="28"/>
        </w:rPr>
        <w:t>”，可以看到作者仍是看到了“外向”的一面</w:t>
      </w:r>
      <w:r w:rsidR="00485B0E">
        <w:rPr>
          <w:rFonts w:ascii="楷体" w:eastAsia="楷体" w:hAnsi="楷体" w:hint="eastAsia"/>
          <w:sz w:val="24"/>
          <w:szCs w:val="28"/>
        </w:rPr>
        <w:t>的</w:t>
      </w:r>
      <w:r>
        <w:rPr>
          <w:rFonts w:ascii="楷体" w:eastAsia="楷体" w:hAnsi="楷体" w:hint="eastAsia"/>
          <w:sz w:val="24"/>
          <w:szCs w:val="28"/>
        </w:rPr>
        <w:t>。</w:t>
      </w:r>
    </w:p>
    <w:sectPr w:rsidR="00DC2A88" w:rsidRPr="00140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F9"/>
    <w:rsid w:val="00140F8D"/>
    <w:rsid w:val="001A4F8A"/>
    <w:rsid w:val="003B7242"/>
    <w:rsid w:val="004478AB"/>
    <w:rsid w:val="00485B0E"/>
    <w:rsid w:val="0069121F"/>
    <w:rsid w:val="00C514B4"/>
    <w:rsid w:val="00D373B2"/>
    <w:rsid w:val="00DC2A88"/>
    <w:rsid w:val="00E94AF9"/>
    <w:rsid w:val="00F35336"/>
    <w:rsid w:val="00F9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5074"/>
  <w15:chartTrackingRefBased/>
  <w15:docId w15:val="{21614206-70E0-4E13-BCF4-7E4846C7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10</cp:revision>
  <dcterms:created xsi:type="dcterms:W3CDTF">2022-10-06T10:18:00Z</dcterms:created>
  <dcterms:modified xsi:type="dcterms:W3CDTF">2022-10-06T12:04:00Z</dcterms:modified>
</cp:coreProperties>
</file>