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714EA" w14:textId="10801E1D" w:rsidR="009700E9" w:rsidRDefault="00042D5E" w:rsidP="00BE447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秦晖的在本文对我国经济史上“汉金”问题这一公案的解释及论证过程，确乎有其信服力，笔者大体认同其结论，“‘</w:t>
      </w:r>
      <w:r w:rsidRPr="00042D5E">
        <w:rPr>
          <w:rFonts w:ascii="楷体" w:eastAsia="楷体" w:hAnsi="楷体"/>
          <w:sz w:val="24"/>
          <w:szCs w:val="28"/>
        </w:rPr>
        <w:t>汉金之多</w:t>
      </w:r>
      <w:r>
        <w:rPr>
          <w:rFonts w:ascii="楷体" w:eastAsia="楷体" w:hAnsi="楷体" w:hint="eastAsia"/>
          <w:sz w:val="24"/>
          <w:szCs w:val="28"/>
        </w:rPr>
        <w:t>’</w:t>
      </w:r>
      <w:r w:rsidRPr="00042D5E">
        <w:rPr>
          <w:rFonts w:ascii="楷体" w:eastAsia="楷体" w:hAnsi="楷体"/>
          <w:sz w:val="24"/>
          <w:szCs w:val="28"/>
        </w:rPr>
        <w:t>并非黄金金属量多，而是锭块金多</w:t>
      </w:r>
      <w:r w:rsidR="006713C7">
        <w:rPr>
          <w:rFonts w:ascii="楷体" w:eastAsia="楷体" w:hAnsi="楷体" w:hint="eastAsia"/>
          <w:sz w:val="24"/>
          <w:szCs w:val="28"/>
        </w:rPr>
        <w:t>；</w:t>
      </w:r>
      <w:r w:rsidRPr="00042D5E">
        <w:rPr>
          <w:rFonts w:ascii="楷体" w:eastAsia="楷体" w:hAnsi="楷体"/>
          <w:sz w:val="24"/>
          <w:szCs w:val="28"/>
        </w:rPr>
        <w:t>汉金是西汉法律确立、社会接受的价值尺度;汉金的流通手段职能不容忽视，作为我国古典经济时代的贵金属通货具有重大的意义</w:t>
      </w:r>
      <w:r w:rsidR="006713C7">
        <w:rPr>
          <w:rFonts w:ascii="楷体" w:eastAsia="楷体" w:hAnsi="楷体" w:hint="eastAsia"/>
          <w:sz w:val="24"/>
          <w:szCs w:val="28"/>
        </w:rPr>
        <w:t>；‘</w:t>
      </w:r>
      <w:r w:rsidRPr="00042D5E">
        <w:rPr>
          <w:rFonts w:ascii="楷体" w:eastAsia="楷体" w:hAnsi="楷体"/>
          <w:sz w:val="24"/>
          <w:szCs w:val="28"/>
        </w:rPr>
        <w:t>汉金消失</w:t>
      </w:r>
      <w:r w:rsidR="006713C7">
        <w:rPr>
          <w:rFonts w:ascii="楷体" w:eastAsia="楷体" w:hAnsi="楷体" w:hint="eastAsia"/>
          <w:sz w:val="24"/>
          <w:szCs w:val="28"/>
        </w:rPr>
        <w:t>’</w:t>
      </w:r>
      <w:r w:rsidRPr="00042D5E">
        <w:rPr>
          <w:rFonts w:ascii="楷体" w:eastAsia="楷体" w:hAnsi="楷体"/>
          <w:sz w:val="24"/>
          <w:szCs w:val="28"/>
        </w:rPr>
        <w:t>的实质是古典商品经济衰落、中古自然经济兴起所导致的黄金器饰化或曰金通货萎缩，它是长时期的历史过程，与格雷襄法则并无关系。至于所谓汉金消失的</w:t>
      </w:r>
      <w:r w:rsidR="006713C7">
        <w:rPr>
          <w:rFonts w:ascii="楷体" w:eastAsia="楷体" w:hAnsi="楷体" w:hint="eastAsia"/>
          <w:sz w:val="24"/>
          <w:szCs w:val="28"/>
        </w:rPr>
        <w:t>‘</w:t>
      </w:r>
      <w:r w:rsidRPr="00042D5E">
        <w:rPr>
          <w:rFonts w:ascii="楷体" w:eastAsia="楷体" w:hAnsi="楷体"/>
          <w:sz w:val="24"/>
          <w:szCs w:val="28"/>
        </w:rPr>
        <w:t>突然性</w:t>
      </w:r>
      <w:r w:rsidR="006713C7">
        <w:rPr>
          <w:rFonts w:ascii="楷体" w:eastAsia="楷体" w:hAnsi="楷体" w:hint="eastAsia"/>
          <w:sz w:val="24"/>
          <w:szCs w:val="28"/>
        </w:rPr>
        <w:t>’</w:t>
      </w:r>
      <w:r w:rsidRPr="00042D5E">
        <w:rPr>
          <w:rFonts w:ascii="楷体" w:eastAsia="楷体" w:hAnsi="楷体"/>
          <w:sz w:val="24"/>
          <w:szCs w:val="28"/>
        </w:rPr>
        <w:t>，则是一个没有谜底也无须寻求谜底的人为之</w:t>
      </w:r>
      <w:r w:rsidR="006713C7">
        <w:rPr>
          <w:rFonts w:ascii="楷体" w:eastAsia="楷体" w:hAnsi="楷体" w:hint="eastAsia"/>
          <w:sz w:val="24"/>
          <w:szCs w:val="28"/>
        </w:rPr>
        <w:t>‘</w:t>
      </w:r>
      <w:r w:rsidRPr="00042D5E">
        <w:rPr>
          <w:rFonts w:ascii="楷体" w:eastAsia="楷体" w:hAnsi="楷体"/>
          <w:sz w:val="24"/>
          <w:szCs w:val="28"/>
        </w:rPr>
        <w:t>谜</w:t>
      </w:r>
      <w:r w:rsidR="006713C7">
        <w:rPr>
          <w:rFonts w:ascii="楷体" w:eastAsia="楷体" w:hAnsi="楷体" w:hint="eastAsia"/>
          <w:sz w:val="24"/>
          <w:szCs w:val="28"/>
        </w:rPr>
        <w:t>’</w:t>
      </w:r>
      <w:r w:rsidRPr="00042D5E">
        <w:rPr>
          <w:rFonts w:ascii="楷体" w:eastAsia="楷体" w:hAnsi="楷体"/>
          <w:sz w:val="24"/>
          <w:szCs w:val="28"/>
        </w:rPr>
        <w:t>。</w:t>
      </w:r>
      <w:r w:rsidR="006713C7">
        <w:rPr>
          <w:rFonts w:ascii="楷体" w:eastAsia="楷体" w:hAnsi="楷体" w:hint="eastAsia"/>
          <w:sz w:val="24"/>
          <w:szCs w:val="28"/>
        </w:rPr>
        <w:t>”在此则无需对此多言。</w:t>
      </w:r>
    </w:p>
    <w:p w14:paraId="45170BFE" w14:textId="5ABA258B" w:rsidR="00825581" w:rsidRDefault="00F76625" w:rsidP="00BE447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本文大概是秦晖</w:t>
      </w:r>
      <w:r w:rsidR="00803916">
        <w:rPr>
          <w:rFonts w:ascii="楷体" w:eastAsia="楷体" w:hAnsi="楷体" w:hint="eastAsia"/>
          <w:sz w:val="24"/>
          <w:szCs w:val="28"/>
        </w:rPr>
        <w:t>学术风格优点的较好展示，充分体现其对逻辑语言的逻辑范式的出色把握</w:t>
      </w:r>
      <w:r w:rsidR="00B007DE">
        <w:rPr>
          <w:rFonts w:ascii="楷体" w:eastAsia="楷体" w:hAnsi="楷体" w:hint="eastAsia"/>
          <w:sz w:val="24"/>
          <w:szCs w:val="28"/>
        </w:rPr>
        <w:t>。但这优点</w:t>
      </w:r>
      <w:r w:rsidR="001801B2">
        <w:rPr>
          <w:rFonts w:ascii="楷体" w:eastAsia="楷体" w:hAnsi="楷体" w:hint="eastAsia"/>
          <w:sz w:val="24"/>
          <w:szCs w:val="28"/>
        </w:rPr>
        <w:t>，作者</w:t>
      </w:r>
      <w:r w:rsidR="00B007DE">
        <w:rPr>
          <w:rFonts w:ascii="楷体" w:eastAsia="楷体" w:hAnsi="楷体" w:hint="eastAsia"/>
          <w:sz w:val="24"/>
          <w:szCs w:val="28"/>
        </w:rPr>
        <w:t>往往</w:t>
      </w:r>
      <w:r w:rsidR="001801B2">
        <w:rPr>
          <w:rFonts w:ascii="楷体" w:eastAsia="楷体" w:hAnsi="楷体" w:hint="eastAsia"/>
          <w:sz w:val="24"/>
          <w:szCs w:val="28"/>
        </w:rPr>
        <w:t>只能在</w:t>
      </w:r>
      <w:r w:rsidR="00B007DE">
        <w:rPr>
          <w:rFonts w:ascii="楷体" w:eastAsia="楷体" w:hAnsi="楷体" w:hint="eastAsia"/>
          <w:sz w:val="24"/>
          <w:szCs w:val="28"/>
        </w:rPr>
        <w:t>“汉金”问题这样直接牵涉到历史细节研究</w:t>
      </w:r>
      <w:r w:rsidR="001801B2">
        <w:rPr>
          <w:rFonts w:ascii="楷体" w:eastAsia="楷体" w:hAnsi="楷体" w:hint="eastAsia"/>
          <w:sz w:val="24"/>
          <w:szCs w:val="28"/>
        </w:rPr>
        <w:t>上</w:t>
      </w:r>
      <w:r w:rsidR="0043587B">
        <w:rPr>
          <w:rFonts w:ascii="楷体" w:eastAsia="楷体" w:hAnsi="楷体" w:hint="eastAsia"/>
          <w:sz w:val="24"/>
          <w:szCs w:val="28"/>
        </w:rPr>
        <w:t>才能</w:t>
      </w:r>
      <w:r w:rsidR="001801B2">
        <w:rPr>
          <w:rFonts w:ascii="楷体" w:eastAsia="楷体" w:hAnsi="楷体" w:hint="eastAsia"/>
          <w:sz w:val="24"/>
          <w:szCs w:val="28"/>
        </w:rPr>
        <w:t>不出纰漏。因为</w:t>
      </w:r>
      <w:r w:rsidR="0043587B">
        <w:rPr>
          <w:rFonts w:ascii="楷体" w:eastAsia="楷体" w:hAnsi="楷体" w:hint="eastAsia"/>
          <w:sz w:val="24"/>
          <w:szCs w:val="28"/>
        </w:rPr>
        <w:t>一旦关乎那些文化性、制度性的“</w:t>
      </w:r>
      <w:r w:rsidR="00045405">
        <w:rPr>
          <w:rFonts w:ascii="楷体" w:eastAsia="楷体" w:hAnsi="楷体" w:hint="eastAsia"/>
          <w:sz w:val="24"/>
          <w:szCs w:val="28"/>
        </w:rPr>
        <w:t>宏大性</w:t>
      </w:r>
      <w:r w:rsidR="0043587B">
        <w:rPr>
          <w:rFonts w:ascii="楷体" w:eastAsia="楷体" w:hAnsi="楷体" w:hint="eastAsia"/>
          <w:sz w:val="24"/>
          <w:szCs w:val="28"/>
        </w:rPr>
        <w:t>”问题，秦晖在论证的过程中总不免或是做出逻辑上的跳跃，或是默认了错误或至少是未经检验、具有争议的前提，使得看起来好像论证</w:t>
      </w:r>
      <w:r w:rsidR="00045405">
        <w:rPr>
          <w:rFonts w:ascii="楷体" w:eastAsia="楷体" w:hAnsi="楷体" w:hint="eastAsia"/>
          <w:sz w:val="24"/>
          <w:szCs w:val="28"/>
        </w:rPr>
        <w:t>滴水不漏，但结论却与实际大相径庭</w:t>
      </w:r>
      <w:r w:rsidR="00E34F23">
        <w:rPr>
          <w:rFonts w:ascii="楷体" w:eastAsia="楷体" w:hAnsi="楷体" w:hint="eastAsia"/>
          <w:sz w:val="24"/>
          <w:szCs w:val="28"/>
        </w:rPr>
        <w:t>，即是犯了所谓“丐题”的谬误</w:t>
      </w:r>
      <w:r w:rsidR="00045405">
        <w:rPr>
          <w:rFonts w:ascii="楷体" w:eastAsia="楷体" w:hAnsi="楷体" w:hint="eastAsia"/>
          <w:sz w:val="24"/>
          <w:szCs w:val="28"/>
        </w:rPr>
        <w:t>。</w:t>
      </w:r>
    </w:p>
    <w:p w14:paraId="72D5D603" w14:textId="1ED336EC" w:rsidR="006713C7" w:rsidRPr="00042D5E" w:rsidRDefault="00045405" w:rsidP="00BE4477">
      <w:pPr>
        <w:ind w:firstLineChars="200"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即使是在本文中，也隐隐有如此之迹象，如“西汉在古典小农的汪洋大海之上建立了财政上的高度集权；东汉则中古庄园兴起，世家大族遍布全国，分割了国家财政，使东汉政权中央财政十分拮据”，所谓“中古庄园”大概是套用西方中世纪历史的术语，但其实奥古斯都的时代</w:t>
      </w:r>
      <w:r w:rsidR="00825581">
        <w:rPr>
          <w:rFonts w:ascii="楷体" w:eastAsia="楷体" w:hAnsi="楷体" w:hint="eastAsia"/>
          <w:sz w:val="24"/>
          <w:szCs w:val="28"/>
        </w:rPr>
        <w:t>，</w:t>
      </w:r>
      <w:r>
        <w:rPr>
          <w:rFonts w:ascii="楷体" w:eastAsia="楷体" w:hAnsi="楷体" w:hint="eastAsia"/>
          <w:sz w:val="24"/>
          <w:szCs w:val="28"/>
        </w:rPr>
        <w:t>“大庄园”现象也在罗马已有存在；其次，暂且不论是否西汉真的是“古典小农”而东汉</w:t>
      </w:r>
      <w:r w:rsidR="00825581">
        <w:rPr>
          <w:rFonts w:ascii="楷体" w:eastAsia="楷体" w:hAnsi="楷体" w:hint="eastAsia"/>
          <w:sz w:val="24"/>
          <w:szCs w:val="28"/>
        </w:rPr>
        <w:t>为</w:t>
      </w:r>
      <w:r>
        <w:rPr>
          <w:rFonts w:ascii="楷体" w:eastAsia="楷体" w:hAnsi="楷体" w:hint="eastAsia"/>
          <w:sz w:val="24"/>
          <w:szCs w:val="28"/>
        </w:rPr>
        <w:t>“中古庄园”，</w:t>
      </w:r>
      <w:r w:rsidR="00825581">
        <w:rPr>
          <w:rFonts w:ascii="楷体" w:eastAsia="楷体" w:hAnsi="楷体" w:hint="eastAsia"/>
          <w:sz w:val="24"/>
          <w:szCs w:val="28"/>
        </w:rPr>
        <w:t>东汉财政是否较西汉的拮据，作者并没有提供证据证明；就算东汉中央财政的确较西汉来得窘迫，但却不能说明这是因为东汉的“中古庄园”所导致。上述问题在都没有为学界广泛的认同前提下，草率地不加以论证地提及，</w:t>
      </w:r>
      <w:r w:rsidR="00EF0751">
        <w:rPr>
          <w:rFonts w:ascii="楷体" w:eastAsia="楷体" w:hAnsi="楷体" w:hint="eastAsia"/>
          <w:sz w:val="24"/>
          <w:szCs w:val="28"/>
        </w:rPr>
        <w:t>极</w:t>
      </w:r>
      <w:r w:rsidR="00825581">
        <w:rPr>
          <w:rFonts w:ascii="楷体" w:eastAsia="楷体" w:hAnsi="楷体" w:hint="eastAsia"/>
          <w:sz w:val="24"/>
          <w:szCs w:val="28"/>
        </w:rPr>
        <w:t>容易因此</w:t>
      </w:r>
      <w:r w:rsidR="00EF0751">
        <w:rPr>
          <w:rFonts w:ascii="楷体" w:eastAsia="楷体" w:hAnsi="楷体" w:hint="eastAsia"/>
          <w:sz w:val="24"/>
          <w:szCs w:val="28"/>
        </w:rPr>
        <w:t>而</w:t>
      </w:r>
      <w:r w:rsidR="00825581">
        <w:rPr>
          <w:rFonts w:ascii="楷体" w:eastAsia="楷体" w:hAnsi="楷体" w:hint="eastAsia"/>
          <w:sz w:val="24"/>
          <w:szCs w:val="28"/>
        </w:rPr>
        <w:t>犯严重的错误，导致论证效用</w:t>
      </w:r>
      <w:r w:rsidR="00EF0751">
        <w:rPr>
          <w:rFonts w:ascii="楷体" w:eastAsia="楷体" w:hAnsi="楷体" w:hint="eastAsia"/>
          <w:sz w:val="24"/>
          <w:szCs w:val="28"/>
        </w:rPr>
        <w:t>打</w:t>
      </w:r>
      <w:r w:rsidR="00825581">
        <w:rPr>
          <w:rFonts w:ascii="楷体" w:eastAsia="楷体" w:hAnsi="楷体" w:hint="eastAsia"/>
          <w:sz w:val="24"/>
          <w:szCs w:val="28"/>
        </w:rPr>
        <w:t>折扣甚至是腰斩</w:t>
      </w:r>
      <w:r w:rsidR="00EF0751">
        <w:rPr>
          <w:rFonts w:ascii="楷体" w:eastAsia="楷体" w:hAnsi="楷体" w:hint="eastAsia"/>
          <w:sz w:val="24"/>
          <w:szCs w:val="28"/>
        </w:rPr>
        <w:t>。</w:t>
      </w:r>
      <w:r w:rsidR="00825581">
        <w:rPr>
          <w:rFonts w:ascii="楷体" w:eastAsia="楷体" w:hAnsi="楷体" w:hint="eastAsia"/>
          <w:sz w:val="24"/>
          <w:szCs w:val="28"/>
        </w:rPr>
        <w:t>这一问题在秦晖的《传统十论》和《田园诗与狂想曲》中都有生动的体现</w:t>
      </w:r>
      <w:r w:rsidR="008267DF">
        <w:rPr>
          <w:rFonts w:ascii="楷体" w:eastAsia="楷体" w:hAnsi="楷体" w:hint="eastAsia"/>
          <w:sz w:val="24"/>
          <w:szCs w:val="28"/>
        </w:rPr>
        <w:t>，后果不可谓不严重。</w:t>
      </w:r>
    </w:p>
    <w:sectPr w:rsidR="006713C7" w:rsidRPr="00042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74"/>
    <w:rsid w:val="00042D5E"/>
    <w:rsid w:val="00045405"/>
    <w:rsid w:val="001801B2"/>
    <w:rsid w:val="001F0398"/>
    <w:rsid w:val="0043587B"/>
    <w:rsid w:val="006713C7"/>
    <w:rsid w:val="00803916"/>
    <w:rsid w:val="00825581"/>
    <w:rsid w:val="008267DF"/>
    <w:rsid w:val="00897074"/>
    <w:rsid w:val="009700E9"/>
    <w:rsid w:val="00B007DE"/>
    <w:rsid w:val="00BE4477"/>
    <w:rsid w:val="00E34F23"/>
    <w:rsid w:val="00EF0751"/>
    <w:rsid w:val="00F7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E393"/>
  <w15:chartTrackingRefBased/>
  <w15:docId w15:val="{3A33A728-4DBD-48EC-8012-AC4A00E8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9</cp:revision>
  <dcterms:created xsi:type="dcterms:W3CDTF">2022-05-29T11:28:00Z</dcterms:created>
  <dcterms:modified xsi:type="dcterms:W3CDTF">2022-05-30T10:13:00Z</dcterms:modified>
</cp:coreProperties>
</file>