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B753" w14:textId="24066CE5" w:rsidR="00594043" w:rsidRDefault="00FB54F0" w:rsidP="00386D9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魏向东的基本观点，为玄宗时期宰相制度可称为政事堂宰相独断制，唐朝中后期，通过延英议政制度的建立，逐步形成了皇帝总揽大权、君相共同决策、宰相负责实际政务的新格局，并随着制约相权的翰林学士、御史、谏官权力扩大，尤其是宦官势力的恶性膨胀，相权被极大削弱。</w:t>
      </w:r>
      <w:r w:rsidR="00366558">
        <w:rPr>
          <w:rFonts w:ascii="楷体" w:eastAsia="楷体" w:hAnsi="楷体" w:hint="eastAsia"/>
          <w:sz w:val="24"/>
          <w:szCs w:val="28"/>
        </w:rPr>
        <w:t>不过如果我们考虑到藩镇在中晚唐政治中的重要地位，有的学者甚至认为文官、宦官、节度使是中晚唐帝国得以维持的三基柱，则藩镇或许不仅对中央之权力有所影响，亦对宰相代表的朝廷文官权力有深刻影响。</w:t>
      </w:r>
      <w:r w:rsidR="00434AD5">
        <w:rPr>
          <w:rFonts w:ascii="楷体" w:eastAsia="楷体" w:hAnsi="楷体" w:hint="eastAsia"/>
          <w:sz w:val="24"/>
          <w:szCs w:val="28"/>
        </w:rPr>
        <w:t>其次，宦官权力的膨胀或许我们可以用皇权未能得到良好运行来作解释，后者发生在前，前者发生在后，久而久之，积弊难返。</w:t>
      </w:r>
    </w:p>
    <w:p w14:paraId="02A8E283" w14:textId="02465DAB" w:rsidR="00386D96" w:rsidRPr="00FB54F0" w:rsidRDefault="00386D96" w:rsidP="00386D96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本文完全是就</w:t>
      </w:r>
      <w:r w:rsidR="000F5F4A">
        <w:rPr>
          <w:rFonts w:ascii="楷体" w:eastAsia="楷体" w:hAnsi="楷体" w:hint="eastAsia"/>
          <w:sz w:val="24"/>
          <w:szCs w:val="28"/>
        </w:rPr>
        <w:t>唐朝的情况立论，如果能够纵览全盘，考虑从秦汉到明清，宰相或文官首领权位的起伏，及发挥之作用，则会对一朝一代之文物制度有更深刻之认识，可惜笔者目前尚未读到有此宏图与相应之笔力的著作。</w:t>
      </w:r>
    </w:p>
    <w:sectPr w:rsidR="00386D96" w:rsidRPr="00FB5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28"/>
    <w:rsid w:val="000F5F4A"/>
    <w:rsid w:val="001D0864"/>
    <w:rsid w:val="00366558"/>
    <w:rsid w:val="00386D96"/>
    <w:rsid w:val="00434AD5"/>
    <w:rsid w:val="00496328"/>
    <w:rsid w:val="00594043"/>
    <w:rsid w:val="00FB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368F"/>
  <w15:chartTrackingRefBased/>
  <w15:docId w15:val="{D700D60E-94B6-48FD-B514-61CBBA56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5</cp:revision>
  <dcterms:created xsi:type="dcterms:W3CDTF">2022-06-14T10:20:00Z</dcterms:created>
  <dcterms:modified xsi:type="dcterms:W3CDTF">2022-06-14T10:34:00Z</dcterms:modified>
</cp:coreProperties>
</file>