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5A5C" w14:textId="29459F23" w:rsidR="00A13387" w:rsidRDefault="00E66E9E" w:rsidP="009D539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文的要旨，作者马子木已在前言中明确指出：基于18世纪理学官僚的视角，考察其对道德教化、事功、朱陆异同等问题的看法，试图回答如何实现一种地方治理，如何构建学统，将自身安置在本朝“正学”之中。</w:t>
      </w:r>
      <w:r w:rsidR="009D5391">
        <w:rPr>
          <w:rFonts w:ascii="宋体" w:eastAsia="宋体" w:hAnsi="宋体" w:hint="eastAsia"/>
          <w:sz w:val="24"/>
          <w:szCs w:val="28"/>
        </w:rPr>
        <w:t>如果要点评本文的成果，大概是各个方向上都有所施展，但却都不够深入，基本上只是浮于表面。</w:t>
      </w:r>
    </w:p>
    <w:p w14:paraId="73AC04EB" w14:textId="19A55119" w:rsidR="009D5391" w:rsidRDefault="009D5391" w:rsidP="009D5391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试举一例，在“阳明学的再评价”部分，作者最后得出结论，</w:t>
      </w:r>
      <w:r w:rsidR="00262C0F">
        <w:rPr>
          <w:rFonts w:ascii="宋体" w:eastAsia="宋体" w:hAnsi="宋体" w:hint="eastAsia"/>
          <w:sz w:val="24"/>
          <w:szCs w:val="28"/>
        </w:rPr>
        <w:t>理学官僚出于经世致用的实用立场，在尊朱子学的大前提下，主张调和阳明学与朱子学的分歧，较少受门户之见的影响。</w:t>
      </w:r>
      <w:r w:rsidR="0082655C">
        <w:rPr>
          <w:rFonts w:ascii="宋体" w:eastAsia="宋体" w:hAnsi="宋体" w:hint="eastAsia"/>
          <w:sz w:val="24"/>
          <w:szCs w:val="28"/>
        </w:rPr>
        <w:t>问题在于，与其说这是因为理学官僚思想上的开放包容，毋宁说是他们根本未曾真正进入学术的“门户”之中，更谈不上有所谓“门户之见”。反例即为当时学术的“主流”，汉学家们大都持有程朱陆王某一家之见，或者干脆统统反对而自立门户</w:t>
      </w:r>
      <w:r w:rsidR="007C34FA">
        <w:rPr>
          <w:rFonts w:ascii="宋体" w:eastAsia="宋体" w:hAnsi="宋体" w:hint="eastAsia"/>
          <w:sz w:val="24"/>
          <w:szCs w:val="28"/>
        </w:rPr>
        <w:t>。</w:t>
      </w:r>
      <w:r w:rsidR="0082655C">
        <w:rPr>
          <w:rFonts w:ascii="宋体" w:eastAsia="宋体" w:hAnsi="宋体" w:hint="eastAsia"/>
          <w:sz w:val="24"/>
          <w:szCs w:val="28"/>
        </w:rPr>
        <w:t>理学官僚的看似“包容”或许只是技术性官僚群体中常见的“事务主义”思想</w:t>
      </w:r>
      <w:r w:rsidR="007C34FA">
        <w:rPr>
          <w:rFonts w:ascii="宋体" w:eastAsia="宋体" w:hAnsi="宋体" w:hint="eastAsia"/>
          <w:sz w:val="24"/>
          <w:szCs w:val="28"/>
        </w:rPr>
        <w:t>，其实对义理本身的关注不够，也无甚大之影响。</w:t>
      </w:r>
    </w:p>
    <w:p w14:paraId="7624E420" w14:textId="76B85E72" w:rsidR="003F03D8" w:rsidRPr="003F03D8" w:rsidRDefault="003F03D8" w:rsidP="009D5391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其他部分的研究也大抵如此类，许多概念只是停留在较为浅显的一层，作者确实就某些问题做出了独创性的见解，但合在一起，无法支撑起一篇有分量的文章</w:t>
      </w:r>
      <w:r w:rsidR="009E329F">
        <w:rPr>
          <w:rFonts w:ascii="宋体" w:eastAsia="宋体" w:hAnsi="宋体" w:hint="eastAsia"/>
          <w:sz w:val="24"/>
          <w:szCs w:val="28"/>
        </w:rPr>
        <w:t>。也就是说，本文的成果大体上还是过渡性的，尚不是“十八世纪理学官僚”研究的定论，对于理学在清朝中叶的影响的研究，也还起不到太大的参考价值。</w:t>
      </w:r>
    </w:p>
    <w:sectPr w:rsidR="003F03D8" w:rsidRPr="003F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1"/>
    <w:rsid w:val="00051351"/>
    <w:rsid w:val="00262C0F"/>
    <w:rsid w:val="003F03D8"/>
    <w:rsid w:val="007C34FA"/>
    <w:rsid w:val="0082655C"/>
    <w:rsid w:val="009D5391"/>
    <w:rsid w:val="009E329F"/>
    <w:rsid w:val="00A13387"/>
    <w:rsid w:val="00C52EE5"/>
    <w:rsid w:val="00E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3E81"/>
  <w15:chartTrackingRefBased/>
  <w15:docId w15:val="{255E7A65-8B5A-4239-8976-2172E9E8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2022-07-01T09:56:00Z</dcterms:created>
  <dcterms:modified xsi:type="dcterms:W3CDTF">2022-07-01T10:26:00Z</dcterms:modified>
</cp:coreProperties>
</file>