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13.xml" ContentType="application/vnd.ms-office.chartcolorstyle+xml"/>
  <Override PartName="/word/charts/colors14.xml" ContentType="application/vnd.ms-office.chartcolorstyle+xml"/>
  <Override PartName="/word/charts/colors15.xml" ContentType="application/vnd.ms-office.chartcolorstyle+xml"/>
  <Override PartName="/word/charts/colors16.xml" ContentType="application/vnd.ms-office.chartcolorstyle+xml"/>
  <Override PartName="/word/charts/colors17.xml" ContentType="application/vnd.ms-office.chartcolorstyle+xml"/>
  <Override PartName="/word/charts/colors18.xml" ContentType="application/vnd.ms-office.chartcolorstyle+xml"/>
  <Override PartName="/word/charts/colors19.xml" ContentType="application/vnd.ms-office.chartcolorstyle+xml"/>
  <Override PartName="/word/charts/colors2.xml" ContentType="application/vnd.ms-office.chartcolorstyle+xml"/>
  <Override PartName="/word/charts/colors20.xml" ContentType="application/vnd.ms-office.chartcolorstyle+xml"/>
  <Override PartName="/word/charts/colors21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13.xml" ContentType="application/vnd.ms-office.chartstyle+xml"/>
  <Override PartName="/word/charts/style14.xml" ContentType="application/vnd.ms-office.chartstyle+xml"/>
  <Override PartName="/word/charts/style15.xml" ContentType="application/vnd.ms-office.chartstyle+xml"/>
  <Override PartName="/word/charts/style16.xml" ContentType="application/vnd.ms-office.chartstyle+xml"/>
  <Override PartName="/word/charts/style17.xml" ContentType="application/vnd.ms-office.chartstyle+xml"/>
  <Override PartName="/word/charts/style18.xml" ContentType="application/vnd.ms-office.chartstyle+xml"/>
  <Override PartName="/word/charts/style19.xml" ContentType="application/vnd.ms-office.chartstyle+xml"/>
  <Override PartName="/word/charts/style2.xml" ContentType="application/vnd.ms-office.chartstyle+xml"/>
  <Override PartName="/word/charts/style20.xml" ContentType="application/vnd.ms-office.chartstyle+xml"/>
  <Override PartName="/word/charts/style21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02809">
      <w:pPr>
        <w:pStyle w:val="5"/>
      </w:pPr>
      <w:bookmarkStart w:id="1" w:name="_GoBack"/>
      <w:bookmarkEnd w:id="1"/>
      <w:r>
        <w:rPr>
          <w:rFonts w:hint="eastAsia"/>
        </w:rPr>
        <w:t>1.2债券ETF的市场发展情况</w:t>
      </w:r>
    </w:p>
    <w:p w14:paraId="1E9CD376">
      <w:pPr>
        <w:pStyle w:val="5"/>
      </w:pPr>
      <w:r>
        <w:rPr>
          <w:rFonts w:hint="eastAsia"/>
        </w:rPr>
        <w:t>1.2.1全球债券ETF资产规模</w:t>
      </w:r>
    </w:p>
    <w:p w14:paraId="55988550">
      <w:r>
        <w:tab/>
      </w:r>
      <w:r>
        <w:t>截至报告期末，全球债券ETF总规模约为3.42万亿美元，其资产在全球范围内的分布呈现出极强的集中性，核心资产高度聚集于少数国家和地区。从具体分布来看，前5大资产持有国家/地区依次为美国、爱尔兰、卢森堡、加拿大和中国台湾地区（中国），合计占比达94.20%，剩余仅5.80%的资产分散在其他国家和地区。其中，美国以2.33万亿美元的总资产规模遥遥领先，占比高达67.90%，是全球债券ETF的绝对核心市场，其规模远超其他所有地区之和；爱尔兰排名第二，资产规模约4869.12亿美元，占比14.20%，是仅次于美国的重要市场，二者合计占比超82.10%，奠定了全球市场的基本格局；卢森堡以1658.81亿美元的规模位列第三，占比4.80%；加拿大和中国台湾地区（中国）分别以1449.24亿美元、982.18亿美元的规模跻身前五，占比依次为4.20%和2.90%。</w:t>
      </w:r>
    </w:p>
    <w:p w14:paraId="573F255A">
      <w:r>
        <w:tab/>
      </w:r>
      <w:r>
        <w:t>值得注意的是，作为全球金融市场定价中枢的美国，在该类基金市场中占据绝对主导地位，而爱尔兰、卢森堡作为欧洲中小型经济体，虽经济体量远不及美国、日本等传统金融强国，却凭借成熟的跨境金融架构、优惠的税收政策及UCITS指令带来的流通优势跻身前三大市场，反映出这两个地区在债券ETF领域的独特离岸金融地位及全球资金的配置偏好；而德国、日本等传统经济和金融强国，当前在该类基金市场中的占比相对较低，或反映出其债券ETF市场发展特征、底层资产结构及投资者配置倾向的差异，其中日本债券ETF以政府债为主、产品丰富度有限的特点也一定</w:t>
      </w:r>
      <w:r>
        <w:rPr>
          <w:rFonts w:hint="eastAsia"/>
        </w:rPr>
        <w:t>。</w:t>
      </w:r>
    </w:p>
    <w:p w14:paraId="1960950D">
      <w:pPr>
        <w:jc w:val="center"/>
      </w:pPr>
      <w:r>
        <w:drawing>
          <wp:inline distT="0" distB="0" distL="0" distR="0">
            <wp:extent cx="4544060" cy="2711450"/>
            <wp:effectExtent l="0" t="0" r="8890" b="12700"/>
            <wp:docPr id="21" name="图表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942CAF2">
      <w:pPr>
        <w:jc w:val="center"/>
      </w:pPr>
      <w:r>
        <w:drawing>
          <wp:inline distT="0" distB="0" distL="0" distR="0">
            <wp:extent cx="3416935" cy="1251585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7ABD">
      <w:pPr>
        <w:rPr>
          <w:color w:val="FF0000"/>
          <w:sz w:val="15"/>
          <w:szCs w:val="15"/>
        </w:rPr>
      </w:pPr>
      <w:bookmarkStart w:id="0" w:name="OLE_LINK2"/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bookmarkEnd w:id="0"/>
    <w:p w14:paraId="30214974">
      <w:pPr>
        <w:pStyle w:val="5"/>
        <w:spacing w:before="0" w:after="0" w:line="240" w:lineRule="auto"/>
      </w:pPr>
      <w:r>
        <w:rPr>
          <w:rFonts w:hint="eastAsia"/>
        </w:rPr>
        <w:t>1.2.2 规模走势，推动市场规模增长的原因</w:t>
      </w:r>
    </w:p>
    <w:p w14:paraId="6F23B0CA">
      <w:pPr>
        <w:ind w:firstLine="420"/>
      </w:pPr>
      <w:r>
        <w:t>结合前文全球债券 ETF 市场的整体格局分析及研究精准性需求，为精准挖掘不同发展阶段、不同功能定位区域市场的发展逻辑、竞争特征及核心投资价值，本文聚焦选取美国、日本、新加坡、中国香港（以下简称 “美日新港”）四大地区作为核心研究对象。四大地区既涵盖全球债券 ETF 市场的成熟标杆与定价核心（美国），也囊括亚太区域重要的跨境金融枢纽（日本、新加坡、中国香港），其市场发展路径、产品结构特征及资金流动规律，对全球及亚太区域同类市场具备较强参考价值，同时为本文后续深度解析各区域市场差异、提炼针对性投资逻辑奠定核心样本支撑。</w:t>
      </w:r>
    </w:p>
    <w:p w14:paraId="73A7D96D">
      <w:pPr>
        <w:ind w:firstLine="420"/>
        <w:rPr>
          <w:rFonts w:hint="eastAsia"/>
        </w:rPr>
      </w:pPr>
    </w:p>
    <w:p w14:paraId="198D5CD7">
      <w:pPr>
        <w:pStyle w:val="6"/>
        <w:spacing w:before="0" w:after="0" w:line="240" w:lineRule="auto"/>
      </w:pPr>
      <w:r>
        <w:rPr>
          <w:rFonts w:hint="eastAsia"/>
        </w:rPr>
        <w:t>一、各国 / 地区市场规模走势分析</w:t>
      </w:r>
    </w:p>
    <w:p w14:paraId="5F2F7062">
      <w:r>
        <w:rPr>
          <w:rFonts w:hint="eastAsia"/>
        </w:rPr>
        <w:t>美国：全球绝对主导，持续增长</w:t>
      </w:r>
    </w:p>
    <w:p w14:paraId="7006625D">
      <w:pPr>
        <w:ind w:firstLine="420"/>
      </w:pPr>
      <w:r>
        <w:t>美国债券ETF市场作为全球债券ETF行业的定价中枢与标杆市场，2000-2025年资产规模呈现“起步爆发—稳步高增—波动扩容”的三阶段演进特征，规模从2000年的2123.00万美元增长至2025年的2.26万亿美元，25年间实现超万倍扩张，其发展与美联储货币政策周期、全球避险需求、产品创新节奏高度绑定；其中2000-2002年为起步爆发期，低基数叠加产品红利催生指数级增速，2001年规模增至6016.00万美元、同比增长183.37%，2002年飙升至40.84亿美元、同比增速高达6689.11%，首只债券ETF的规模化推广与场内交易便捷性优势吸引机构试水配置，推动市场从萌芽迈入规模化门槛；2003-2012年为稳步高速增长期，规模从53.12亿美元增至2578.03亿美元、十年扩张超47倍，同比增速始终保持正增长且中枢稳定在30%-60%，2009年受金融危机后宽松政策影响增速回升至88.44%，全品类产品体系完善、避险资金涌入与被动投资理念兴起成为核心驱动，使其逐步成为机构资产配置核心工具；2013-2025年为波动增长期，规模从2530.46亿美元增至2.26万亿美元、13年扩张超8倍，增速受美联储货币政策周期主导呈现显著波动，2013年因Taper预期首次出现-1.85%的负增长，2022年激进加息下增速降至1.19%，2023-2025年则在降息预期升温、创新产品发力下回升至27.22%</w:t>
      </w:r>
      <w:r>
        <w:rPr>
          <w:rFonts w:hint="eastAsia"/>
        </w:rPr>
        <w:t>。</w:t>
      </w:r>
    </w:p>
    <w:p w14:paraId="425FEED9">
      <w:pPr>
        <w:ind w:firstLine="420"/>
        <w:rPr>
          <w:rFonts w:hint="eastAsia"/>
        </w:rPr>
      </w:pPr>
      <w:r>
        <w:t>整体来看，美国债券ETF市场25年的规模走势是“产品创新+货币政策+机构需求”三者共振的结果，兼具成长性与周期性，长期由被动投资趋势与产品创新驱动扩容，短期由货币政策周期主导波动节奏，2025年的高增印证了降息周期下的配置价值，后续有望在产品创新与全球避险需求支撑下延续稳健增长态势。</w:t>
      </w:r>
    </w:p>
    <w:p w14:paraId="566EB926">
      <w:pPr>
        <w:ind w:firstLine="420"/>
      </w:pPr>
      <w:r>
        <w:rPr>
          <w:highlight w:val="red"/>
        </w:rPr>
        <w:drawing>
          <wp:inline distT="0" distB="0" distL="0" distR="0">
            <wp:extent cx="4551680" cy="2533650"/>
            <wp:effectExtent l="0" t="0" r="127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E010CA1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294E397B">
      <w:r>
        <w:rPr>
          <w:rFonts w:hint="eastAsia"/>
        </w:rPr>
        <w:t>日本：高速增长后进入阶段性调整</w:t>
      </w:r>
    </w:p>
    <w:p w14:paraId="009526AC">
      <w:pPr>
        <w:ind w:firstLine="420"/>
      </w:pPr>
      <w:r>
        <w:t>日本债券ETF市场作为亚太地区典型的后发成长型市场，2000-2008年规模长期</w:t>
      </w:r>
      <w:r>
        <w:rPr>
          <w:rFonts w:hint="eastAsia"/>
        </w:rPr>
        <w:t>为0</w:t>
      </w:r>
      <w:r>
        <w:t>，处于市场培育空白阶段，尚未形成规模化发展格局；2009年首次实现突破，规模达1088.98万美元，正式迈入起步发展阶段，此后市场规模与增速呈现“快速攀升—高位波动—小幅调整”的清晰演进特征，且与日本央行货币政策、机构配置需求高度绑定。2010年规模增至3612.67万美元，同比大幅增长231.75%（低基数效应主导）；2011-2013年增速逐步回落，分别为70.85%、19.29%，2013年规模降至6799.58万美元，同比小幅下降7.65%，主要因市场初期产品体系不完善、养老金等机构配置需求尚未充分释放。2014-2021年市场进入高速增长通道，规模从9076.68万美元持续攀升至38.47亿美元，期间2016年规模达2.96亿美元，同比增速高达179.34%，2019-2021年增速均维持在70%以上，核心驱动力源于日本央行持续加码量化宽松政策、长线机构提升债券ETF配置比例，以及产品创新逐步丰富带动市场吸引力提升。2022-2025年市场转入波动调整期，2022-2024年规模从47.90亿美元增至91.80亿美元，增速回落至20%-56%区间，2025年规模降至89.45亿美元，同比小幅下降2.56%，主要受日本央行货币政策边际调整、全球利率环境波动及国内债券市场估值承压影响。</w:t>
      </w:r>
    </w:p>
    <w:p w14:paraId="66BEE98E">
      <w:pPr>
        <w:ind w:firstLine="420"/>
        <w:rPr>
          <w:rFonts w:hint="eastAsia"/>
        </w:rPr>
      </w:pPr>
      <w:r>
        <w:t>整体来看，日本债券ETF市场后发增长特征显著，规模走势高度依赖政策导向与机构配置需求，短期虽受市场环境影响出现小幅调整，但长期随着产品体系完善与跨境资金流入，仍具备一定成长空间。</w:t>
      </w:r>
    </w:p>
    <w:p w14:paraId="4ED918EC">
      <w:pPr>
        <w:ind w:firstLine="420"/>
      </w:pPr>
      <w:r>
        <w:drawing>
          <wp:inline distT="0" distB="0" distL="0" distR="0">
            <wp:extent cx="4581525" cy="2727325"/>
            <wp:effectExtent l="0" t="0" r="9525" b="15875"/>
            <wp:docPr id="23" name="图表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20193D6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799DED2C"/>
    <w:p w14:paraId="3AA0B037">
      <w:r>
        <w:rPr>
          <w:rFonts w:hint="eastAsia"/>
        </w:rPr>
        <w:t>新加坡：</w:t>
      </w:r>
      <w:r>
        <w:t>稳步波动增长且整体规模相对偏小</w:t>
      </w:r>
    </w:p>
    <w:p w14:paraId="559786FA">
      <w:pPr>
        <w:ind w:firstLine="420"/>
      </w:pPr>
      <w:r>
        <w:t>新加坡作为亚太地区核心跨境金融枢纽，其债券ETF市场2000-2004年规模长期维持0美元，处于市场培育空白阶段，尚未形成规模化交易体系；2005年首次实现突破，规模达13.70亿美元，正式迈入起步发展阶段，此后市场规模与增速呈现“起步培育—平稳波动—快速提升—调整回升”的演进特征，走势与全球跨境资金流动、区域货币政策及产品创新节奏高度绑定。2006年规模增至17.20亿美元，同比增长25.54%；2007年受全球金融市场波动及初期产品同质化影响，规模回落至16.32亿美元，同比下降5.13%；2008-2010年规模逐步回升，2010年达26.28亿美元，同比增长25.81%，此阶段核心依托跨境资金避险需求，叠加本地金融监管层对ETF产品的政策支持，市场逐步积累发展动能。2011-2020年市场进入平稳波动期，规模从29.52亿美元波动增长至52.57亿美元，期间2013-2015年出现连续小幅负增长，同比分别为-4.53%、-0.34%、-2.38%，主要因全球流动性周期切换，跨境资金阶段性回流发达市场，叠加新加坡本地债券ETF产品以跨境计价为主，受汇率波动影响较大；2021年市场迎来快速提升，规模增至73.98亿美元，同比增长40.74%，核心驱动力源于全球流动性宽松延续、亚太区域跨境投融资需求旺盛，以及新加坡推出更多适配跨境配置的债券ETF产品，进一步凸显其金融枢纽优势。2022-2025年市场转入调整回升期，2022年规模微增至74.26亿美元，同比仅增长0.37%；2023年受全球加息周期及跨境资金外流影响，规模大幅回落至53.74亿美元，同比下降27.63%；2024-2025年逐步回升，2024年规模增至64.88亿美元，同比增长20.72%，2025年达68.97亿美元，同比增长6.31%，此阶段回升动力来自全球降息预期升温，跨境资金重新流入亚太市场，叠加新加坡持续优化跨境金融服务，巩固其区域资产配置中心地位。</w:t>
      </w:r>
    </w:p>
    <w:p w14:paraId="6EBA247B">
      <w:pPr>
        <w:ind w:firstLine="420"/>
      </w:pPr>
      <w:r>
        <w:t>整体来看，新加坡债券ETF市场规模走势与全球跨境资金流动高度联动，跨境金融枢纽优势是其核心竞争力，短期虽受全球利率环境影响出现波动，长期随着亚太区域经济复苏及跨境金融服务完善，市场仍具备稳步增长的空间。</w:t>
      </w:r>
    </w:p>
    <w:p w14:paraId="0A127ABA">
      <w:pPr>
        <w:ind w:firstLine="420"/>
      </w:pPr>
      <w:r>
        <w:drawing>
          <wp:inline distT="0" distB="0" distL="0" distR="0">
            <wp:extent cx="4577080" cy="2726055"/>
            <wp:effectExtent l="0" t="0" r="13970" b="17145"/>
            <wp:docPr id="24" name="图表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B05C3A9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01FAF2B0"/>
    <w:p w14:paraId="133CF77F">
      <w:r>
        <w:rPr>
          <w:rFonts w:hint="eastAsia"/>
        </w:rPr>
        <w:t>香港：</w:t>
      </w:r>
      <w:r>
        <w:t>脉冲式剧烈震荡</w:t>
      </w:r>
    </w:p>
    <w:p w14:paraId="7B607E56">
      <w:r>
        <w:tab/>
      </w:r>
      <w:r>
        <w:t>中国香港作为连接内地与全球的核心跨境金融枢纽，其债券ETF市场2000-2004年规模长期维持</w:t>
      </w:r>
      <w:r>
        <w:rPr>
          <w:rFonts w:hint="eastAsia"/>
        </w:rPr>
        <w:t>为0</w:t>
      </w:r>
      <w:r>
        <w:t>；2005年首次实现突破，规模达275.21万美元，正式迈入起步发展阶段，此后市场规模与增速呈现“起步培育—脉冲爆发—波动调整”的鲜明特征，走势与南向资金流动、跨境人民币业务发展及全球金融市场环境高度绑定。2006-2013年为起步培育期，规模从286.76万美元波动增长至3825.59万美元，增速呈现“窄幅震荡”特征，2008年受全球金融危机影响规模回落至299.78万美元，同比下降4.25%，2012年依托区域资金配置需求增长至4417.97万美元，同比增长31.29%，2013年又因市场流动性不足、产品同质化等因素回落至3825.59万美元，同比下降13.41%，此阶段核心受制于市场初期产品体系不完善、机构配置需求尚未充分释放，整体增长节奏较为平缓。2014-2021年为脉冲爆发期，市场规模呈现“跳跃式增长—大幅回调—再爆发”的脉冲特征，2014年规模跃升至12172.08万美元，同比激增218.18%，随后2015-2016年连续回调，规模降至5605.32万美元，同比分别下降40.31%、22.85%；2019-2021年再度迎来爆发，2021年规模飙升至19508.71万美元，同比增长221.21%，核心驱动力源于南向资金持续涌入、跨境人民币业务快速发展，叠加全球避险资金配置需求提升，香港作为离岸人民币枢纽的优势进一步凸显，适配跨境配置的债券ETF产品吸引力大幅增强。2022-2025年为波动调整期，2022年受全球流动性收紧、南向资金阶段性流出影响，规模回落至17443.30万美元，同比下降10.59%；2023年延续小幅回调态势，规模降至16867.84万美元，同比下降3.30%；2024年依托跨境投融资需求回暖，规模回升至22534.11万美元，同比增长33.59%；2025年受短期资金获利了结、全球资金流动波动影响，规模回落至20772.52万美元，同比下降7.82%。</w:t>
      </w:r>
    </w:p>
    <w:p w14:paraId="3135F004">
      <w:pPr>
        <w:rPr>
          <w:rFonts w:hint="eastAsia"/>
        </w:rPr>
      </w:pPr>
      <w:r>
        <w:tab/>
      </w:r>
      <w:r>
        <w:t>整体来看，中国香港债券ETF市场规模走势波动幅度为美日新港四大地区之最，脉冲式增长特征显著，核心依赖南向资金流入与跨境金融业务红利，短期虽受全球市场环境与资金流动影响出现波动，但长期依托连接内地与全球的“超级联系人”地位，叠加跨境人民币资产配置需求提升，市场具备持续成长的基础。</w:t>
      </w:r>
    </w:p>
    <w:p w14:paraId="142A30BE">
      <w:pPr>
        <w:ind w:firstLine="420"/>
      </w:pPr>
      <w:r>
        <w:drawing>
          <wp:inline distT="0" distB="0" distL="0" distR="0">
            <wp:extent cx="4575175" cy="2725420"/>
            <wp:effectExtent l="0" t="0" r="15875" b="17780"/>
            <wp:docPr id="25" name="图表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EBDB600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319CB6F3"/>
    <w:p w14:paraId="2853C4D7">
      <w:pPr>
        <w:pStyle w:val="6"/>
      </w:pPr>
      <w:r>
        <w:rPr>
          <w:rFonts w:hint="eastAsia"/>
        </w:rPr>
        <w:t>1.2.3 主要国家情况</w:t>
      </w:r>
    </w:p>
    <w:p w14:paraId="669DDCF5">
      <w:pPr>
        <w:pStyle w:val="6"/>
      </w:pPr>
      <w:r>
        <w:rPr>
          <w:rFonts w:hint="eastAsia"/>
        </w:rPr>
        <w:t>持有人结构：</w:t>
      </w:r>
    </w:p>
    <w:p w14:paraId="513292CC">
      <w:pPr>
        <w:rPr>
          <w:b/>
          <w:bCs/>
        </w:rPr>
      </w:pPr>
      <w:r>
        <w:rPr>
          <w:rFonts w:hint="eastAsia"/>
          <w:b/>
          <w:bCs/>
        </w:rPr>
        <w:t>整体来看：</w:t>
      </w:r>
    </w:p>
    <w:p w14:paraId="1C367640">
      <w:pPr>
        <w:ind w:firstLine="42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四地债券ETF市场均呈现出显著的“头部集中”特征，但集中度水平与结构存在明显区域差异。整体来看，香港与日本市场集中度最高，新加坡次之，美国相对分散但头部机构仍占据绝对主导地位。具体表现为：香港前5公司合计占比达96.33%，日本达97.84%，新加坡达97.63%，美国前5公司合计占比66.67%，剩余33.33%资产分散在其他机构中，这与美国市场规模庞大、机构数量众多、产品谱系更丰富的特点相符。从单一机构的市场掌控力看，各地区均有一家“超级龙头”：美国iShares Trust以36.89%的占比稳居第一，香港CSOP Asset Management Ltd以38.68%领跑，新加坡State Street ETFs以41.42%居首，日本iShares ETFs以42.94%占据主导，四地“超级龙头”的市场份额均超过35%，凸显头部机构的绝对优势。</w:t>
      </w:r>
    </w:p>
    <w:p w14:paraId="70633C6E"/>
    <w:p w14:paraId="2A12373B">
      <w:pPr>
        <w:rPr>
          <w:b/>
          <w:bCs/>
        </w:rPr>
      </w:pPr>
      <w:r>
        <w:rPr>
          <w:rFonts w:hint="eastAsia"/>
          <w:b/>
          <w:bCs/>
        </w:rPr>
        <w:t>1. 美国：多元巨头主导，市场分层清晰</w:t>
      </w:r>
    </w:p>
    <w:p w14:paraId="57082497">
      <w:pPr>
        <w:ind w:firstLine="420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美国债券ETF市场母公司的基金份额持有呈现“</w:t>
      </w:r>
      <w:r>
        <w:rPr>
          <w:rFonts w:asciiTheme="majorEastAsia" w:hAnsiTheme="majorEastAsia" w:eastAsiaTheme="majorEastAsia"/>
          <w:b/>
          <w:bCs/>
        </w:rPr>
        <w:t>寡头垄断、头部高度集中</w:t>
      </w:r>
      <w:r>
        <w:rPr>
          <w:rFonts w:asciiTheme="majorEastAsia" w:hAnsiTheme="majorEastAsia" w:eastAsiaTheme="majorEastAsia"/>
        </w:rPr>
        <w:t>”的鲜明格局，行业资源向头部龙头企业倾斜的特征显著，竞争壁垒较高。</w:t>
      </w:r>
    </w:p>
    <w:p w14:paraId="1B8BEEE9">
      <w:pPr>
        <w:ind w:firstLine="420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iShares、Vanguard、State Street（SPDR/SSGA）三家企业构成市场绝对第一梯队，分别以37.27%、25.94%、7.59%的份额合计占据超70%的市场份额，完全主导行业发展节奏——iShares凭借先发优势、全品类债券ETF产品矩阵以及强大的渠道覆盖能力，占据市场近四成份额，稳居龙头地位；Vanguard依托标志性的低费率策略与长期机构资金的偏好，在中低风险债券ETF赛道具备核心竞争力，份额占比超四分之一；State Street（SPDR/SSGA）作为ETF产品的开创者之一，在传统债券品类ETF领域积淀深厚，拥有稳固的市场地位。</w:t>
      </w:r>
    </w:p>
    <w:p w14:paraId="28DAE3C7">
      <w:pPr>
        <w:ind w:firstLine="420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Jp Morgan、Schwab Strategic两家企业构成第二梯队，份额占比分别为3.96%和3.15%，合计不足8%，受限于头部企业的规模壁垒，它们难以在全品类赛道正面抗衡，转而聚焦高收益债、新兴市场债等细分领域，通过差异化的产品设计和主动管理能力抢占特定客群市场。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Invesco、Pimco、Janus Detroit Street、First Trust等其余母公司则归入第三梯队，单家份额占比均低于2.5%，且多数处于1%-2%的区间，这类企业进一步缩小布局范围，或聚焦通胀保值债、可转债等特殊债券品类，或针对特定久期、信用等级的债券开发ETF产品，以专业化、精细化的策略在巨头夹缝中寻求生存空间。</w:t>
      </w:r>
    </w:p>
    <w:p w14:paraId="17DDA23C">
      <w:pPr>
        <w:ind w:firstLine="42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整体而言，美国债券ETF市场呈现“强者恒强”的马太效应，头部三巨头牢牢把控市场话语权，中小玩家则通过差异化、小众化路径实现错位竞争，共同构建起层次分明的行业竞争体系。</w:t>
      </w:r>
    </w:p>
    <w:p w14:paraId="2CA59C6F">
      <w:pPr>
        <w:jc w:val="center"/>
      </w:pPr>
      <w:r>
        <w:drawing>
          <wp:inline distT="0" distB="0" distL="0" distR="0">
            <wp:extent cx="4561205" cy="2759710"/>
            <wp:effectExtent l="0" t="0" r="10795" b="2540"/>
            <wp:docPr id="30" name="图表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96D2DDD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686F107C"/>
    <w:p w14:paraId="03365FDB"/>
    <w:p w14:paraId="4845A624">
      <w:pPr>
        <w:rPr>
          <w:rFonts w:hint="eastAsia"/>
        </w:rPr>
      </w:pPr>
      <w:r>
        <w:rPr>
          <w:rFonts w:hint="eastAsia"/>
        </w:rPr>
        <w:t>2. 日本：</w:t>
      </w:r>
      <w:r>
        <w:t>本土与国际龙头双寡头主导</w:t>
      </w:r>
    </w:p>
    <w:p w14:paraId="76D79139">
      <w:r>
        <w:tab/>
      </w:r>
      <w:r>
        <w:t>日本债券ETF市场母公司的持有占比呈现“双寡头主导、本土与国际龙头并存、中小玩家差异化补充”的格局，市场集中度较高且竞争层次分明，具体分析如下：</w:t>
      </w:r>
    </w:p>
    <w:p w14:paraId="46EB386F">
      <w:r>
        <w:tab/>
      </w:r>
      <w:r>
        <w:t>iShares ETFs/Japan与Nomura Asset Management Co Ltd两家企业构成市场绝对第一梯队，合计持有78.20%的份额，完全把控市场话语权。其中，iShares ETFs/Japan以42.66%的占比位居首位，依托其母公司贝莱德的全球资管资源、成熟的ETF产品设计能力和跨境渠道优势，在日本债券ETF市场占据核心地位；Nomura Asset Management Co Ltd作为本土资管巨头，以35.54%的占比紧随其后，凭借对日本本土债券市场的深度理解、广泛的线下渠道覆盖和机构客户资源，与iShares形成双寡头竞争格局。</w:t>
      </w:r>
    </w:p>
    <w:p w14:paraId="48E0D690">
      <w:r>
        <w:tab/>
      </w:r>
      <w:r>
        <w:t>Amova Asset Management Co Ltd以12.21%的份额构成市场第二梯队，属于本土中型资管机构，受限于头部企业的规模壁垒，无法在全品类债券ETF赛道正面抗衡，转而聚焦日本本土信用债、市政债等细分品类，通过精细化运营和差异化产品策略抢占特定客群市场。</w:t>
      </w:r>
    </w:p>
    <w:p w14:paraId="74941CCA">
      <w:r>
        <w:t>Global X Japan Co Ltd、Daiwa Asset Management Co Ltd等其余母公司归入第三梯队，单家份额占比均低于5%，合计占比不足10%。这类企业或聚焦于可转债、通胀保值债等小众债券品类，或针对特定久期、风险等级的债券开发ETF产品，以专业化、小众化的定位在巨头夹缝中寻求生存空间，整体对市场格局的影响较小。</w:t>
      </w:r>
    </w:p>
    <w:p w14:paraId="71216059">
      <w:r>
        <w:tab/>
      </w:r>
      <w:r>
        <w:t>整体来看，日本债券ETF市场由国际龙头与本土巨头共同主导，行业呈现显著的“强者恒强”特征，中小玩家则依托细分赛道的差异化策略实现错位发展。</w:t>
      </w:r>
    </w:p>
    <w:p w14:paraId="6C28B110">
      <w:pPr>
        <w:jc w:val="center"/>
      </w:pPr>
      <w:r>
        <w:drawing>
          <wp:inline distT="0" distB="0" distL="0" distR="0">
            <wp:extent cx="4431030" cy="3030220"/>
            <wp:effectExtent l="0" t="0" r="7620" b="17780"/>
            <wp:docPr id="31" name="图表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6B201AB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13A0685A"/>
    <w:p w14:paraId="032156A6"/>
    <w:p w14:paraId="45D24867">
      <w:pPr>
        <w:rPr>
          <w:rFonts w:hint="eastAsia"/>
        </w:rPr>
      </w:pPr>
      <w:r>
        <w:rPr>
          <w:rFonts w:hint="eastAsia"/>
        </w:rPr>
        <w:t>3. 新加坡：</w:t>
      </w:r>
      <w:r>
        <w:t>单龙头绝对把控的梯队化竞争</w:t>
      </w:r>
    </w:p>
    <w:p w14:paraId="39CFC701">
      <w:r>
        <w:tab/>
      </w:r>
      <w:r>
        <w:t>新加坡债券ETF市场母公司的持有情况呈现“单龙头绝对主导、梯队层级分明、国际与区域机构协同竞争”的格局，市场资源高度向头部企业集中，具体分析如下：</w:t>
      </w:r>
    </w:p>
    <w:p w14:paraId="1D9175F3">
      <w:r>
        <w:t xml:space="preserve">    State Street ETFs/Singapore以57.59%的超高份额稳居绝对龙头地位，凭借其母公司道富环球在ETF领域的深厚积淀、成熟的产品设计能力以及全球化的跨境资金渠道优势，牢牢占据新加坡债券ETF市场的核心话语权，其产品大概率覆盖新加坡本土及亚太区域高流动性债券标的，精准匹配跨境资金的配置需求。</w:t>
      </w:r>
    </w:p>
    <w:p w14:paraId="2B5B29FF">
      <w:r>
        <w:t xml:space="preserve">    Amova Asset Management Asia Ltd以24.89%的份额位列第二，属于区域型资管机构，受限于头部企业的规模壁垒，无法在全品类债券ETF赛道正面抗衡，转而聚焦亚太新兴市场债、高收益债等细分品类，凭借对区域市场的深度理解和本土化运营能力，抢占特定客群市场，与龙头形成互补竞争格局。</w:t>
      </w:r>
    </w:p>
    <w:p w14:paraId="7AFED360">
      <w:r>
        <w:t xml:space="preserve">    iShares ETFs/Singapore以12.37%的份额构成第三梯队主力，作为全球ETF巨头贝莱德旗下品牌，其在新加坡市场份额相对有限，大概率是基于全球化产品布局的策略性补充，聚焦部分高附加值的特色债券品类；CSOP Asset Management Pvt Ltd/Singapore、Lion Global Investors Ltd两家机构份额均低于3%，合计占比仅5.16%，多聚焦于人民币债券、新加坡本土市政债等小众标的，以专业化、精细化的定位在市场中寻求生存空间。</w:t>
      </w:r>
    </w:p>
    <w:p w14:paraId="5809927B">
      <w:pPr>
        <w:rPr>
          <w:rFonts w:hint="eastAsia"/>
        </w:rPr>
      </w:pPr>
      <w:r>
        <w:tab/>
      </w:r>
      <w:r>
        <w:t>整体来看，新加坡债券ETF市场的持有格局与自身亚太跨境金融枢纽的定位高度契合，国际龙头主导市场基调，区域与中小机构则通过细分赛道的差异化布局，共同构建起层次分明的市场竞争体系。</w:t>
      </w:r>
    </w:p>
    <w:p w14:paraId="45173A28">
      <w:pPr>
        <w:jc w:val="center"/>
      </w:pPr>
      <w:r>
        <w:drawing>
          <wp:inline distT="0" distB="0" distL="0" distR="0">
            <wp:extent cx="4566285" cy="2748280"/>
            <wp:effectExtent l="0" t="0" r="5715" b="13970"/>
            <wp:docPr id="32" name="图表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11A69FF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66ADA038"/>
    <w:p w14:paraId="4CB1C237"/>
    <w:p w14:paraId="458C5124">
      <w:pPr>
        <w:rPr>
          <w:rFonts w:hint="eastAsia"/>
        </w:rPr>
      </w:pPr>
      <w:r>
        <w:rPr>
          <w:rFonts w:hint="eastAsia"/>
        </w:rPr>
        <w:t>香港：</w:t>
      </w:r>
      <w:r>
        <w:t>本土与国际机构双龙头引领、中小机构多元补充</w:t>
      </w:r>
    </w:p>
    <w:p w14:paraId="25BFD493">
      <w:r>
        <w:tab/>
      </w:r>
      <w:r>
        <w:t>中国香港债券 ETF 市场母公司的持有情况呈现 “双龙头引领、本土与国际机构协同竞争、中小机构多元补充” 的格局，市场集中度较高且竞争层次清晰，与香港作为连接内地与全球的跨境金融枢纽定位高度契合，具体分析如下：</w:t>
      </w:r>
    </w:p>
    <w:p w14:paraId="118321A2">
      <w:r>
        <w:rPr>
          <w:b/>
          <w:bCs/>
        </w:rPr>
        <w:tab/>
      </w:r>
      <w:r>
        <w:t>CSOP Asset Management Ltd/Hong Kong 与 iShares ETFs/Hong Kong 构成市场第一梯队，合计持有 63.11%</w:t>
      </w:r>
      <w:r>
        <w:rPr>
          <w:b/>
          <w:bCs/>
        </w:rPr>
        <w:t>的份额，主导市场发展节奏。其中，CSOP Asset Management Ltd/Hong Kong 以</w:t>
      </w:r>
      <w:r>
        <w:t>38.76%</w:t>
      </w:r>
      <w:r>
        <w:rPr>
          <w:b/>
          <w:bCs/>
        </w:rPr>
        <w:t>的占比位居首位，作为深耕香港市场的本土资管机构，其优势在于对内地债券市场的深度理解，产品大概率聚焦于跨境人民币债券、中资美元债等特色标的，精准匹配南向资金与跨境资金的配置需求；iShares ETFs/Hong Kong 以</w:t>
      </w:r>
      <w:r>
        <w:t>24.35% 的占比紧随其后，依托母公司贝莱德的全球资管资源和成熟的 ETF 运作经验，布局覆盖全球及亚太区域的多元化债券标的，吸引国际资金参与配置。</w:t>
      </w:r>
    </w:p>
    <w:p w14:paraId="22BCA5C7">
      <w:r>
        <w:rPr>
          <w:b/>
          <w:bCs/>
        </w:rPr>
        <w:tab/>
      </w:r>
      <w:r>
        <w:t>HSBC Investment Funds Ltd/Hong Kong（15.97%）与 Premia Partners Co Ltd/Hong Kong（12.83%）构成第二梯队，合计占比近</w:t>
      </w:r>
      <w:r>
        <w:rPr>
          <w:b/>
          <w:bCs/>
        </w:rPr>
        <w:t>29%</w:t>
      </w:r>
      <w:r>
        <w:t>。HSBC 作为香港本土老牌金融巨头，凭借广泛的线下渠道、庞大的机构客户基础，在传统港元债券、高评级信用债 ETF 赛道具备稳固优势；Premia Partners Co Ltd/Hong Kong 则偏向特色化布局，大概率聚焦于高收益债、绿色债券等细分品类，通过差异化产品策略抢占细分客群市场。</w:t>
      </w:r>
    </w:p>
    <w:p w14:paraId="71182BED">
      <w:r>
        <w:rPr>
          <w:b/>
          <w:bCs/>
        </w:rPr>
        <w:tab/>
      </w:r>
      <w:r>
        <w:t>Mirae Asset Global Investments Hong Kong Ltd/HK（4.53%）、Hang Seng Investment Management Ltd（2.18%）等其余机构归入第三梯队，单家份额占比均低于 5%，合计占比不足 8%。这类机构或聚焦于新兴市场债券、主题型债券（如绿色债、可持续债），或深耕内地与香港互联互通相关的小众债券标的，以专业化、精细化的定位在巨头夹缝中寻求生存空间，进一步丰富了市场的产品供给。</w:t>
      </w:r>
    </w:p>
    <w:p w14:paraId="475A06AD">
      <w:r>
        <w:tab/>
      </w:r>
      <w:r>
        <w:t>整体来看，香港债券 ETF 市场的持有格局兼顾本土机构的跨境优势与国际机构的全球化布局，中小机构则通过细分赛道补充市场多样性，形成了层次分明、协同互补的竞争体系。</w:t>
      </w:r>
    </w:p>
    <w:p w14:paraId="48382E50"/>
    <w:p w14:paraId="23224A8F">
      <w:pPr>
        <w:jc w:val="center"/>
      </w:pPr>
      <w:r>
        <w:drawing>
          <wp:inline distT="0" distB="0" distL="0" distR="0">
            <wp:extent cx="4566920" cy="2747010"/>
            <wp:effectExtent l="0" t="0" r="5080" b="15240"/>
            <wp:docPr id="33" name="图表 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078B5B2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24B4F5BC">
      <w:pPr>
        <w:rPr>
          <w:rFonts w:hint="eastAsia"/>
        </w:rPr>
      </w:pPr>
    </w:p>
    <w:p w14:paraId="7CB4099A">
      <w:pPr>
        <w:pStyle w:val="6"/>
      </w:pPr>
      <w:r>
        <w:rPr>
          <w:rFonts w:hint="eastAsia"/>
        </w:rPr>
        <w:t>基金策略</w:t>
      </w:r>
    </w:p>
    <w:p w14:paraId="3786559C">
      <w:pPr>
        <w:rPr>
          <w:rFonts w:hint="eastAsia"/>
        </w:rPr>
      </w:pPr>
      <w:r>
        <w:rPr>
          <w:rFonts w:asciiTheme="majorEastAsia" w:hAnsiTheme="majorEastAsia" w:eastAsiaTheme="majorEastAsia"/>
          <w:b/>
          <w:bCs/>
        </w:rPr>
        <w:tab/>
      </w:r>
      <w:r>
        <w:rPr>
          <w:rFonts w:hint="eastAsia"/>
        </w:rPr>
        <w:t>美国债券 ETF 的基金资产配置策略呈现 “</w:t>
      </w:r>
      <w:r>
        <w:rPr>
          <w:rFonts w:hint="eastAsia"/>
          <w:b/>
          <w:bCs/>
        </w:rPr>
        <w:t>多元化分散布局、核心 - 卫星架构清晰、风险收益分层适配</w:t>
      </w:r>
      <w:r>
        <w:rPr>
          <w:rFonts w:hint="eastAsia"/>
        </w:rPr>
        <w:t>” 的特征，以合并类债券（28.57%）与公司债（22.43%）合计超 50% 的占比构成核心底仓，前者锚定组合流动性与稳健收益，后者凭借信用溢价增厚组合收益，同时以地方债（16.93%）与政府债（16.72%）合计超 33% 的低风险品类作为卫星配置，依托高信用等级属性对冲信用与市场波动风险，此外通过抵押担保债（2.96%）、资产支持证券（3.39%）等细分品类补充收益，以通胀保本债（4.13%）针对性对冲通胀风险，并用占比相对较低的可转换债券（0.85%）、银行贷款（1.59%）、优先债（2.43%）等小众品类点缀布局，借助可转债 “债性保底、股性增值” 及银行贷款浮动利率的特性，进一步提升组合在不同宏观周期下的弹性与适配性，最终实现组合安全性、收益性与灵活性的平衡。</w:t>
      </w:r>
    </w:p>
    <w:p w14:paraId="7496520B">
      <w:pPr>
        <w:jc w:val="center"/>
      </w:pPr>
      <w:r>
        <w:drawing>
          <wp:inline distT="0" distB="0" distL="0" distR="0">
            <wp:extent cx="4585335" cy="2335530"/>
            <wp:effectExtent l="0" t="0" r="5715" b="7620"/>
            <wp:docPr id="26" name="图表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ED2B221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7D3A32D0"/>
    <w:p w14:paraId="45D65C1E">
      <w:r>
        <w:tab/>
      </w:r>
      <w:r>
        <w:t>日本债券 ETF 的基金资产配置策略呈现 “超配低风险政府债、辅以少量信用类资产增厚收益”</w:t>
      </w:r>
      <w:r>
        <w:rPr>
          <w:b/>
          <w:bCs/>
        </w:rPr>
        <w:t>的保守稳健特征，整体风险偏好极低，与日本长期低利率的市场环境及机构资金的稳健配置需求高度适配。该策略以</w:t>
      </w:r>
      <w:r>
        <w:t>政府债（81.25%）</w:t>
      </w:r>
      <w:r>
        <w:rPr>
          <w:b/>
          <w:bCs/>
        </w:rPr>
        <w:t>作为绝对核心底仓，凭借政府信用背书的高安全性、低违约风险特性，锚定组合净值的稳定性，成为应对市场波动的 “压舱石”；同时以</w:t>
      </w:r>
      <w:r>
        <w:t>公司债（12.50%）</w:t>
      </w:r>
      <w:r>
        <w:rPr>
          <w:b/>
          <w:bCs/>
        </w:rPr>
        <w:t>和</w:t>
      </w:r>
      <w:r>
        <w:t>优先债（3.13%）</w:t>
      </w:r>
      <w:r>
        <w:rPr>
          <w:b/>
          <w:bCs/>
        </w:rPr>
        <w:t>作为卫星配置，合计占比约 15.63%，其中公司债凭借信用溢价贡献超额收益，优先债依托 “优先受偿” 条款进一步优化信用类资产的风险收益比；而</w:t>
      </w:r>
      <w:r>
        <w:t>抵押担保债（1.56%）</w:t>
      </w:r>
      <w:r>
        <w:rPr>
          <w:b/>
          <w:bCs/>
        </w:rPr>
        <w:t>与</w:t>
      </w:r>
      <w:r>
        <w:t>合并类债券（1.56%） 占比极低，仅作为小众品类点缀布局，旨在适度丰富组合资产类型，整体不改变策略的保守基调。</w:t>
      </w:r>
    </w:p>
    <w:p w14:paraId="494D5E38">
      <w:pPr>
        <w:ind w:firstLine="420"/>
        <w:rPr>
          <w:rFonts w:asciiTheme="majorEastAsia" w:hAnsiTheme="majorEastAsia" w:eastAsiaTheme="majorEastAsia"/>
        </w:rPr>
      </w:pPr>
      <w:r>
        <w:drawing>
          <wp:inline distT="0" distB="0" distL="0" distR="0">
            <wp:extent cx="4594860" cy="2173605"/>
            <wp:effectExtent l="0" t="0" r="15240" b="17145"/>
            <wp:docPr id="27" name="图表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8082715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06132892">
      <w:pPr>
        <w:ind w:firstLine="420"/>
        <w:rPr>
          <w:rFonts w:hint="eastAsia" w:asciiTheme="majorEastAsia" w:hAnsiTheme="majorEastAsia" w:eastAsiaTheme="majorEastAsia"/>
        </w:rPr>
      </w:pPr>
    </w:p>
    <w:p w14:paraId="0FF10379">
      <w:pPr>
        <w:ind w:firstLine="420"/>
        <w:rPr>
          <w:rFonts w:asciiTheme="majorEastAsia" w:hAnsiTheme="majorEastAsia" w:eastAsiaTheme="majorEastAsia"/>
          <w:b/>
          <w:bCs/>
        </w:rPr>
      </w:pPr>
      <w:r>
        <w:rPr>
          <w:rFonts w:asciiTheme="majorEastAsia" w:hAnsiTheme="majorEastAsia" w:eastAsiaTheme="majorEastAsia"/>
        </w:rPr>
        <w:t>新加坡债券 ETF 的基金资产配置策略呈现 “政府债打底、合并类资产增强灵活性、公司债增厚收益”</w:t>
      </w:r>
      <w:r>
        <w:rPr>
          <w:rFonts w:asciiTheme="majorEastAsia" w:hAnsiTheme="majorEastAsia" w:eastAsiaTheme="majorEastAsia"/>
          <w:b/>
          <w:bCs/>
        </w:rPr>
        <w:t>的均衡稳健特征，适配其作为亚太跨境金融枢纽的资金配置需求，兼顾安全性与收益性。</w:t>
      </w:r>
    </w:p>
    <w:p w14:paraId="0149028B">
      <w:pPr>
        <w:ind w:firstLine="42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  <w:b/>
          <w:bCs/>
        </w:rPr>
        <w:t>该策略以</w:t>
      </w:r>
      <w:r>
        <w:rPr>
          <w:rFonts w:asciiTheme="majorEastAsia" w:hAnsiTheme="majorEastAsia" w:eastAsiaTheme="majorEastAsia"/>
        </w:rPr>
        <w:t>政府债（50.00%）</w:t>
      </w:r>
      <w:r>
        <w:rPr>
          <w:rFonts w:asciiTheme="majorEastAsia" w:hAnsiTheme="majorEastAsia" w:eastAsiaTheme="majorEastAsia"/>
          <w:b/>
          <w:bCs/>
        </w:rPr>
        <w:t>作为核心底仓，依托政府信用背书的低风险属性，锚定组合净值的稳定性，满足跨境资金对稳健配置的核心诉求；同时配置</w:t>
      </w:r>
      <w:r>
        <w:rPr>
          <w:rFonts w:asciiTheme="majorEastAsia" w:hAnsiTheme="majorEastAsia" w:eastAsiaTheme="majorEastAsia"/>
        </w:rPr>
        <w:t>合并类债券（37.50%）</w:t>
      </w:r>
      <w:r>
        <w:rPr>
          <w:rFonts w:asciiTheme="majorEastAsia" w:hAnsiTheme="majorEastAsia" w:eastAsiaTheme="majorEastAsia"/>
          <w:b/>
          <w:bCs/>
        </w:rPr>
        <w:t>，这类综合型债券组合通常涵盖多品类、多币种标的，能够借助资产多元化分散风险，同时提升组合的流动性与收益弹性，契合新加坡跨境资金对资产多样性的配置偏好；最后以</w:t>
      </w:r>
      <w:r>
        <w:rPr>
          <w:rFonts w:asciiTheme="majorEastAsia" w:hAnsiTheme="majorEastAsia" w:eastAsiaTheme="majorEastAsia"/>
        </w:rPr>
        <w:t>公司债（12.50%） 作为卫星配置，凭借信用溢价贡献超额收益，在风险可控的前提下优化组合整体收益水平。</w:t>
      </w:r>
    </w:p>
    <w:p w14:paraId="56568937">
      <w:pPr>
        <w:ind w:firstLine="420"/>
        <w:rPr>
          <w:rFonts w:asciiTheme="majorEastAsia" w:hAnsiTheme="majorEastAsia" w:eastAsiaTheme="majorEastAsia"/>
        </w:rPr>
      </w:pPr>
      <w:r>
        <w:drawing>
          <wp:inline distT="0" distB="0" distL="0" distR="0">
            <wp:extent cx="4570095" cy="2162810"/>
            <wp:effectExtent l="0" t="0" r="1905" b="8890"/>
            <wp:docPr id="28" name="图表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1DB1E09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1FCADE1A">
      <w:pPr>
        <w:ind w:firstLine="420"/>
        <w:rPr>
          <w:rFonts w:asciiTheme="majorEastAsia" w:hAnsiTheme="majorEastAsia" w:eastAsiaTheme="majorEastAsia"/>
        </w:rPr>
      </w:pPr>
    </w:p>
    <w:p w14:paraId="69EB4C61">
      <w:pPr>
        <w:ind w:firstLine="420"/>
        <w:rPr>
          <w:rFonts w:asciiTheme="majorEastAsia" w:hAnsiTheme="majorEastAsia" w:eastAsiaTheme="majorEastAsia"/>
          <w:b/>
          <w:bCs/>
        </w:rPr>
      </w:pPr>
      <w:r>
        <w:rPr>
          <w:rFonts w:asciiTheme="majorEastAsia" w:hAnsiTheme="majorEastAsia" w:eastAsiaTheme="majorEastAsia"/>
        </w:rPr>
        <w:t>中国香港债券 ETF 的基金资产配置策略呈现 “高比例政府债打底、合并类资产增强多元性、小比例信用类资产增厚收益”</w:t>
      </w:r>
      <w:r>
        <w:rPr>
          <w:rFonts w:asciiTheme="majorEastAsia" w:hAnsiTheme="majorEastAsia" w:eastAsiaTheme="majorEastAsia"/>
          <w:b/>
          <w:bCs/>
        </w:rPr>
        <w:t>的稳健保守特征，高度契合其作为连接内地与全球跨境金融枢纽的资金配置需求，优先保障组合安全性与流动性。</w:t>
      </w:r>
    </w:p>
    <w:p w14:paraId="46D5BFCF">
      <w:pPr>
        <w:ind w:firstLine="420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  <w:b/>
          <w:bCs/>
        </w:rPr>
        <w:t>该策略以</w:t>
      </w:r>
      <w:r>
        <w:rPr>
          <w:rFonts w:asciiTheme="majorEastAsia" w:hAnsiTheme="majorEastAsia" w:eastAsiaTheme="majorEastAsia"/>
        </w:rPr>
        <w:t>政府债（68.42%）</w:t>
      </w:r>
      <w:r>
        <w:rPr>
          <w:rFonts w:asciiTheme="majorEastAsia" w:hAnsiTheme="majorEastAsia" w:eastAsiaTheme="majorEastAsia"/>
          <w:b/>
          <w:bCs/>
        </w:rPr>
        <w:t>作为绝对核心底仓，依托政府信用背书的低违约风险、高流动性属性，锚定组合净值的稳定性，精准匹配跨境资金、南向资金对稳健配置的核心诉求；同时配置</w:t>
      </w:r>
      <w:r>
        <w:rPr>
          <w:rFonts w:asciiTheme="majorEastAsia" w:hAnsiTheme="majorEastAsia" w:eastAsiaTheme="majorEastAsia"/>
        </w:rPr>
        <w:t>合并类债券（21.05%）</w:t>
      </w:r>
      <w:r>
        <w:rPr>
          <w:rFonts w:asciiTheme="majorEastAsia" w:hAnsiTheme="majorEastAsia" w:eastAsiaTheme="majorEastAsia"/>
          <w:b/>
          <w:bCs/>
        </w:rPr>
        <w:t>，这类综合型资产通常涵盖多市场、多品类标的，能够借助资产多元化分散跨境投资中的汇率与市场风险，提升组合的灵活适配性；最后以</w:t>
      </w:r>
      <w:r>
        <w:rPr>
          <w:rFonts w:asciiTheme="majorEastAsia" w:hAnsiTheme="majorEastAsia" w:eastAsiaTheme="majorEastAsia"/>
        </w:rPr>
        <w:t>公司债（5.26%）</w:t>
      </w:r>
      <w:r>
        <w:rPr>
          <w:rFonts w:asciiTheme="majorEastAsia" w:hAnsiTheme="majorEastAsia" w:eastAsiaTheme="majorEastAsia"/>
          <w:b/>
          <w:bCs/>
        </w:rPr>
        <w:t>和</w:t>
      </w:r>
      <w:r>
        <w:rPr>
          <w:rFonts w:asciiTheme="majorEastAsia" w:hAnsiTheme="majorEastAsia" w:eastAsiaTheme="majorEastAsia"/>
        </w:rPr>
        <w:t>银行贷款（5.26%） 作为补充配置，公司债凭借信用溢价贡献小幅超额收益，银行贷款则多具备浮动利率特性，可在利率周期波动中对冲利率风险，进一步优化组合的风险收益比。</w:t>
      </w:r>
    </w:p>
    <w:p w14:paraId="6A362812">
      <w:pPr>
        <w:ind w:firstLine="420"/>
        <w:rPr>
          <w:rFonts w:asciiTheme="majorEastAsia" w:hAnsiTheme="majorEastAsia" w:eastAsiaTheme="majorEastAsia"/>
        </w:rPr>
      </w:pPr>
    </w:p>
    <w:p w14:paraId="78542ADD">
      <w:pPr>
        <w:ind w:firstLine="420"/>
        <w:rPr>
          <w:rFonts w:asciiTheme="majorEastAsia" w:hAnsiTheme="majorEastAsia" w:eastAsiaTheme="majorEastAsia"/>
        </w:rPr>
      </w:pPr>
      <w:r>
        <w:drawing>
          <wp:inline distT="0" distB="0" distL="0" distR="0">
            <wp:extent cx="4568190" cy="2418715"/>
            <wp:effectExtent l="0" t="0" r="3810" b="635"/>
            <wp:docPr id="29" name="图表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ED90A87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429CF8EC">
      <w:pPr>
        <w:ind w:firstLine="420"/>
        <w:rPr>
          <w:rFonts w:hint="eastAsia" w:asciiTheme="majorEastAsia" w:hAnsiTheme="majorEastAsia" w:eastAsiaTheme="majorEastAsia"/>
        </w:rPr>
      </w:pPr>
    </w:p>
    <w:p w14:paraId="382469A7"/>
    <w:p w14:paraId="67F6074E">
      <w:pPr>
        <w:pStyle w:val="6"/>
      </w:pPr>
      <w:r>
        <w:rPr>
          <w:rFonts w:hint="eastAsia"/>
        </w:rPr>
        <w:t>持有期限</w:t>
      </w:r>
    </w:p>
    <w:p w14:paraId="64831ACB">
      <w:pPr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美国：全期限覆盖与多元巨头格局适配</w:t>
      </w:r>
    </w:p>
    <w:p w14:paraId="03966C02">
      <w:pPr>
        <w:ind w:firstLine="420"/>
      </w:pPr>
      <w:r>
        <w:rPr>
          <w:rFonts w:asciiTheme="majorEastAsia" w:hAnsiTheme="majorEastAsia" w:eastAsiaTheme="majorEastAsia"/>
        </w:rPr>
        <w:t>美国债券 ETF 的期限分布呈现 “中期略高、短长期均衡、超短期托底” 的特征，中期占比 33.17% 为最高，短期（26.43%）与长期（25.69%）占比几乎持平，超短期以 14.71% 作为流动性补充。这种结构适配美国成熟多元的债券市场生态：中短期品种可满足机构资金日常流动性管理需求，长期品种能够锁定稳定票息收益以对抗通胀，超短期品种则可灵活应对市场利率波动。同时，美国个人与机构投资者群体庞大且需求多样，全期限覆盖的配置方式能精准匹配不同风险偏好、投资周期的资金诉求。</w:t>
      </w:r>
    </w:p>
    <w:p w14:paraId="3CBA4CB0"/>
    <w:p w14:paraId="521CCC1C">
      <w:pPr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日本：中短期集中与离岸资金需求精准匹配</w:t>
      </w:r>
    </w:p>
    <w:p w14:paraId="55517654">
      <w:pPr>
        <w:ind w:firstLine="420"/>
      </w:pPr>
      <w:r>
        <w:rPr>
          <w:rFonts w:asciiTheme="majorEastAsia" w:hAnsiTheme="majorEastAsia" w:eastAsiaTheme="majorEastAsia"/>
        </w:rPr>
        <w:t>日本债券 ETF 的期限结构呈现 “中期绝对主导、长期为辅、短端边缘化”</w:t>
      </w:r>
      <w:r>
        <w:rPr>
          <w:rFonts w:asciiTheme="majorEastAsia" w:hAnsiTheme="majorEastAsia" w:eastAsiaTheme="majorEastAsia"/>
          <w:b/>
          <w:bCs/>
        </w:rPr>
        <w:t>的极端特征，中期占比高达 64.86%，长期占比 24.32% 作为补充，而短期（8.11%）与超短期（2.70%）合计占比不足 11%。这一结构与日本</w:t>
      </w:r>
      <w:r>
        <w:rPr>
          <w:rFonts w:asciiTheme="majorEastAsia" w:hAnsiTheme="majorEastAsia" w:eastAsiaTheme="majorEastAsia"/>
        </w:rPr>
        <w:t>长期低利率乃至负利率  的市场环境直接相关：短端债券收益率极低，甚至难以覆盖管理成本，对投资者吸引力匮乏；而中期债券能够在风险可控的前提下，为以保险、养老金为代表的长期机构资金锁定相对稳定的收益，契合日本投资者 “稳健优先、厌恶波动” 的配置偏好。</w:t>
      </w:r>
    </w:p>
    <w:p w14:paraId="31356090"/>
    <w:p w14:paraId="67C64B4D">
      <w:pPr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新加坡：单一长期限垄断与区域枢纽功能契合</w:t>
      </w:r>
    </w:p>
    <w:p w14:paraId="6BDFFCA6">
      <w:pPr>
        <w:ind w:firstLine="420"/>
      </w:pPr>
      <w:r>
        <w:rPr>
          <w:rFonts w:asciiTheme="majorEastAsia" w:hAnsiTheme="majorEastAsia" w:eastAsiaTheme="majorEastAsia"/>
        </w:rPr>
        <w:t>新加坡债券 ETF 的期限选择极为精简，仅覆盖</w:t>
      </w:r>
      <w:r>
        <w:rPr>
          <w:rFonts w:asciiTheme="majorEastAsia" w:hAnsiTheme="majorEastAsia" w:eastAsiaTheme="majorEastAsia"/>
          <w:b/>
          <w:bCs/>
        </w:rPr>
        <w:t>短期（33.30%）和中期（66.70%）两个品类，完全摒弃超短期与长期品种。这一特征紧扣其亚太跨境金融枢纽</w:t>
      </w:r>
      <w:r>
        <w:rPr>
          <w:rFonts w:asciiTheme="majorEastAsia" w:hAnsiTheme="majorEastAsia" w:eastAsiaTheme="majorEastAsia"/>
        </w:rPr>
        <w:t>的定位：新加坡市场的资金以跨境理财资金、国际对冲基金为主，这类资金对流动性要求极高，且对长期利率波动的容忍度低；中短期品种既能保障资金快速进出的灵活性，又能获取高于超短期的收益，是跨境资金 “安全性 + 流动性 + 收益性” 三者平衡的最优解。</w:t>
      </w:r>
    </w:p>
    <w:p w14:paraId="272BD5AB">
      <w:pPr>
        <w:rPr>
          <w:rFonts w:hint="eastAsia"/>
        </w:rPr>
      </w:pPr>
    </w:p>
    <w:p w14:paraId="161AC782"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b/>
          <w:bCs/>
        </w:rPr>
        <w:t>香港：中期限主导与双寡头格局深度绑定</w:t>
      </w:r>
    </w:p>
    <w:p w14:paraId="7E72D176">
      <w:pPr>
        <w:rPr>
          <w:rFonts w:hint="eastAsia" w:asciiTheme="majorEastAsia" w:hAnsiTheme="majorEastAsia" w:eastAsiaTheme="majorEastAsia"/>
          <w:b/>
          <w:bCs/>
        </w:rPr>
      </w:pP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香港债券 ETF 的期限结构呈现 “长期主导、中期次之、短端逐级递减”</w:t>
      </w:r>
      <w:r>
        <w:rPr>
          <w:rFonts w:asciiTheme="majorEastAsia" w:hAnsiTheme="majorEastAsia" w:eastAsiaTheme="majorEastAsia"/>
          <w:b/>
          <w:bCs/>
        </w:rPr>
        <w:t>的梯度特征，长期占比 40.00% 为最高，中期 30.00%、短期 20.00%、超短期 10.00% 占比依次减半。该结构与香港</w:t>
      </w:r>
      <w:r>
        <w:rPr>
          <w:rFonts w:asciiTheme="majorEastAsia" w:hAnsiTheme="majorEastAsia" w:eastAsiaTheme="majorEastAsia"/>
        </w:rPr>
        <w:t>连接内地与全球的双向跨境金融枢纽  属性高度契合：一方面，南向资金（内地投资者）对长期高票息债券需求旺盛，香港市场丰富的中资美元债、港元长期债供给可精准匹配这一诉求；另一方面，国际跨境资金需要中短端品种保障流动性，超短期品种则可作为临时现金管理工具，梯度化的期限布局能够同时满足两类资金的差异化需求。</w:t>
      </w:r>
    </w:p>
    <w:p w14:paraId="1924F3AF">
      <w:r>
        <w:drawing>
          <wp:inline distT="0" distB="0" distL="0" distR="0">
            <wp:extent cx="2574290" cy="1979930"/>
            <wp:effectExtent l="0" t="0" r="16510" b="1270"/>
            <wp:docPr id="35" name="图表 3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574290" cy="1997075"/>
            <wp:effectExtent l="0" t="0" r="16510" b="3175"/>
            <wp:docPr id="36" name="图表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9937DAB">
      <w:r>
        <w:drawing>
          <wp:inline distT="0" distB="0" distL="0" distR="0">
            <wp:extent cx="2585720" cy="2160270"/>
            <wp:effectExtent l="0" t="0" r="5080" b="11430"/>
            <wp:docPr id="37" name="图表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567940" cy="2134870"/>
            <wp:effectExtent l="0" t="0" r="3810" b="17780"/>
            <wp:docPr id="44" name="图表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60ABEE7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293B6126"/>
    <w:p w14:paraId="06FE144C">
      <w:pPr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整体来看</w:t>
      </w:r>
    </w:p>
    <w:p w14:paraId="691FA335"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美日新港四地债券 ETF 的持有期限结构，本质是</w:t>
      </w:r>
      <w:r>
        <w:rPr>
          <w:rFonts w:asciiTheme="majorEastAsia" w:hAnsiTheme="majorEastAsia" w:eastAsiaTheme="majorEastAsia"/>
          <w:b/>
          <w:bCs/>
        </w:rPr>
        <w:t>收益性、流动性、利率风险</w:t>
      </w:r>
      <w:r>
        <w:rPr>
          <w:rFonts w:asciiTheme="majorEastAsia" w:hAnsiTheme="majorEastAsia" w:eastAsiaTheme="majorEastAsia"/>
        </w:rPr>
        <w:t>三者权衡的结果，且均与各自市场利率环境、资金来源属性、区域金融功能定位深度耦合。其中美国</w:t>
      </w:r>
      <w:r>
        <w:rPr>
          <w:rFonts w:hint="eastAsia" w:asciiTheme="majorEastAsia" w:hAnsiTheme="majorEastAsia" w:eastAsiaTheme="majorEastAsia"/>
        </w:rPr>
        <w:t>为</w:t>
      </w:r>
      <w:r>
        <w:rPr>
          <w:rFonts w:asciiTheme="majorEastAsia" w:hAnsiTheme="majorEastAsia" w:eastAsiaTheme="majorEastAsia"/>
        </w:rPr>
        <w:t>全期限均衡分布特征，日本</w:t>
      </w:r>
      <w:r>
        <w:rPr>
          <w:rFonts w:hint="eastAsia" w:asciiTheme="majorEastAsia" w:hAnsiTheme="majorEastAsia" w:eastAsiaTheme="majorEastAsia"/>
        </w:rPr>
        <w:t>则</w:t>
      </w:r>
      <w:r>
        <w:rPr>
          <w:rFonts w:asciiTheme="majorEastAsia" w:hAnsiTheme="majorEastAsia" w:eastAsiaTheme="majorEastAsia"/>
        </w:rPr>
        <w:t>是中期高度集中的极端结构，新加坡</w:t>
      </w:r>
      <w:r>
        <w:rPr>
          <w:rFonts w:hint="eastAsia" w:asciiTheme="majorEastAsia" w:hAnsiTheme="majorEastAsia" w:eastAsiaTheme="majorEastAsia"/>
        </w:rPr>
        <w:t>则</w:t>
      </w:r>
      <w:r>
        <w:rPr>
          <w:rFonts w:asciiTheme="majorEastAsia" w:hAnsiTheme="majorEastAsia" w:eastAsiaTheme="majorEastAsia"/>
        </w:rPr>
        <w:t>精简聚焦中短期，香港</w:t>
      </w:r>
      <w:r>
        <w:rPr>
          <w:rFonts w:hint="eastAsia" w:asciiTheme="majorEastAsia" w:hAnsiTheme="majorEastAsia" w:eastAsiaTheme="majorEastAsia"/>
        </w:rPr>
        <w:t>则</w:t>
      </w:r>
      <w:r>
        <w:rPr>
          <w:rFonts w:asciiTheme="majorEastAsia" w:hAnsiTheme="majorEastAsia" w:eastAsiaTheme="majorEastAsia"/>
        </w:rPr>
        <w:t>呈现长期主导的梯度结构</w:t>
      </w:r>
      <w:r>
        <w:rPr>
          <w:rFonts w:hint="eastAsia" w:asciiTheme="majorEastAsia" w:hAnsiTheme="majorEastAsia" w:eastAsiaTheme="majorEastAsia"/>
        </w:rPr>
        <w:t>。</w:t>
      </w:r>
    </w:p>
    <w:p w14:paraId="7DC51FB0"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这种差异化结构的背后是各地区的市场生态禀赋，美国的均衡配置源于多元投资者需求、完整的利率曲线和充足的细分产品供给，可灵活应对不同利率周期的波动；日本的中期集中是长期低利率环境下的必然选择，短端收益微薄甚至亏损，长期利率风险过高，中期品种成为兼顾收益与风险的最优解；新加坡的中短期聚焦紧扣其亚太跨境金融枢纽定位，适配跨境资金对高流动性、低利率风险的核心诉求；香港的梯度结构则是为了同时满足南向资金对长期高票息的需求，以及国际跨境资金对中短端品种的流动性管理需求，是其双向跨境金融枢纽属性的直接体现。</w:t>
      </w:r>
    </w:p>
    <w:p w14:paraId="60881F01">
      <w:pPr>
        <w:rPr>
          <w:rFonts w:asciiTheme="majorEastAsia" w:hAnsiTheme="majorEastAsia" w:eastAsiaTheme="majorEastAsia"/>
        </w:rPr>
      </w:pPr>
    </w:p>
    <w:p w14:paraId="64317894">
      <w:pPr>
        <w:pStyle w:val="6"/>
        <w:rPr>
          <w:rFonts w:hint="eastAsia"/>
        </w:rPr>
      </w:pPr>
      <w:r>
        <w:rPr>
          <w:rFonts w:hint="eastAsia"/>
        </w:rPr>
        <w:t>资产类别</w:t>
      </w:r>
    </w:p>
    <w:p w14:paraId="58EBAE4A">
      <w:r>
        <w:tab/>
      </w:r>
      <w:r>
        <w:t>美日新港四地债券ETF的资产类别配置呈现“反向操作型绝对主导，成长与收入型、增长型补充缺位分化”的核心特征，其结构差异源于各地区资金属性、市场功能定位及风险对冲需求的不同，具体分析如下：</w:t>
      </w:r>
    </w:p>
    <w:p w14:paraId="648A35A1">
      <w:r>
        <w:t>1.  核心共性：反向操作型资产成绝对主流，凸显避险对冲核心诉求</w:t>
      </w:r>
    </w:p>
    <w:p w14:paraId="25385F25">
      <w:r>
        <w:t xml:space="preserve">    四地市场均将反向操作型资产作为配置核心，这一类资产通常包含债券做空工具、利率对冲ETF、信用风险对冲产品等，核心功能是对冲债券市场的利率波动、信用违约等风险，实现组合净值的稳定。无论是成熟市场的美国、低利率环境的日本，还是跨境金融枢纽的新加坡与香港，反向操作型资产的高占比都反映出当前债券市场投资者的核心诉求——在复杂的宏观经济环境下，优先通过风险对冲工具规避不确定性，而非主动追求资产增值。</w:t>
      </w:r>
    </w:p>
    <w:p w14:paraId="7EA6D95E">
      <w:r>
        <w:t>2.  地区差异：成熟市场多元补充，跨境枢纽极致集中</w:t>
      </w:r>
    </w:p>
    <w:p w14:paraId="61EDDD90">
      <w:pPr>
        <w:rPr>
          <w:b/>
          <w:bCs/>
        </w:rPr>
      </w:pPr>
      <w:r>
        <w:t xml:space="preserve">    </w:t>
      </w:r>
      <w:r>
        <w:rPr>
          <w:b/>
          <w:bCs/>
        </w:rPr>
        <w:t>美国：反向操作型极致主导，少量增长型资产适配多元需求</w:t>
      </w:r>
    </w:p>
    <w:p w14:paraId="7D59C53C">
      <w:r>
        <w:t xml:space="preserve">      美国反向操作型资产占比高达94.62%，占据绝对统治地位，仅保留1.08%的成长与收入型、4.31%的增长型资产作为补充。这一结构适配美国债券市场的成熟属性：一方面，美国利率市场化程度高，利率波动对债券价格影响显著，机构投资者需要大量反向操作工具对冲风险；另一方面，美国投资者群体多元，部分风险偏好稍高的资金会配置少量增长型资产，追求资本增值，部分稳健型资金则配置成长与收入型资产，兼顾分红与长期成长，形成“对冲为主、增值为辅”的格局。</w:t>
      </w:r>
    </w:p>
    <w:p w14:paraId="77F08C86">
      <w:pPr>
        <w:rPr>
          <w:b/>
          <w:bCs/>
        </w:rPr>
      </w:pPr>
      <w:r>
        <w:t xml:space="preserve">    </w:t>
      </w:r>
      <w:r>
        <w:rPr>
          <w:b/>
          <w:bCs/>
        </w:rPr>
        <w:t>日本：反向操作型占比略降，成长与收入型、增长型占比提升</w:t>
      </w:r>
    </w:p>
    <w:p w14:paraId="624BE916">
      <w:r>
        <w:t xml:space="preserve">      日本反向操作型资产占比80%，低于美国，成长与收入型（8.33%）、增长型（11.67%）合计占比近20%，配置多元性高于美国。这与日本长期低利率的市场环境直接相关：日本本土债券收益率偏低，单纯的反向操作只能实现风险对冲，难以满足资金的收益提升需求，因此部分本土资金会配置成长与收入型资产（兼顾债券票息与权益资产分红）、增长型资产（侧重资本增值），在避险的基础上寻求收益突破。</w:t>
      </w:r>
    </w:p>
    <w:p w14:paraId="1539ED4D">
      <w:pPr>
        <w:rPr>
          <w:b/>
          <w:bCs/>
        </w:rPr>
      </w:pPr>
      <w:r>
        <w:t xml:space="preserve">    </w:t>
      </w:r>
      <w:r>
        <w:rPr>
          <w:b/>
          <w:bCs/>
        </w:rPr>
        <w:t>新加坡、香港：100%反向操作型资产，极致适配跨境资金避险需求</w:t>
      </w:r>
    </w:p>
    <w:p w14:paraId="4F6554D1">
      <w:pPr>
        <w:rPr>
          <w:rFonts w:hint="eastAsia"/>
        </w:rPr>
      </w:pPr>
      <w:r>
        <w:t xml:space="preserve">      新加坡与香港的资产类别呈现极致单一化特征，反向操作型资产占比均为100%，完全摒弃成长与收入型、增长型资产。这一结构紧扣两地跨境金融枢纽的定位：两地的债券ETF资金以跨境资金为主，这类资金的核心诉求是短期避险、风险对冲，而非长期增值——跨境资金需要通过反向操作工具对冲汇率波动、利率波动等跨境投资风险，确保资金在跨境流动过程中的净值稳定，对需要长期持有、风险更高的成长与收入型、增长型资产诉求极低，因此形成了极致的对冲型配置格局。</w:t>
      </w:r>
    </w:p>
    <w:p w14:paraId="4B80204E">
      <w:r>
        <w:drawing>
          <wp:inline distT="0" distB="0" distL="0" distR="0">
            <wp:extent cx="2600325" cy="1943735"/>
            <wp:effectExtent l="0" t="0" r="9525" b="18415"/>
            <wp:docPr id="39" name="图表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drawing>
          <wp:inline distT="0" distB="0" distL="0" distR="0">
            <wp:extent cx="2639060" cy="1953895"/>
            <wp:effectExtent l="0" t="0" r="8890" b="8255"/>
            <wp:docPr id="40" name="图表 4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46AD6758">
      <w:r>
        <w:drawing>
          <wp:inline distT="0" distB="0" distL="0" distR="0">
            <wp:extent cx="2616835" cy="1915795"/>
            <wp:effectExtent l="0" t="0" r="12065" b="8255"/>
            <wp:docPr id="41" name="图表 4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>
        <w:drawing>
          <wp:inline distT="0" distB="0" distL="0" distR="0">
            <wp:extent cx="2606040" cy="1915795"/>
            <wp:effectExtent l="0" t="0" r="3810" b="8255"/>
            <wp:docPr id="43" name="图表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08B7C487">
      <w:pPr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数据来源：Bloomberg、国盛证券研究所</w:t>
      </w:r>
    </w:p>
    <w:p w14:paraId="376715B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roman"/>
    <w:pitch w:val="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73D6C"/>
    <w:rsid w:val="00014E09"/>
    <w:rsid w:val="00097302"/>
    <w:rsid w:val="000C5927"/>
    <w:rsid w:val="001C2A57"/>
    <w:rsid w:val="001C68EC"/>
    <w:rsid w:val="001F369E"/>
    <w:rsid w:val="002729AB"/>
    <w:rsid w:val="00281494"/>
    <w:rsid w:val="002903BF"/>
    <w:rsid w:val="00367107"/>
    <w:rsid w:val="003912AE"/>
    <w:rsid w:val="003C066F"/>
    <w:rsid w:val="003D4DFB"/>
    <w:rsid w:val="003F183E"/>
    <w:rsid w:val="004F47D9"/>
    <w:rsid w:val="005C373F"/>
    <w:rsid w:val="006D24DB"/>
    <w:rsid w:val="00714384"/>
    <w:rsid w:val="007549A2"/>
    <w:rsid w:val="007A4291"/>
    <w:rsid w:val="007C5844"/>
    <w:rsid w:val="008146D6"/>
    <w:rsid w:val="00853707"/>
    <w:rsid w:val="008C0F4E"/>
    <w:rsid w:val="00922353"/>
    <w:rsid w:val="0097698F"/>
    <w:rsid w:val="00AA7E91"/>
    <w:rsid w:val="00B07DEE"/>
    <w:rsid w:val="00BC1811"/>
    <w:rsid w:val="00BE205A"/>
    <w:rsid w:val="00C066B5"/>
    <w:rsid w:val="00C213B2"/>
    <w:rsid w:val="00D81DD0"/>
    <w:rsid w:val="00E574BA"/>
    <w:rsid w:val="00E63883"/>
    <w:rsid w:val="00FF5C2E"/>
    <w:rsid w:val="0C862C02"/>
    <w:rsid w:val="20EF6FD2"/>
    <w:rsid w:val="3A445FA5"/>
    <w:rsid w:val="4D773D6C"/>
    <w:rsid w:val="53F034A3"/>
    <w:rsid w:val="7EDB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眉 字符"/>
    <w:basedOn w:val="10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10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5.xml"/><Relationship Id="rId8" Type="http://schemas.openxmlformats.org/officeDocument/2006/relationships/chart" Target="charts/chart4.xml"/><Relationship Id="rId7" Type="http://schemas.openxmlformats.org/officeDocument/2006/relationships/chart" Target="charts/chart3.xml"/><Relationship Id="rId6" Type="http://schemas.openxmlformats.org/officeDocument/2006/relationships/chart" Target="charts/chart2.xml"/><Relationship Id="rId5" Type="http://schemas.openxmlformats.org/officeDocument/2006/relationships/image" Target="media/image1.emf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chart" Target="charts/chart21.xml"/><Relationship Id="rId24" Type="http://schemas.openxmlformats.org/officeDocument/2006/relationships/chart" Target="charts/chart20.xml"/><Relationship Id="rId23" Type="http://schemas.openxmlformats.org/officeDocument/2006/relationships/chart" Target="charts/chart19.xml"/><Relationship Id="rId22" Type="http://schemas.openxmlformats.org/officeDocument/2006/relationships/chart" Target="charts/chart18.xml"/><Relationship Id="rId21" Type="http://schemas.openxmlformats.org/officeDocument/2006/relationships/chart" Target="charts/chart17.xml"/><Relationship Id="rId20" Type="http://schemas.openxmlformats.org/officeDocument/2006/relationships/chart" Target="charts/chart16.xml"/><Relationship Id="rId2" Type="http://schemas.openxmlformats.org/officeDocument/2006/relationships/settings" Target="settings.xml"/><Relationship Id="rId19" Type="http://schemas.openxmlformats.org/officeDocument/2006/relationships/chart" Target="charts/chart15.xml"/><Relationship Id="rId18" Type="http://schemas.openxmlformats.org/officeDocument/2006/relationships/chart" Target="charts/chart14.xml"/><Relationship Id="rId17" Type="http://schemas.openxmlformats.org/officeDocument/2006/relationships/chart" Target="charts/chart13.xml"/><Relationship Id="rId16" Type="http://schemas.openxmlformats.org/officeDocument/2006/relationships/chart" Target="charts/chart12.xml"/><Relationship Id="rId15" Type="http://schemas.openxmlformats.org/officeDocument/2006/relationships/chart" Target="charts/chart11.xml"/><Relationship Id="rId14" Type="http://schemas.openxmlformats.org/officeDocument/2006/relationships/chart" Target="charts/chart10.xml"/><Relationship Id="rId13" Type="http://schemas.openxmlformats.org/officeDocument/2006/relationships/chart" Target="charts/chart9.xml"/><Relationship Id="rId12" Type="http://schemas.openxmlformats.org/officeDocument/2006/relationships/chart" Target="charts/chart8.xml"/><Relationship Id="rId11" Type="http://schemas.openxmlformats.org/officeDocument/2006/relationships/chart" Target="charts/chart7.xml"/><Relationship Id="rId10" Type="http://schemas.openxmlformats.org/officeDocument/2006/relationships/chart" Target="charts/chart6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6.xml"/><Relationship Id="rId2" Type="http://schemas.microsoft.com/office/2011/relationships/chartStyle" Target="style16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2.xml"/><Relationship Id="rId2" Type="http://schemas.microsoft.com/office/2011/relationships/chartStyle" Target="style12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14.xml"/><Relationship Id="rId2" Type="http://schemas.microsoft.com/office/2011/relationships/chartStyle" Target="style14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15.xml"/><Relationship Id="rId2" Type="http://schemas.microsoft.com/office/2011/relationships/chartStyle" Target="style15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10.xml"/><Relationship Id="rId2" Type="http://schemas.microsoft.com/office/2011/relationships/chartStyle" Target="style10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microsoft.com/office/2011/relationships/chartColorStyle" Target="colors11.xml"/><Relationship Id="rId2" Type="http://schemas.microsoft.com/office/2011/relationships/chartStyle" Target="style11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2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4.xml.rels><?xml version="1.0" encoding="UTF-8" standalone="yes"?>
<Relationships xmlns="http://schemas.openxmlformats.org/package/2006/relationships"><Relationship Id="rId3" Type="http://schemas.microsoft.com/office/2011/relationships/chartColorStyle" Target="colors8.xml"/><Relationship Id="rId2" Type="http://schemas.microsoft.com/office/2011/relationships/chartStyle" Target="style8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5.xml.rels><?xml version="1.0" encoding="UTF-8" standalone="yes"?>
<Relationships xmlns="http://schemas.openxmlformats.org/package/2006/relationships"><Relationship Id="rId3" Type="http://schemas.microsoft.com/office/2011/relationships/chartColorStyle" Target="colors13.xml"/><Relationship Id="rId2" Type="http://schemas.microsoft.com/office/2011/relationships/chartStyle" Target="style13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6.xml.rels><?xml version="1.0" encoding="UTF-8" standalone="yes"?>
<Relationships xmlns="http://schemas.openxmlformats.org/package/2006/relationships"><Relationship Id="rId3" Type="http://schemas.microsoft.com/office/2011/relationships/chartColorStyle" Target="colors9.xml"/><Relationship Id="rId2" Type="http://schemas.microsoft.com/office/2011/relationships/chartStyle" Target="style9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7.xml.rels><?xml version="1.0" encoding="UTF-8" standalone="yes"?>
<Relationships xmlns="http://schemas.openxmlformats.org/package/2006/relationships"><Relationship Id="rId3" Type="http://schemas.microsoft.com/office/2011/relationships/chartColorStyle" Target="colors17.xml"/><Relationship Id="rId2" Type="http://schemas.microsoft.com/office/2011/relationships/chartStyle" Target="style17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8.xml.rels><?xml version="1.0" encoding="UTF-8" standalone="yes"?>
<Relationships xmlns="http://schemas.openxmlformats.org/package/2006/relationships"><Relationship Id="rId3" Type="http://schemas.microsoft.com/office/2011/relationships/chartColorStyle" Target="colors18.xml"/><Relationship Id="rId2" Type="http://schemas.microsoft.com/office/2011/relationships/chartStyle" Target="style18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19.xml.rels><?xml version="1.0" encoding="UTF-8" standalone="yes"?>
<Relationships xmlns="http://schemas.openxmlformats.org/package/2006/relationships"><Relationship Id="rId3" Type="http://schemas.microsoft.com/office/2011/relationships/chartColorStyle" Target="colors19.xml"/><Relationship Id="rId2" Type="http://schemas.microsoft.com/office/2011/relationships/chartStyle" Target="style19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20.xml.rels><?xml version="1.0" encoding="UTF-8" standalone="yes"?>
<Relationships xmlns="http://schemas.openxmlformats.org/package/2006/relationships"><Relationship Id="rId3" Type="http://schemas.microsoft.com/office/2011/relationships/chartColorStyle" Target="colors21.xml"/><Relationship Id="rId2" Type="http://schemas.microsoft.com/office/2011/relationships/chartStyle" Target="style21.xml"/><Relationship Id="rId1" Type="http://schemas.openxmlformats.org/officeDocument/2006/relationships/oleObject" Target="file:///C:\Users\wuyan\Desktop\&#20538;&#21048;ETF&#32654;&#22269;.xlsx" TargetMode="External"/></Relationships>
</file>

<file path=word/charts/_rels/chart21.xml.rels><?xml version="1.0" encoding="UTF-8" standalone="yes"?>
<Relationships xmlns="http://schemas.openxmlformats.org/package/2006/relationships"><Relationship Id="rId3" Type="http://schemas.microsoft.com/office/2011/relationships/chartColorStyle" Target="colors20.xml"/><Relationship Id="rId2" Type="http://schemas.microsoft.com/office/2011/relationships/chartStyle" Target="style20.xml"/><Relationship Id="rId1" Type="http://schemas.openxmlformats.org/officeDocument/2006/relationships/oleObject" Target="file:///C:\Users\wuyan\Desktop\&#20538;&#21048;ETF&#32654;&#2226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全球债券</a:t>
            </a:r>
            <a:r>
              <a:rPr lang="en-US" altLang="zh-CN"/>
              <a:t>ETF</a:t>
            </a:r>
            <a:r>
              <a:rPr lang="zh-CN" altLang="en-US"/>
              <a:t>资产规模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全球债券ETF资产规模!$L$3</c:f>
              <c:strCache>
                <c:ptCount val="1"/>
                <c:pt idx="0">
                  <c:v>占比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全球债券ETF资产规模!$J$4:$J$9</c:f>
              <c:strCache>
                <c:ptCount val="6"/>
                <c:pt idx="0">
                  <c:v>美国</c:v>
                </c:pt>
                <c:pt idx="1">
                  <c:v>爱尔兰</c:v>
                </c:pt>
                <c:pt idx="2">
                  <c:v>卢森堡</c:v>
                </c:pt>
                <c:pt idx="3">
                  <c:v>加拿大</c:v>
                </c:pt>
                <c:pt idx="4">
                  <c:v>Taiwan (China)</c:v>
                </c:pt>
                <c:pt idx="5">
                  <c:v>Others</c:v>
                </c:pt>
              </c:strCache>
            </c:strRef>
          </c:cat>
          <c:val>
            <c:numRef>
              <c:f>全球债券ETF资产规模!$L$4:$L$9</c:f>
              <c:numCache>
                <c:formatCode>0.00%</c:formatCode>
                <c:ptCount val="6"/>
                <c:pt idx="0">
                  <c:v>0.680109145331861</c:v>
                </c:pt>
                <c:pt idx="1">
                  <c:v>0.142315561593318</c:v>
                </c:pt>
                <c:pt idx="2">
                  <c:v>0.0484841529774134</c:v>
                </c:pt>
                <c:pt idx="3">
                  <c:v>0.0423587841263355</c:v>
                </c:pt>
                <c:pt idx="4">
                  <c:v>0.028707382302804</c:v>
                </c:pt>
                <c:pt idx="5">
                  <c:v>0.0580249736682677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99f5d3f-2ef8-4da0-b918-d43a8ff3825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defRPr 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</a:rPr>
              <a:t>美国债券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</a:rPr>
              <a:t>ETF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</a:rPr>
              <a:t>历年总量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美日新港债券ETF资产规模!$B$1</c:f>
              <c:strCache>
                <c:ptCount val="1"/>
                <c:pt idx="0">
                  <c:v>US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美日新港债券ETF资产规模!$B$2:$B$27</c:f>
              <c:numCache>
                <c:formatCode>0.00_);[Red]\(0.00\)</c:formatCode>
                <c:ptCount val="26"/>
                <c:pt idx="0">
                  <c:v>21230000</c:v>
                </c:pt>
                <c:pt idx="1">
                  <c:v>60160000</c:v>
                </c:pt>
                <c:pt idx="2">
                  <c:v>4084326016</c:v>
                </c:pt>
                <c:pt idx="3">
                  <c:v>5311532624</c:v>
                </c:pt>
                <c:pt idx="4">
                  <c:v>12136187008</c:v>
                </c:pt>
                <c:pt idx="5">
                  <c:v>19458767216</c:v>
                </c:pt>
                <c:pt idx="6">
                  <c:v>24910784880</c:v>
                </c:pt>
                <c:pt idx="7">
                  <c:v>39258962220</c:v>
                </c:pt>
                <c:pt idx="8">
                  <c:v>60172553572</c:v>
                </c:pt>
                <c:pt idx="9">
                  <c:v>113387364156.5</c:v>
                </c:pt>
                <c:pt idx="10">
                  <c:v>147577852347.5</c:v>
                </c:pt>
                <c:pt idx="11">
                  <c:v>194473851439</c:v>
                </c:pt>
                <c:pt idx="12">
                  <c:v>257802819587</c:v>
                </c:pt>
                <c:pt idx="13">
                  <c:v>253045620403</c:v>
                </c:pt>
                <c:pt idx="14">
                  <c:v>306570761066</c:v>
                </c:pt>
                <c:pt idx="15">
                  <c:v>355358738937</c:v>
                </c:pt>
                <c:pt idx="16">
                  <c:v>445737760840</c:v>
                </c:pt>
                <c:pt idx="17">
                  <c:v>574284683548.75</c:v>
                </c:pt>
                <c:pt idx="18">
                  <c:v>645136756241.25</c:v>
                </c:pt>
                <c:pt idx="19">
                  <c:v>831688597511.5</c:v>
                </c:pt>
                <c:pt idx="20">
                  <c:v>1079083329405.75</c:v>
                </c:pt>
                <c:pt idx="21">
                  <c:v>1260279545537.62</c:v>
                </c:pt>
                <c:pt idx="22">
                  <c:v>1275321097227.87</c:v>
                </c:pt>
                <c:pt idx="23">
                  <c:v>1509225374761.75</c:v>
                </c:pt>
                <c:pt idx="24">
                  <c:v>1779870900491.41</c:v>
                </c:pt>
                <c:pt idx="25">
                  <c:v>2264294175552.81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6895024"/>
        <c:axId val="1956880144"/>
      </c:barChart>
      <c:lineChart>
        <c:grouping val="standard"/>
        <c:varyColors val="0"/>
        <c:ser>
          <c:idx val="1"/>
          <c:order val="1"/>
          <c:tx>
            <c:strRef>
              <c:f>美日新港债券ETF资产规模!$C$1</c:f>
              <c:strCache>
                <c:ptCount val="1"/>
                <c:pt idx="0">
                  <c:v>同比增长率(%)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美日新港债券ETF资产规模!$C$2:$C$27</c:f>
              <c:numCache>
                <c:formatCode>General</c:formatCode>
                <c:ptCount val="26"/>
                <c:pt idx="1" c:formatCode="0.00%">
                  <c:v>1.8337258596326</c:v>
                </c:pt>
                <c:pt idx="2" c:formatCode="0.00%">
                  <c:v>66.8910574468085</c:v>
                </c:pt>
                <c:pt idx="3" c:formatCode="0.00%">
                  <c:v>0.300467348392984</c:v>
                </c:pt>
                <c:pt idx="4" c:formatCode="0.00%">
                  <c:v>1.28487479360722</c:v>
                </c:pt>
                <c:pt idx="5" c:formatCode="0.00%">
                  <c:v>0.603367450021416</c:v>
                </c:pt>
                <c:pt idx="6" c:formatCode="0.00%">
                  <c:v>0.280183097083204</c:v>
                </c:pt>
                <c:pt idx="7" c:formatCode="0.00%">
                  <c:v>0.575982547684383</c:v>
                </c:pt>
                <c:pt idx="8" c:formatCode="0.00%">
                  <c:v>0.532708715905532</c:v>
                </c:pt>
                <c:pt idx="9" c:formatCode="0.00%">
                  <c:v>0.884370155918767</c:v>
                </c:pt>
                <c:pt idx="10" c:formatCode="0.00%">
                  <c:v>0.30153702262458</c:v>
                </c:pt>
                <c:pt idx="11" c:formatCode="0.00%">
                  <c:v>0.317771253243844</c:v>
                </c:pt>
                <c:pt idx="12" c:formatCode="0.00%">
                  <c:v>0.325642587316497</c:v>
                </c:pt>
                <c:pt idx="13" c:formatCode="0.00%">
                  <c:v>-0.0184528594048003</c:v>
                </c:pt>
                <c:pt idx="14" c:formatCode="0.00%">
                  <c:v>0.211523679318203</c:v>
                </c:pt>
                <c:pt idx="15" c:formatCode="0.00%">
                  <c:v>0.159141001253204</c:v>
                </c:pt>
                <c:pt idx="16" c:formatCode="0.00%">
                  <c:v>0.254331783631816</c:v>
                </c:pt>
                <c:pt idx="17" c:formatCode="0.00%">
                  <c:v>0.288391368203809</c:v>
                </c:pt>
                <c:pt idx="18" c:formatCode="0.00%">
                  <c:v>0.123374477366652</c:v>
                </c:pt>
                <c:pt idx="19" c:formatCode="0.00%">
                  <c:v>0.289166350336561</c:v>
                </c:pt>
                <c:pt idx="20" c:formatCode="0.00%">
                  <c:v>0.297460771536944</c:v>
                </c:pt>
                <c:pt idx="21" c:formatCode="0.00%">
                  <c:v>0.167916796779406</c:v>
                </c:pt>
                <c:pt idx="22" c:formatCode="0.00%">
                  <c:v>0.0119350914989527</c:v>
                </c:pt>
                <c:pt idx="23" c:formatCode="0.00%">
                  <c:v>0.183408145636664</c:v>
                </c:pt>
                <c:pt idx="24" c:formatCode="0.00%">
                  <c:v>0.179327441915284</c:v>
                </c:pt>
                <c:pt idx="25" c:formatCode="0.00%">
                  <c:v>0.272167647062298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58204736"/>
        <c:axId val="1958225856"/>
      </c:lineChart>
      <c:dateAx>
        <c:axId val="1956895024"/>
        <c:scaling>
          <c:orientation val="minMax"/>
        </c:scaling>
        <c:delete val="0"/>
        <c:axPos val="b"/>
        <c:numFmt formatCode="yyyy/m/d;@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56880144"/>
        <c:crosses val="autoZero"/>
        <c:auto val="1"/>
        <c:lblOffset val="100"/>
        <c:baseTimeUnit val="years"/>
      </c:dateAx>
      <c:valAx>
        <c:axId val="1956880144"/>
        <c:scaling>
          <c:orientation val="minMax"/>
        </c:scaling>
        <c:delete val="0"/>
        <c:axPos val="l"/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56895024"/>
        <c:crosses val="autoZero"/>
        <c:crossBetween val="between"/>
      </c:valAx>
      <c:dateAx>
        <c:axId val="1958204736"/>
        <c:scaling>
          <c:orientation val="minMax"/>
        </c:scaling>
        <c:delete val="1"/>
        <c:axPos val="b"/>
        <c:numFmt formatCode="yyyy/m/d;@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58225856"/>
        <c:crosses val="autoZero"/>
        <c:auto val="1"/>
        <c:lblOffset val="100"/>
        <c:baseTimeUnit val="years"/>
        <c:majorUnit val="1"/>
        <c:majorTimeUnit val="days"/>
        <c:minorUnit val="1"/>
        <c:minorTimeUnit val="days"/>
      </c:dateAx>
      <c:valAx>
        <c:axId val="1958225856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58204736"/>
        <c:crosses val="max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lang="en-US" altLang="zh-CN" sz="8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9a28f29-1a1b-4099-82c1-dc650a5f0ad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def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  <a:cs typeface="+mn-cs"/>
              </a:rPr>
              <a:t>日本债券ETF历年总量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  <a:cs typeface="+mn-cs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美日新港债券ETF资产规模!$D$1</c:f>
              <c:strCache>
                <c:ptCount val="1"/>
                <c:pt idx="0">
                  <c:v>JP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美日新港债券ETF资产规模!$D$2:$D$27</c:f>
              <c:numCache>
                <c:formatCode>0.00_);[Red]\(0.00\)</c:formatCode>
                <c:ptCount val="2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10889802.6756942</c:v>
                </c:pt>
                <c:pt idx="10">
                  <c:v>36126741.3928099</c:v>
                </c:pt>
                <c:pt idx="11">
                  <c:v>61722300.4996777</c:v>
                </c:pt>
                <c:pt idx="12">
                  <c:v>73629182.6246648</c:v>
                </c:pt>
                <c:pt idx="13">
                  <c:v>67995813.0949352</c:v>
                </c:pt>
                <c:pt idx="14">
                  <c:v>90766783.6195297</c:v>
                </c:pt>
                <c:pt idx="15">
                  <c:v>106027698.471271</c:v>
                </c:pt>
                <c:pt idx="16">
                  <c:v>296182327.267742</c:v>
                </c:pt>
                <c:pt idx="17">
                  <c:v>529524142.448378</c:v>
                </c:pt>
                <c:pt idx="18">
                  <c:v>639213384.605263</c:v>
                </c:pt>
                <c:pt idx="19">
                  <c:v>1151421098.42193</c:v>
                </c:pt>
                <c:pt idx="20">
                  <c:v>2012839916.55028</c:v>
                </c:pt>
                <c:pt idx="21">
                  <c:v>3846821405.95885</c:v>
                </c:pt>
                <c:pt idx="22">
                  <c:v>4789830690.1062</c:v>
                </c:pt>
                <c:pt idx="23">
                  <c:v>7507118989.54211</c:v>
                </c:pt>
                <c:pt idx="24">
                  <c:v>9179920111.41169</c:v>
                </c:pt>
                <c:pt idx="25">
                  <c:v>8945169507.88736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88619792"/>
        <c:axId val="1988626992"/>
      </c:barChart>
      <c:lineChart>
        <c:grouping val="standard"/>
        <c:varyColors val="0"/>
        <c:ser>
          <c:idx val="1"/>
          <c:order val="1"/>
          <c:tx>
            <c:strRef>
              <c:f>美日新港债券ETF资产规模!$E$1</c:f>
              <c:strCache>
                <c:ptCount val="1"/>
                <c:pt idx="0">
                  <c:v>同比增长率(%)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美日新港债券ETF资产规模!$E$2:$E$27</c:f>
              <c:numCache>
                <c:formatCode>General</c:formatCode>
                <c:ptCount val="26"/>
                <c:pt idx="10" c:formatCode="0.00%">
                  <c:v>2.31748356409102</c:v>
                </c:pt>
                <c:pt idx="11" c:formatCode="0.00%">
                  <c:v>0.708493435058661</c:v>
                </c:pt>
                <c:pt idx="12" c:formatCode="0.00%">
                  <c:v>0.192910536849631</c:v>
                </c:pt>
                <c:pt idx="13" c:formatCode="0.00%">
                  <c:v>-0.0765100104186475</c:v>
                </c:pt>
                <c:pt idx="14" c:formatCode="0.00%">
                  <c:v>0.334887833355296</c:v>
                </c:pt>
                <c:pt idx="15" c:formatCode="0.00%">
                  <c:v>0.168133255836309</c:v>
                </c:pt>
                <c:pt idx="16" c:formatCode="0.00%">
                  <c:v>1.79344295441813</c:v>
                </c:pt>
                <c:pt idx="17" c:formatCode="0.00%">
                  <c:v>0.787831662115682</c:v>
                </c:pt>
                <c:pt idx="18" c:formatCode="0.00%">
                  <c:v>0.207146819878148</c:v>
                </c:pt>
                <c:pt idx="19" c:formatCode="0.00%">
                  <c:v>0.801309431486598</c:v>
                </c:pt>
                <c:pt idx="20" c:formatCode="0.00%">
                  <c:v>0.748135342759447</c:v>
                </c:pt>
                <c:pt idx="21" c:formatCode="0.00%">
                  <c:v>0.911141255858912</c:v>
                </c:pt>
                <c:pt idx="22" c:formatCode="0.00%">
                  <c:v>0.245139866042806</c:v>
                </c:pt>
                <c:pt idx="23" c:formatCode="0.00%">
                  <c:v>0.567303622035889</c:v>
                </c:pt>
                <c:pt idx="24" c:formatCode="0.00%">
                  <c:v>0.222828640947332</c:v>
                </c:pt>
                <c:pt idx="25" c:formatCode="0.00%">
                  <c:v>-0.0255721837091489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88627952"/>
        <c:axId val="1988635152"/>
      </c:lineChart>
      <c:dateAx>
        <c:axId val="1988619792"/>
        <c:scaling>
          <c:orientation val="minMax"/>
        </c:scaling>
        <c:delete val="0"/>
        <c:axPos val="b"/>
        <c:numFmt formatCode="yyyy/m/d;@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26992"/>
        <c:crosses val="autoZero"/>
        <c:auto val="1"/>
        <c:lblOffset val="100"/>
        <c:baseTimeUnit val="years"/>
      </c:dateAx>
      <c:valAx>
        <c:axId val="1988626992"/>
        <c:scaling>
          <c:orientation val="minMax"/>
        </c:scaling>
        <c:delete val="0"/>
        <c:axPos val="l"/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19792"/>
        <c:crosses val="autoZero"/>
        <c:crossBetween val="between"/>
      </c:valAx>
      <c:dateAx>
        <c:axId val="1988627952"/>
        <c:scaling>
          <c:orientation val="minMax"/>
        </c:scaling>
        <c:delete val="1"/>
        <c:axPos val="b"/>
        <c:numFmt formatCode="yyyy/m/d;@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35152"/>
        <c:crosses val="autoZero"/>
        <c:auto val="1"/>
        <c:lblOffset val="100"/>
        <c:baseTimeUnit val="years"/>
      </c:dateAx>
      <c:valAx>
        <c:axId val="1988635152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27952"/>
        <c:crosses val="max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lang="en-US" altLang="zh-CN" sz="8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eb2f495-ad89-4bd5-9df9-7d90551d601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def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  <a:cs typeface="+mn-cs"/>
              </a:rPr>
              <a:t>新加坡债券ETF历年总量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  <a:cs typeface="+mn-cs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美日新港债券ETF资产规模!$F$1</c:f>
              <c:strCache>
                <c:ptCount val="1"/>
                <c:pt idx="0">
                  <c:v>SG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美日新港债券ETF资产规模!$F$2:$F$27</c:f>
              <c:numCache>
                <c:formatCode>0.00_);[Red]\(0.00\)</c:formatCode>
                <c:ptCount val="2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1370419744.12941</c:v>
                </c:pt>
                <c:pt idx="6">
                  <c:v>1720445977.09939</c:v>
                </c:pt>
                <c:pt idx="7">
                  <c:v>1632252032</c:v>
                </c:pt>
                <c:pt idx="8">
                  <c:v>1914641164.44022</c:v>
                </c:pt>
                <c:pt idx="9">
                  <c:v>2089138904.15885</c:v>
                </c:pt>
                <c:pt idx="10">
                  <c:v>2628364163.889</c:v>
                </c:pt>
                <c:pt idx="11">
                  <c:v>2951898649.7225</c:v>
                </c:pt>
                <c:pt idx="12">
                  <c:v>3779319637.98651</c:v>
                </c:pt>
                <c:pt idx="13">
                  <c:v>3608052643.77214</c:v>
                </c:pt>
                <c:pt idx="14">
                  <c:v>3595730713.499</c:v>
                </c:pt>
                <c:pt idx="15">
                  <c:v>3510264267.05125</c:v>
                </c:pt>
                <c:pt idx="16">
                  <c:v>4411238557.18653</c:v>
                </c:pt>
                <c:pt idx="17">
                  <c:v>4546517846.19682</c:v>
                </c:pt>
                <c:pt idx="18">
                  <c:v>4621379234.39742</c:v>
                </c:pt>
                <c:pt idx="19">
                  <c:v>4923968369.25919</c:v>
                </c:pt>
                <c:pt idx="20">
                  <c:v>5256909518.7056</c:v>
                </c:pt>
                <c:pt idx="21">
                  <c:v>7398413914.53539</c:v>
                </c:pt>
                <c:pt idx="22">
                  <c:v>7425950798.31009</c:v>
                </c:pt>
                <c:pt idx="23">
                  <c:v>5374046330.72981</c:v>
                </c:pt>
                <c:pt idx="24">
                  <c:v>6487581238.31189</c:v>
                </c:pt>
                <c:pt idx="25">
                  <c:v>6896684475.97073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84552080"/>
        <c:axId val="1984564080"/>
      </c:barChart>
      <c:lineChart>
        <c:grouping val="standard"/>
        <c:varyColors val="0"/>
        <c:ser>
          <c:idx val="1"/>
          <c:order val="1"/>
          <c:tx>
            <c:strRef>
              <c:f>美日新港债券ETF资产规模!$G$1</c:f>
              <c:strCache>
                <c:ptCount val="1"/>
                <c:pt idx="0">
                  <c:v>同比增长率(%)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美日新港债券ETF资产规模!$G$2:$G$27</c:f>
              <c:numCache>
                <c:formatCode>General</c:formatCode>
                <c:ptCount val="26"/>
                <c:pt idx="6" c:formatCode="0.00%">
                  <c:v>0.255415345896335</c:v>
                </c:pt>
                <c:pt idx="7" c:formatCode="0.00%">
                  <c:v>-0.0512622577362655</c:v>
                </c:pt>
                <c:pt idx="8" c:formatCode="0.00%">
                  <c:v>0.173005839113098</c:v>
                </c:pt>
                <c:pt idx="9" c:formatCode="0.00%">
                  <c:v>0.0911386127904794</c:v>
                </c:pt>
                <c:pt idx="10" c:formatCode="0.00%">
                  <c:v>0.258108859423715</c:v>
                </c:pt>
                <c:pt idx="11" c:formatCode="0.00%">
                  <c:v>0.123093477790684</c:v>
                </c:pt>
                <c:pt idx="12" c:formatCode="0.00%">
                  <c:v>0.280301286204997</c:v>
                </c:pt>
                <c:pt idx="13" c:formatCode="0.00%">
                  <c:v>-0.0453168852120735</c:v>
                </c:pt>
                <c:pt idx="14" c:formatCode="0.00%">
                  <c:v>-0.00341511931496034</c:v>
                </c:pt>
                <c:pt idx="15" c:formatCode="0.00%">
                  <c:v>-0.0237688673756614</c:v>
                </c:pt>
                <c:pt idx="16" c:formatCode="0.00%">
                  <c:v>0.256668507437513</c:v>
                </c:pt>
                <c:pt idx="17" c:formatCode="0.00%">
                  <c:v>0.0306669628623691</c:v>
                </c:pt>
                <c:pt idx="18" c:formatCode="0.00%">
                  <c:v>0.0164656536569457</c:v>
                </c:pt>
                <c:pt idx="19" c:formatCode="0.00%">
                  <c:v>0.0654759368392809</c:v>
                </c:pt>
                <c:pt idx="20" c:formatCode="0.00%">
                  <c:v>0.0676164273363318</c:v>
                </c:pt>
                <c:pt idx="21" c:formatCode="0.00%">
                  <c:v>0.407369460746794</c:v>
                </c:pt>
                <c:pt idx="22" c:formatCode="0.00%">
                  <c:v>0.00372199826784488</c:v>
                </c:pt>
                <c:pt idx="23" c:formatCode="0.00%">
                  <c:v>-0.276315386852176</c:v>
                </c:pt>
                <c:pt idx="24" c:formatCode="0.00%">
                  <c:v>0.207206049046261</c:v>
                </c:pt>
                <c:pt idx="25" c:formatCode="0.00%">
                  <c:v>0.0630594396634163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84566000"/>
        <c:axId val="1984565520"/>
      </c:lineChart>
      <c:dateAx>
        <c:axId val="1984552080"/>
        <c:scaling>
          <c:orientation val="minMax"/>
        </c:scaling>
        <c:delete val="0"/>
        <c:axPos val="b"/>
        <c:numFmt formatCode="yyyy/m/d;@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4564080"/>
        <c:crosses val="autoZero"/>
        <c:auto val="1"/>
        <c:lblOffset val="100"/>
        <c:baseTimeUnit val="years"/>
      </c:dateAx>
      <c:valAx>
        <c:axId val="1984564080"/>
        <c:scaling>
          <c:orientation val="minMax"/>
        </c:scaling>
        <c:delete val="0"/>
        <c:axPos val="l"/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4552080"/>
        <c:crosses val="autoZero"/>
        <c:crossBetween val="between"/>
      </c:valAx>
      <c:dateAx>
        <c:axId val="1984566000"/>
        <c:scaling>
          <c:orientation val="minMax"/>
        </c:scaling>
        <c:delete val="1"/>
        <c:axPos val="b"/>
        <c:numFmt formatCode="yyyy/m/d;@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4565520"/>
        <c:crosses val="autoZero"/>
        <c:auto val="1"/>
        <c:lblOffset val="100"/>
        <c:baseTimeUnit val="years"/>
      </c:dateAx>
      <c:valAx>
        <c:axId val="1984565520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4566000"/>
        <c:crosses val="max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lang="en-US" altLang="zh-CN" sz="8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c83d03f-c2f9-4e32-b7ee-f0f4b03c923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def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楷体" panose="02010609060101010101" pitchFamily="49" charset="-122"/>
                <a:ea typeface="楷体" panose="02010609060101010101" pitchFamily="49" charset="-122"/>
                <a:cs typeface="+mn-cs"/>
              </a:rPr>
              <a:t>香港债券ETF历年总量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  <a:cs typeface="+mn-cs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美日新港债券ETF资产规模!$H$1</c:f>
              <c:strCache>
                <c:ptCount val="1"/>
                <c:pt idx="0">
                  <c:v>HK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美日新港债券ETF资产规模!$H$2:$H$27</c:f>
              <c:numCache>
                <c:formatCode>0.00_);[Red]\(0.00\)</c:formatCode>
                <c:ptCount val="2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275211435.217377</c:v>
                </c:pt>
                <c:pt idx="6">
                  <c:v>286759524.814941</c:v>
                </c:pt>
                <c:pt idx="7">
                  <c:v>313096482.192398</c:v>
                </c:pt>
                <c:pt idx="8">
                  <c:v>299775253.312561</c:v>
                </c:pt>
                <c:pt idx="9">
                  <c:v>305726646.315868</c:v>
                </c:pt>
                <c:pt idx="10">
                  <c:v>329436865.359558</c:v>
                </c:pt>
                <c:pt idx="11">
                  <c:v>336497292.041779</c:v>
                </c:pt>
                <c:pt idx="12">
                  <c:v>441797405.11565</c:v>
                </c:pt>
                <c:pt idx="13">
                  <c:v>382558671.087112</c:v>
                </c:pt>
                <c:pt idx="14">
                  <c:v>1217208415.08769</c:v>
                </c:pt>
                <c:pt idx="15">
                  <c:v>726518889.849249</c:v>
                </c:pt>
                <c:pt idx="16">
                  <c:v>560531996.405885</c:v>
                </c:pt>
                <c:pt idx="17">
                  <c:v>585009967.5959</c:v>
                </c:pt>
                <c:pt idx="18">
                  <c:v>466487394.834219</c:v>
                </c:pt>
                <c:pt idx="19">
                  <c:v>606430669.38913</c:v>
                </c:pt>
                <c:pt idx="20">
                  <c:v>607357724.146545</c:v>
                </c:pt>
                <c:pt idx="21">
                  <c:v>1950870998.53819</c:v>
                </c:pt>
                <c:pt idx="22">
                  <c:v>1744330087.04946</c:v>
                </c:pt>
                <c:pt idx="23">
                  <c:v>1686783890.10033</c:v>
                </c:pt>
                <c:pt idx="24">
                  <c:v>2253410567.22911</c:v>
                </c:pt>
                <c:pt idx="25">
                  <c:v>2077251705.89645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88651472"/>
        <c:axId val="1988649072"/>
      </c:barChart>
      <c:lineChart>
        <c:grouping val="standard"/>
        <c:varyColors val="0"/>
        <c:ser>
          <c:idx val="1"/>
          <c:order val="1"/>
          <c:tx>
            <c:strRef>
              <c:f>美日新港债券ETF资产规模!$I$1</c:f>
              <c:strCache>
                <c:ptCount val="1"/>
                <c:pt idx="0">
                  <c:v>同比增长率(%)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美日新港债券ETF资产规模!$A$2:$A$27</c:f>
              <c:numCache>
                <c:formatCode>yyyy/m/d;@</c:formatCode>
                <c:ptCount val="26"/>
                <c:pt idx="0" c:formatCode="yyyy/m/d;@">
                  <c:v>36891</c:v>
                </c:pt>
                <c:pt idx="1" c:formatCode="yyyy/m/d;@">
                  <c:v>37256</c:v>
                </c:pt>
                <c:pt idx="2" c:formatCode="yyyy/m/d;@">
                  <c:v>37621</c:v>
                </c:pt>
                <c:pt idx="3" c:formatCode="yyyy/m/d;@">
                  <c:v>37986</c:v>
                </c:pt>
                <c:pt idx="4" c:formatCode="yyyy/m/d;@">
                  <c:v>38352</c:v>
                </c:pt>
                <c:pt idx="5" c:formatCode="yyyy/m/d;@">
                  <c:v>38717</c:v>
                </c:pt>
                <c:pt idx="6" c:formatCode="yyyy/m/d;@">
                  <c:v>39082</c:v>
                </c:pt>
                <c:pt idx="7" c:formatCode="yyyy/m/d;@">
                  <c:v>39447</c:v>
                </c:pt>
                <c:pt idx="8" c:formatCode="yyyy/m/d;@">
                  <c:v>39813</c:v>
                </c:pt>
                <c:pt idx="9" c:formatCode="yyyy/m/d;@">
                  <c:v>40178</c:v>
                </c:pt>
                <c:pt idx="10" c:formatCode="yyyy/m/d;@">
                  <c:v>40543</c:v>
                </c:pt>
                <c:pt idx="11" c:formatCode="yyyy/m/d;@">
                  <c:v>40908</c:v>
                </c:pt>
                <c:pt idx="12" c:formatCode="yyyy/m/d;@">
                  <c:v>41274</c:v>
                </c:pt>
                <c:pt idx="13" c:formatCode="yyyy/m/d;@">
                  <c:v>41639</c:v>
                </c:pt>
                <c:pt idx="14" c:formatCode="yyyy/m/d;@">
                  <c:v>42004</c:v>
                </c:pt>
                <c:pt idx="15" c:formatCode="yyyy/m/d;@">
                  <c:v>42369</c:v>
                </c:pt>
                <c:pt idx="16" c:formatCode="yyyy/m/d;@">
                  <c:v>42735</c:v>
                </c:pt>
                <c:pt idx="17" c:formatCode="yyyy/m/d;@">
                  <c:v>43100</c:v>
                </c:pt>
                <c:pt idx="18" c:formatCode="yyyy/m/d;@">
                  <c:v>43465</c:v>
                </c:pt>
                <c:pt idx="19" c:formatCode="yyyy/m/d;@">
                  <c:v>43830</c:v>
                </c:pt>
                <c:pt idx="20" c:formatCode="yyyy/m/d;@">
                  <c:v>44196</c:v>
                </c:pt>
                <c:pt idx="21" c:formatCode="yyyy/m/d;@">
                  <c:v>44561</c:v>
                </c:pt>
                <c:pt idx="22" c:formatCode="yyyy/m/d;@">
                  <c:v>44926</c:v>
                </c:pt>
                <c:pt idx="23" c:formatCode="yyyy/m/d;@">
                  <c:v>45291</c:v>
                </c:pt>
                <c:pt idx="24" c:formatCode="yyyy/m/d;@">
                  <c:v>45657</c:v>
                </c:pt>
                <c:pt idx="25" c:formatCode="yyyy/m/d;@">
                  <c:v>46022</c:v>
                </c:pt>
              </c:numCache>
            </c:numRef>
          </c:cat>
          <c:val>
            <c:numRef>
              <c:f>美日新港债券ETF资产规模!$I$2:$I$27</c:f>
              <c:numCache>
                <c:formatCode>General</c:formatCode>
                <c:ptCount val="26"/>
                <c:pt idx="6" c:formatCode="0.00%">
                  <c:v>0.0419607913037577</c:v>
                </c:pt>
                <c:pt idx="7" c:formatCode="0.00%">
                  <c:v>0.0918433568839726</c:v>
                </c:pt>
                <c:pt idx="8" c:formatCode="0.00%">
                  <c:v>-0.0425467216576746</c:v>
                </c:pt>
                <c:pt idx="9" c:formatCode="0.00%">
                  <c:v>0.0198528495516</c:v>
                </c:pt>
                <c:pt idx="10" c:formatCode="0.00%">
                  <c:v>0.077553655624748</c:v>
                </c:pt>
                <c:pt idx="11" c:formatCode="0.00%">
                  <c:v>0.0214318050729235</c:v>
                </c:pt>
                <c:pt idx="12" c:formatCode="0.00%">
                  <c:v>0.312930045989188</c:v>
                </c:pt>
                <c:pt idx="13" c:formatCode="0.00%">
                  <c:v>-0.134085744602848</c:v>
                </c:pt>
                <c:pt idx="14" c:formatCode="0.00%">
                  <c:v>2.18175617776161</c:v>
                </c:pt>
                <c:pt idx="15" c:formatCode="0.00%">
                  <c:v>-0.403126957681352</c:v>
                </c:pt>
                <c:pt idx="16" c:formatCode="0.00%">
                  <c:v>-0.228468792432645</c:v>
                </c:pt>
                <c:pt idx="17" c:formatCode="0.00%">
                  <c:v>0.0436691774010532</c:v>
                </c:pt>
                <c:pt idx="18" c:formatCode="0.00%">
                  <c:v>-0.202599236468995</c:v>
                </c:pt>
                <c:pt idx="19" c:formatCode="0.00%">
                  <c:v>0.299993689228504</c:v>
                </c:pt>
                <c:pt idx="20" c:formatCode="0.00%">
                  <c:v>0.00152870691442584</c:v>
                </c:pt>
                <c:pt idx="21" c:formatCode="0.00%">
                  <c:v>2.21206254728964</c:v>
                </c:pt>
                <c:pt idx="22" c:formatCode="0.00%">
                  <c:v>-0.105871127123984</c:v>
                </c:pt>
                <c:pt idx="23" c:formatCode="0.00%">
                  <c:v>-0.032990428460974</c:v>
                </c:pt>
                <c:pt idx="24" c:formatCode="0.00%">
                  <c:v>0.335921323682476</c:v>
                </c:pt>
                <c:pt idx="25" c:formatCode="0.00%">
                  <c:v>-0.0781743300109186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88609712"/>
        <c:axId val="1988602032"/>
      </c:lineChart>
      <c:dateAx>
        <c:axId val="1988651472"/>
        <c:scaling>
          <c:orientation val="minMax"/>
        </c:scaling>
        <c:delete val="0"/>
        <c:axPos val="b"/>
        <c:numFmt formatCode="yyyy/m/d;@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49072"/>
        <c:crosses val="autoZero"/>
        <c:auto val="1"/>
        <c:lblOffset val="100"/>
        <c:baseTimeUnit val="years"/>
      </c:dateAx>
      <c:valAx>
        <c:axId val="1988649072"/>
        <c:scaling>
          <c:orientation val="minMax"/>
        </c:scaling>
        <c:delete val="0"/>
        <c:axPos val="l"/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51472"/>
        <c:crosses val="autoZero"/>
        <c:crossBetween val="between"/>
      </c:valAx>
      <c:dateAx>
        <c:axId val="1988609712"/>
        <c:scaling>
          <c:orientation val="minMax"/>
        </c:scaling>
        <c:delete val="1"/>
        <c:axPos val="b"/>
        <c:numFmt formatCode="yyyy/m/d;@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02032"/>
        <c:crosses val="autoZero"/>
        <c:auto val="1"/>
        <c:lblOffset val="100"/>
        <c:baseTimeUnit val="years"/>
      </c:dateAx>
      <c:valAx>
        <c:axId val="1988602032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8609712"/>
        <c:crosses val="max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lang="en-US" altLang="zh-CN" sz="8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楷体" panose="02010609060101010101" pitchFamily="49" charset="-122"/>
              <a:ea typeface="楷体" panose="02010609060101010101" pitchFamily="49" charset="-122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ee63fda-27ea-4f1d-b00b-756c028c07e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美国前</a:t>
            </a:r>
            <a:r>
              <a:rPr lang="en-US" altLang="zh-CN"/>
              <a:t>10</a:t>
            </a:r>
            <a:r>
              <a:rPr lang="zh-CN" altLang="en-US"/>
              <a:t>公司持有占比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9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0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1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2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3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4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5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6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7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8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9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0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1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2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3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4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5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6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7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8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9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0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1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2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3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4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5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6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7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8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9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0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1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2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3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4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5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6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7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8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9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0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1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2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3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4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5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6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7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8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9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0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1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2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3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4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5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6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7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8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9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0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1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2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3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4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5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6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7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8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9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0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1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2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3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4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5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6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7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8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9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0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1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2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3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4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5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6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7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8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09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10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美国!$S$14:$S$124</c:f>
              <c:strCache>
                <c:ptCount val="111"/>
                <c:pt idx="0">
                  <c:v>iShares</c:v>
                </c:pt>
                <c:pt idx="1">
                  <c:v>Vanguard</c:v>
                </c:pt>
                <c:pt idx="2">
                  <c:v>State Street (SPDR/SSGA)</c:v>
                </c:pt>
                <c:pt idx="3">
                  <c:v>Jp Morgan</c:v>
                </c:pt>
                <c:pt idx="4">
                  <c:v>Schwab Strategic</c:v>
                </c:pt>
                <c:pt idx="5">
                  <c:v>Invesco</c:v>
                </c:pt>
                <c:pt idx="6">
                  <c:v>Pimco</c:v>
                </c:pt>
                <c:pt idx="7">
                  <c:v>Janus Detroit Street</c:v>
                </c:pt>
                <c:pt idx="8">
                  <c:v>First Trust</c:v>
                </c:pt>
                <c:pt idx="9">
                  <c:v>Fidelity Merrimack Street</c:v>
                </c:pt>
                <c:pt idx="10">
                  <c:v>Capital Group Fixed Income</c:v>
                </c:pt>
                <c:pt idx="11">
                  <c:v>Dimensional</c:v>
                </c:pt>
                <c:pt idx="12">
                  <c:v>Pgim</c:v>
                </c:pt>
                <c:pt idx="13">
                  <c:v>Vaneck</c:v>
                </c:pt>
                <c:pt idx="14">
                  <c:v>BlackRock</c:v>
                </c:pt>
                <c:pt idx="15">
                  <c:v>Wisdomtree</c:v>
                </c:pt>
                <c:pt idx="16">
                  <c:v>Franklin Templeton</c:v>
                </c:pt>
                <c:pt idx="17">
                  <c:v>Goldman Sachs</c:v>
                </c:pt>
                <c:pt idx="18">
                  <c:v>Morgan Stanley</c:v>
                </c:pt>
                <c:pt idx="19">
                  <c:v>RBB</c:v>
                </c:pt>
                <c:pt idx="20">
                  <c:v>Ab Active</c:v>
                </c:pt>
                <c:pt idx="21">
                  <c:v>BNY Mellon</c:v>
                </c:pt>
                <c:pt idx="22">
                  <c:v>Bondbloxx</c:v>
                </c:pt>
                <c:pt idx="23">
                  <c:v>Flexshares</c:v>
                </c:pt>
                <c:pt idx="24">
                  <c:v>Dws Xtrackers</c:v>
                </c:pt>
                <c:pt idx="25">
                  <c:v>Victory Portfolios</c:v>
                </c:pt>
                <c:pt idx="26">
                  <c:v>Nushares</c:v>
                </c:pt>
                <c:pt idx="27">
                  <c:v>Global X</c:v>
                </c:pt>
                <c:pt idx="28">
                  <c:v>T Rowe Price Exchange-traded Funds</c:v>
                </c:pt>
                <c:pt idx="29">
                  <c:v>Simplify Exchange Traded Funds</c:v>
                </c:pt>
                <c:pt idx="30">
                  <c:v>American Century</c:v>
                </c:pt>
                <c:pt idx="31">
                  <c:v>Direxion</c:v>
                </c:pt>
                <c:pt idx="32">
                  <c:v>Hartford Funds Exchange-traded</c:v>
                </c:pt>
                <c:pt idx="33">
                  <c:v>Tcw</c:v>
                </c:pt>
                <c:pt idx="34">
                  <c:v>Alps</c:v>
                </c:pt>
                <c:pt idx="35">
                  <c:v>New York Life Investment Management</c:v>
                </c:pt>
                <c:pt idx="36">
                  <c:v>Angel Oak Funds</c:v>
                </c:pt>
                <c:pt idx="37">
                  <c:v>Principal Exchange-traded Funds</c:v>
                </c:pt>
                <c:pt idx="38">
                  <c:v>ETFis Series Trust I</c:v>
                </c:pt>
                <c:pt idx="39">
                  <c:v>Doubleline</c:v>
                </c:pt>
                <c:pt idx="40">
                  <c:v>Tidal Trust</c:v>
                </c:pt>
                <c:pt idx="41">
                  <c:v>Northern Lights Fund Trust</c:v>
                </c:pt>
                <c:pt idx="42">
                  <c:v>ETF Series Solutions</c:v>
                </c:pt>
                <c:pt idx="43">
                  <c:v>Putnam</c:v>
                </c:pt>
                <c:pt idx="44">
                  <c:v>Columbia</c:v>
                </c:pt>
                <c:pt idx="45">
                  <c:v>Neos</c:v>
                </c:pt>
                <c:pt idx="46">
                  <c:v>Trust for Professional Managers</c:v>
                </c:pt>
                <c:pt idx="47">
                  <c:v>Series Portfolio Trust</c:v>
                </c:pt>
                <c:pt idx="48">
                  <c:v>Proshares</c:v>
                </c:pt>
                <c:pt idx="49">
                  <c:v>Neuberger Berman</c:v>
                </c:pt>
                <c:pt idx="50">
                  <c:v>Powershares Actively Managed</c:v>
                </c:pt>
                <c:pt idx="51">
                  <c:v>John Hancock</c:v>
                </c:pt>
                <c:pt idx="52">
                  <c:v>Virtus ETF Trust</c:v>
                </c:pt>
                <c:pt idx="53">
                  <c:v>Exchange-traded Concepts</c:v>
                </c:pt>
                <c:pt idx="54">
                  <c:v>Allspring Funds Management</c:v>
                </c:pt>
                <c:pt idx="55">
                  <c:v>Pacer</c:v>
                </c:pt>
                <c:pt idx="56">
                  <c:v>Kraneshares</c:v>
                </c:pt>
                <c:pt idx="57">
                  <c:v>Touchstone</c:v>
                </c:pt>
                <c:pt idx="58">
                  <c:v>Fidelity Covington</c:v>
                </c:pt>
                <c:pt idx="59">
                  <c:v>Ea Series</c:v>
                </c:pt>
                <c:pt idx="60">
                  <c:v>Thrivent</c:v>
                </c:pt>
                <c:pt idx="61">
                  <c:v>Federated Hermes</c:v>
                </c:pt>
                <c:pt idx="62">
                  <c:v>Amplify</c:v>
                </c:pt>
                <c:pt idx="63">
                  <c:v>Spend Life Wisely Funds Investment Tr</c:v>
                </c:pt>
                <c:pt idx="64">
                  <c:v>Professionally Managed Portfolios</c:v>
                </c:pt>
                <c:pt idx="65">
                  <c:v>Advisors' Inner Circle</c:v>
                </c:pt>
                <c:pt idx="66">
                  <c:v>Two Roads Shared Trust</c:v>
                </c:pt>
                <c:pt idx="67">
                  <c:v>Spinnaker ETF Trust</c:v>
                </c:pt>
                <c:pt idx="68">
                  <c:v>Harbor</c:v>
                </c:pt>
                <c:pt idx="69">
                  <c:v>Mfs Active Exchange Traded Funds</c:v>
                </c:pt>
                <c:pt idx="70">
                  <c:v>Horizons</c:v>
                </c:pt>
                <c:pt idx="71">
                  <c:v>Unified Series</c:v>
                </c:pt>
                <c:pt idx="72">
                  <c:v>Palmer Square Funds</c:v>
                </c:pt>
                <c:pt idx="73">
                  <c:v>Northern Funds</c:v>
                </c:pt>
                <c:pt idx="74">
                  <c:v>Cambria</c:v>
                </c:pt>
                <c:pt idx="75">
                  <c:v>Listed Funds Trust</c:v>
                </c:pt>
                <c:pt idx="76">
                  <c:v>Value Advisers</c:v>
                </c:pt>
                <c:pt idx="77">
                  <c:v>Roundhill</c:v>
                </c:pt>
                <c:pt idx="78">
                  <c:v>Collaborative Investment Series</c:v>
                </c:pt>
                <c:pt idx="79">
                  <c:v>Cohen &amp; Steers</c:v>
                </c:pt>
                <c:pt idx="80">
                  <c:v>Madison Funds</c:v>
                </c:pt>
                <c:pt idx="81">
                  <c:v>Quaker Investment</c:v>
                </c:pt>
                <c:pt idx="82">
                  <c:v>Innovator</c:v>
                </c:pt>
                <c:pt idx="83">
                  <c:v>Thornburg</c:v>
                </c:pt>
                <c:pt idx="84">
                  <c:v>Stone Ridge</c:v>
                </c:pt>
                <c:pt idx="85">
                  <c:v>Frontier</c:v>
                </c:pt>
                <c:pt idx="86">
                  <c:v>Kensington Asset Management</c:v>
                </c:pt>
                <c:pt idx="87">
                  <c:v>ETF Opportunities Trust</c:v>
                </c:pt>
                <c:pt idx="88">
                  <c:v>Exchange Place Advisors</c:v>
                </c:pt>
                <c:pt idx="89">
                  <c:v>Calamos</c:v>
                </c:pt>
                <c:pt idx="90">
                  <c:v>Arrow Investments</c:v>
                </c:pt>
                <c:pt idx="91">
                  <c:v>Investment Managers Series Trust</c:v>
                </c:pt>
                <c:pt idx="92">
                  <c:v>Man ETF Series</c:v>
                </c:pt>
                <c:pt idx="93">
                  <c:v>Nomura</c:v>
                </c:pt>
                <c:pt idx="94">
                  <c:v>Fundvantage</c:v>
                </c:pt>
                <c:pt idx="95">
                  <c:v>Little Harbor Funds</c:v>
                </c:pt>
                <c:pt idx="96">
                  <c:v>Carillon Series</c:v>
                </c:pt>
                <c:pt idx="97">
                  <c:v>Strategy Shares</c:v>
                </c:pt>
                <c:pt idx="98">
                  <c:v>Columbia ETF Trust I</c:v>
                </c:pt>
                <c:pt idx="99">
                  <c:v>Aberdeen Standard Investments</c:v>
                </c:pt>
                <c:pt idx="100">
                  <c:v>Gmo</c:v>
                </c:pt>
                <c:pt idx="101">
                  <c:v>Advisor Managed Portfolios</c:v>
                </c:pt>
                <c:pt idx="102">
                  <c:v>Build Funds</c:v>
                </c:pt>
                <c:pt idx="103">
                  <c:v>Amg</c:v>
                </c:pt>
                <c:pt idx="104">
                  <c:v>American Beacon Select Funds</c:v>
                </c:pt>
                <c:pt idx="105">
                  <c:v>Gabelli</c:v>
                </c:pt>
                <c:pt idx="106">
                  <c:v>Manager Directed Portfolios</c:v>
                </c:pt>
                <c:pt idx="107">
                  <c:v>X-square Series</c:v>
                </c:pt>
                <c:pt idx="108">
                  <c:v>Wisdomtree Digital</c:v>
                </c:pt>
                <c:pt idx="109">
                  <c:v>Abacus Fcf</c:v>
                </c:pt>
                <c:pt idx="110">
                  <c:v>Others</c:v>
                </c:pt>
              </c:strCache>
            </c:strRef>
          </c:cat>
          <c:val>
            <c:numRef>
              <c:f>美国!$U$14:$U$124</c:f>
              <c:numCache>
                <c:formatCode>0.00%</c:formatCode>
                <c:ptCount val="111"/>
                <c:pt idx="0">
                  <c:v>0.37272832443432</c:v>
                </c:pt>
                <c:pt idx="1">
                  <c:v>0.259432701399728</c:v>
                </c:pt>
                <c:pt idx="2">
                  <c:v>0.0758732236719829</c:v>
                </c:pt>
                <c:pt idx="3">
                  <c:v>0.0396150990451206</c:v>
                </c:pt>
                <c:pt idx="4">
                  <c:v>0.0315220053141325</c:v>
                </c:pt>
                <c:pt idx="5">
                  <c:v>0.0258516591971323</c:v>
                </c:pt>
                <c:pt idx="6">
                  <c:v>0.0203420884355713</c:v>
                </c:pt>
                <c:pt idx="7">
                  <c:v>0.0166460390849072</c:v>
                </c:pt>
                <c:pt idx="8">
                  <c:v>0.0156288142876895</c:v>
                </c:pt>
                <c:pt idx="9">
                  <c:v>0.01357928287194</c:v>
                </c:pt>
                <c:pt idx="10">
                  <c:v>0.0109916078221509</c:v>
                </c:pt>
                <c:pt idx="110">
                  <c:v>0.117789154435324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90b054a-3565-47f5-999c-86f5d29853a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日本公司持有占比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0.0257953568357696"/>
                  <c:y val="0.356244761106454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0.0745199197477787"/>
                  <c:y val="0.343671416596815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206362854686157"/>
                  <c:y val="0.259849119865884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-0.213528231584981"/>
                  <c:y val="0.140402182019787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47655285565659"/>
                      <c:h val="0.152549979869448"/>
                    </c:manualLayout>
                  </c15:layout>
                </c:ext>
              </c:extLst>
            </c:dLbl>
            <c:dLbl>
              <c:idx val="5"/>
              <c:layout>
                <c:manualLayout>
                  <c:x val="-0.29091430209229"/>
                  <c:y val="0.0020953924137521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07529174932239"/>
                      <c:h val="0.148745635630416"/>
                    </c:manualLayout>
                  </c15:layout>
                </c:ext>
              </c:extLst>
            </c:dLbl>
            <c:dLbl>
              <c:idx val="6"/>
              <c:layout>
                <c:manualLayout>
                  <c:x val="0.338205789624534"/>
                  <c:y val="0.20117351215423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7"/>
              <c:layout>
                <c:manualLayout>
                  <c:x val="0.283748925193465"/>
                  <c:y val="-0.0167644593461861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日本!$R$7:$R$14</c:f>
              <c:strCache>
                <c:ptCount val="8"/>
                <c:pt idx="0">
                  <c:v>iShares ETFs/Japan</c:v>
                </c:pt>
                <c:pt idx="1">
                  <c:v>Nomura Asset Management Co Ltd</c:v>
                </c:pt>
                <c:pt idx="2">
                  <c:v>Amova Asset Management Co Ltd</c:v>
                </c:pt>
                <c:pt idx="3">
                  <c:v>Global X Japan Co Ltd</c:v>
                </c:pt>
                <c:pt idx="4">
                  <c:v>Daiwa Asset Management Co Ltd</c:v>
                </c:pt>
                <c:pt idx="5">
                  <c:v>Mitsubishi UFJ Asset Management Co Ltd</c:v>
                </c:pt>
                <c:pt idx="6">
                  <c:v>Norinchukin Zenkyoren Asset Management Co Ltd/Japan</c:v>
                </c:pt>
                <c:pt idx="7">
                  <c:v>BlackRock Japan Co Ltd</c:v>
                </c:pt>
              </c:strCache>
            </c:strRef>
          </c:cat>
          <c:val>
            <c:numRef>
              <c:f>日本!$T$7:$T$14</c:f>
              <c:numCache>
                <c:formatCode>0.00%</c:formatCode>
                <c:ptCount val="8"/>
                <c:pt idx="0">
                  <c:v>0.426580706356283</c:v>
                </c:pt>
                <c:pt idx="1">
                  <c:v>0.355398832821803</c:v>
                </c:pt>
                <c:pt idx="2">
                  <c:v>0.122100627860986</c:v>
                </c:pt>
                <c:pt idx="3">
                  <c:v>0.0400965870655117</c:v>
                </c:pt>
                <c:pt idx="4">
                  <c:v>0.0338061488357789</c:v>
                </c:pt>
                <c:pt idx="5">
                  <c:v>0.0174131586640254</c:v>
                </c:pt>
                <c:pt idx="6">
                  <c:v>0.0030349336738401</c:v>
                </c:pt>
                <c:pt idx="7">
                  <c:v>0.00156900472177146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be70a93-7eb5-40ad-a26d-e204b24b2fb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新加坡公司持有占比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1"/>
              <c:layout>
                <c:manualLayout>
                  <c:x val="-0.0750938673341677"/>
                  <c:y val="0.138632162661738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0.136281462939786"/>
                  <c:y val="0.29574861367837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228062856348213"/>
                  <c:y val="0.0739371534195934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264219162842442"/>
                  <c:y val="0.078558225508317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新加坡!$R$3:$R$7</c:f>
              <c:strCache>
                <c:ptCount val="5"/>
                <c:pt idx="0">
                  <c:v>State Street ETFs/Singapore</c:v>
                </c:pt>
                <c:pt idx="1">
                  <c:v>Amova Asset Management Asia Ltd</c:v>
                </c:pt>
                <c:pt idx="2">
                  <c:v>iShares ETFs/Singapore</c:v>
                </c:pt>
                <c:pt idx="3">
                  <c:v>CSOP Asset Management Pvt Ltd/Singapore</c:v>
                </c:pt>
                <c:pt idx="4">
                  <c:v>Lion Global Investors Ltd</c:v>
                </c:pt>
              </c:strCache>
            </c:strRef>
          </c:cat>
          <c:val>
            <c:numRef>
              <c:f>新加坡!$S$3:$S$7</c:f>
              <c:numCache>
                <c:formatCode>0.00%</c:formatCode>
                <c:ptCount val="5"/>
                <c:pt idx="0">
                  <c:v>0.575859361061797</c:v>
                </c:pt>
                <c:pt idx="1">
                  <c:v>0.248924427701946</c:v>
                </c:pt>
                <c:pt idx="2">
                  <c:v>0.123653377633361</c:v>
                </c:pt>
                <c:pt idx="3">
                  <c:v>0.0297695891620919</c:v>
                </c:pt>
                <c:pt idx="4">
                  <c:v>0.0217932444408048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da7ecbb3-c255-4a9e-983f-00d9df64c65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香港公司持有占比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0.086206896551724"/>
                  <c:y val="0.38372630605640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0.0917686318131257"/>
                  <c:y val="0.208044382801664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0801738370718121"/>
                  <c:y val="0.26121146264483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5163633258301"/>
                      <c:h val="0.131291840947066"/>
                    </c:manualLayout>
                  </c15:layout>
                </c:ext>
              </c:extLst>
            </c:dLbl>
            <c:dLbl>
              <c:idx val="4"/>
              <c:layout>
                <c:manualLayout>
                  <c:x val="-0.143214792464068"/>
                  <c:y val="0.15487748497457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73952247904496"/>
                      <c:h val="0.196869687405579"/>
                    </c:manualLayout>
                  </c15:layout>
                </c:ext>
              </c:extLst>
            </c:dLbl>
            <c:dLbl>
              <c:idx val="5"/>
              <c:layout>
                <c:manualLayout>
                  <c:x val="-0.219688542825362"/>
                  <c:y val="-0.041608694544249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8479215751535"/>
                      <c:h val="0.177523926014103"/>
                    </c:manualLayout>
                  </c15:layout>
                </c:ext>
              </c:extLst>
            </c:dLbl>
            <c:dLbl>
              <c:idx val="6"/>
              <c:layout>
                <c:manualLayout>
                  <c:x val="0.305895439377086"/>
                  <c:y val="0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7"/>
              <c:layout>
                <c:manualLayout>
                  <c:x val="0.361512682508124"/>
                  <c:y val="0.270457697642164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66466896726897"/>
                      <c:h val="0.196443405739331"/>
                    </c:manualLayout>
                  </c15:layout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香港!$S$5:$S$12</c:f>
              <c:strCache>
                <c:ptCount val="8"/>
                <c:pt idx="0">
                  <c:v>CSOP Asset Management Ltd/Hong Kong</c:v>
                </c:pt>
                <c:pt idx="1">
                  <c:v>iShares ETFs/Hong Kong</c:v>
                </c:pt>
                <c:pt idx="2">
                  <c:v>HSBC Investment Funds Ltd/Hong Kong</c:v>
                </c:pt>
                <c:pt idx="3">
                  <c:v>Premia Partners Co Ltd/Hong Kong</c:v>
                </c:pt>
                <c:pt idx="4">
                  <c:v>Mirae Asset Global Investments Hong Kong Ltd/HK</c:v>
                </c:pt>
                <c:pt idx="5">
                  <c:v>Hang Seng Investment Management Ltd</c:v>
                </c:pt>
                <c:pt idx="6">
                  <c:v>China Asset Management Hong Kong Ltd</c:v>
                </c:pt>
                <c:pt idx="7">
                  <c:v>Bosera Asset Management International Co Ltd/Hong Kong</c:v>
                </c:pt>
              </c:strCache>
            </c:strRef>
          </c:cat>
          <c:val>
            <c:numRef>
              <c:f>香港!$T$5:$T$12</c:f>
              <c:numCache>
                <c:formatCode>0.00%</c:formatCode>
                <c:ptCount val="8"/>
                <c:pt idx="0">
                  <c:v>0.38757987747442</c:v>
                </c:pt>
                <c:pt idx="1">
                  <c:v>0.243528586982653</c:v>
                </c:pt>
                <c:pt idx="2">
                  <c:v>0.159681051529938</c:v>
                </c:pt>
                <c:pt idx="3">
                  <c:v>0.128293408791765</c:v>
                </c:pt>
                <c:pt idx="4">
                  <c:v>0.0452808169779551</c:v>
                </c:pt>
                <c:pt idx="5">
                  <c:v>0.0218236992513819</c:v>
                </c:pt>
                <c:pt idx="6">
                  <c:v>0.0133250286831931</c:v>
                </c:pt>
                <c:pt idx="7">
                  <c:v>0.000487530308694019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0fc718-e2e2-49a7-91aa-3a44b331c23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美国基金策略占比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美国!$AF$3:$AF$12</c:f>
              <c:strCache>
                <c:ptCount val="10"/>
                <c:pt idx="0">
                  <c:v>地方债</c:v>
                </c:pt>
                <c:pt idx="1">
                  <c:v>抵押担保</c:v>
                </c:pt>
                <c:pt idx="2">
                  <c:v>公司债</c:v>
                </c:pt>
                <c:pt idx="3">
                  <c:v>合并</c:v>
                </c:pt>
                <c:pt idx="4">
                  <c:v>可转换债券</c:v>
                </c:pt>
                <c:pt idx="5">
                  <c:v>通胀保本</c:v>
                </c:pt>
                <c:pt idx="6">
                  <c:v>银行贷款</c:v>
                </c:pt>
                <c:pt idx="7">
                  <c:v>优先</c:v>
                </c:pt>
                <c:pt idx="8">
                  <c:v>政府</c:v>
                </c:pt>
                <c:pt idx="9">
                  <c:v>资产支持</c:v>
                </c:pt>
              </c:strCache>
            </c:strRef>
          </c:cat>
          <c:val>
            <c:numRef>
              <c:f>美国!$AH$3:$AH$12</c:f>
              <c:numCache>
                <c:formatCode>0.00%</c:formatCode>
                <c:ptCount val="10"/>
                <c:pt idx="0">
                  <c:v>0.169312169312169</c:v>
                </c:pt>
                <c:pt idx="1">
                  <c:v>0.0296296296296296</c:v>
                </c:pt>
                <c:pt idx="2">
                  <c:v>0.224338624338624</c:v>
                </c:pt>
                <c:pt idx="3">
                  <c:v>0.285714285714286</c:v>
                </c:pt>
                <c:pt idx="4">
                  <c:v>0.00846560846560847</c:v>
                </c:pt>
                <c:pt idx="5">
                  <c:v>0.0412698412698413</c:v>
                </c:pt>
                <c:pt idx="6">
                  <c:v>0.0158730158730159</c:v>
                </c:pt>
                <c:pt idx="7">
                  <c:v>0.0243386243386243</c:v>
                </c:pt>
                <c:pt idx="8">
                  <c:v>0.167195767195767</c:v>
                </c:pt>
                <c:pt idx="9">
                  <c:v>0.0338624338624339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57f4790-363a-4c14-85bd-5b66ebb5216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日本基金策略占比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日本!$AG$3:$AG$7</c:f>
              <c:strCache>
                <c:ptCount val="5"/>
                <c:pt idx="0">
                  <c:v>抵押担保</c:v>
                </c:pt>
                <c:pt idx="1">
                  <c:v>公司债</c:v>
                </c:pt>
                <c:pt idx="2">
                  <c:v>合并</c:v>
                </c:pt>
                <c:pt idx="3">
                  <c:v>优先</c:v>
                </c:pt>
                <c:pt idx="4">
                  <c:v>政府</c:v>
                </c:pt>
              </c:strCache>
            </c:strRef>
          </c:cat>
          <c:val>
            <c:numRef>
              <c:f>日本!$AI$3:$AI$7</c:f>
              <c:numCache>
                <c:formatCode>0.00%</c:formatCode>
                <c:ptCount val="5"/>
                <c:pt idx="0">
                  <c:v>0.015625</c:v>
                </c:pt>
                <c:pt idx="1">
                  <c:v>0.125</c:v>
                </c:pt>
                <c:pt idx="2">
                  <c:v>0.015625</c:v>
                </c:pt>
                <c:pt idx="3">
                  <c:v>0.03125</c:v>
                </c:pt>
                <c:pt idx="4">
                  <c:v>0.8125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a2817d50-4658-4a39-acfa-013fca08045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新加坡基金策略占比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>
        <c:manualLayout>
          <c:xMode val="edge"/>
          <c:yMode val="edge"/>
          <c:x val="0.413888888888889"/>
          <c:y val="0.0324074074074074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新加坡!$N$30:$N$32</c:f>
              <c:strCache>
                <c:ptCount val="3"/>
                <c:pt idx="0">
                  <c:v>公司债</c:v>
                </c:pt>
                <c:pt idx="1">
                  <c:v>合并</c:v>
                </c:pt>
                <c:pt idx="2">
                  <c:v>政府</c:v>
                </c:pt>
              </c:strCache>
            </c:strRef>
          </c:cat>
          <c:val>
            <c:numRef>
              <c:f>新加坡!$P$30:$P$32</c:f>
              <c:numCache>
                <c:formatCode>0.00%</c:formatCode>
                <c:ptCount val="3"/>
                <c:pt idx="0">
                  <c:v>0.125</c:v>
                </c:pt>
                <c:pt idx="1">
                  <c:v>0.375</c:v>
                </c:pt>
                <c:pt idx="2">
                  <c:v>0.5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160e8c6c-fb31-4fc4-bea6-9c3f550aca58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香港基金策略占比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香港!$M$41:$M$44</c:f>
              <c:strCache>
                <c:ptCount val="4"/>
                <c:pt idx="0">
                  <c:v>公司债</c:v>
                </c:pt>
                <c:pt idx="1">
                  <c:v>合并</c:v>
                </c:pt>
                <c:pt idx="2">
                  <c:v>银行贷款</c:v>
                </c:pt>
                <c:pt idx="3">
                  <c:v>政府</c:v>
                </c:pt>
              </c:strCache>
            </c:strRef>
          </c:cat>
          <c:val>
            <c:numRef>
              <c:f>香港!$O$41:$O$44</c:f>
              <c:numCache>
                <c:formatCode>0.00%</c:formatCode>
                <c:ptCount val="4"/>
                <c:pt idx="0">
                  <c:v>0.0526315789473684</c:v>
                </c:pt>
                <c:pt idx="1">
                  <c:v>0.210526315789474</c:v>
                </c:pt>
                <c:pt idx="2">
                  <c:v>0.0526315789473684</c:v>
                </c:pt>
                <c:pt idx="3">
                  <c:v>0.684210526315789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b714f70-abdd-43a0-b810-61f35a45248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美国到期期限占比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美国!$AF$40:$AF$43</c:f>
              <c:strCache>
                <c:ptCount val="4"/>
                <c:pt idx="0">
                  <c:v>超短期</c:v>
                </c:pt>
                <c:pt idx="1">
                  <c:v>短期</c:v>
                </c:pt>
                <c:pt idx="2">
                  <c:v>长期</c:v>
                </c:pt>
                <c:pt idx="3">
                  <c:v>中期</c:v>
                </c:pt>
              </c:strCache>
            </c:strRef>
          </c:cat>
          <c:val>
            <c:numRef>
              <c:f>美国!$AH$40:$AH$43</c:f>
              <c:numCache>
                <c:formatCode>0.00%</c:formatCode>
                <c:ptCount val="4"/>
                <c:pt idx="0">
                  <c:v>0.14713216957606</c:v>
                </c:pt>
                <c:pt idx="1">
                  <c:v>0.264339152119701</c:v>
                </c:pt>
                <c:pt idx="2">
                  <c:v>0.256857855361596</c:v>
                </c:pt>
                <c:pt idx="3">
                  <c:v>0.331670822942643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c5010ed-69d1-4cd7-9926-49041b31cef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日本到期期限占比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日本!$AG$27:$AG$30</c:f>
              <c:strCache>
                <c:ptCount val="4"/>
                <c:pt idx="0">
                  <c:v>超短期</c:v>
                </c:pt>
                <c:pt idx="1">
                  <c:v>短期</c:v>
                </c:pt>
                <c:pt idx="2">
                  <c:v>长期</c:v>
                </c:pt>
                <c:pt idx="3">
                  <c:v>中期</c:v>
                </c:pt>
              </c:strCache>
            </c:strRef>
          </c:cat>
          <c:val>
            <c:numRef>
              <c:f>日本!$AI$27:$AI$30</c:f>
              <c:numCache>
                <c:formatCode>0.00%</c:formatCode>
                <c:ptCount val="4"/>
                <c:pt idx="0">
                  <c:v>0.027027027027027</c:v>
                </c:pt>
                <c:pt idx="1">
                  <c:v>0.0810810810810811</c:v>
                </c:pt>
                <c:pt idx="2">
                  <c:v>0.243243243243243</c:v>
                </c:pt>
                <c:pt idx="3">
                  <c:v>0.648648648648649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ef87bc-e2fc-4b37-ae73-ba4b0c2df76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l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新加坡到期期限占比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>
        <c:manualLayout>
          <c:xMode val="edge"/>
          <c:yMode val="edge"/>
          <c:x val="0.18958742632613"/>
          <c:y val="0.036829655552315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新加坡!$N$45:$N$46</c:f>
              <c:strCache>
                <c:ptCount val="2"/>
                <c:pt idx="0">
                  <c:v>短期</c:v>
                </c:pt>
                <c:pt idx="1">
                  <c:v>中期</c:v>
                </c:pt>
              </c:strCache>
            </c:strRef>
          </c:cat>
          <c:val>
            <c:numRef>
              <c:f>新加坡!$P$45:$P$46</c:f>
              <c:numCache>
                <c:formatCode>0.00%</c:formatCode>
                <c:ptCount val="2"/>
                <c:pt idx="0">
                  <c:v>0.333</c:v>
                </c:pt>
                <c:pt idx="1">
                  <c:v>0.667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08e9ee0-546a-4d70-a932-13318c22cee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香港资产类别占比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香港!$M$52:$M$55</c:f>
              <c:strCache>
                <c:ptCount val="4"/>
                <c:pt idx="0">
                  <c:v>超短期</c:v>
                </c:pt>
                <c:pt idx="1">
                  <c:v>短期</c:v>
                </c:pt>
                <c:pt idx="2">
                  <c:v>长期</c:v>
                </c:pt>
                <c:pt idx="3">
                  <c:v>中期</c:v>
                </c:pt>
              </c:strCache>
            </c:strRef>
          </c:cat>
          <c:val>
            <c:numRef>
              <c:f>香港!$O$52:$O$55</c:f>
              <c:numCache>
                <c:formatCode>0.00%</c:formatCode>
                <c:ptCount val="4"/>
                <c:pt idx="0">
                  <c:v>0.1</c:v>
                </c:pt>
                <c:pt idx="1">
                  <c:v>0.2</c:v>
                </c:pt>
                <c:pt idx="2">
                  <c:v>0.4</c:v>
                </c:pt>
                <c:pt idx="3">
                  <c:v>0.3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1409c2f5-ec43-4070-b2f8-169f1f497f8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美国资产类别占比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美国!$AF$25:$AF$27</c:f>
              <c:strCache>
                <c:ptCount val="3"/>
                <c:pt idx="0">
                  <c:v>成长与收入型</c:v>
                </c:pt>
                <c:pt idx="1">
                  <c:v>反向操作型</c:v>
                </c:pt>
                <c:pt idx="2">
                  <c:v>增长</c:v>
                </c:pt>
              </c:strCache>
            </c:strRef>
          </c:cat>
          <c:val>
            <c:numRef>
              <c:f>美国!$AH$25:$AH$27</c:f>
              <c:numCache>
                <c:formatCode>0.00%</c:formatCode>
                <c:ptCount val="3"/>
                <c:pt idx="0">
                  <c:v>0.0107642626480086</c:v>
                </c:pt>
                <c:pt idx="1">
                  <c:v>0.946178686759957</c:v>
                </c:pt>
                <c:pt idx="2">
                  <c:v>0.0430570505920344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d57c650-624f-48d5-be2c-70e11a4c4098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日本资产类别占比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日本!$AG$15:$AG$17</c:f>
              <c:strCache>
                <c:ptCount val="3"/>
                <c:pt idx="0">
                  <c:v>成长与收入型</c:v>
                </c:pt>
                <c:pt idx="1">
                  <c:v>反向操作型</c:v>
                </c:pt>
                <c:pt idx="2">
                  <c:v>增长</c:v>
                </c:pt>
              </c:strCache>
            </c:strRef>
          </c:cat>
          <c:val>
            <c:numRef>
              <c:f>日本!$AI$15:$AI$17</c:f>
              <c:numCache>
                <c:formatCode>0.00%</c:formatCode>
                <c:ptCount val="3"/>
                <c:pt idx="0">
                  <c:v>0.0833333333333333</c:v>
                </c:pt>
                <c:pt idx="1">
                  <c:v>0.8</c:v>
                </c:pt>
                <c:pt idx="2">
                  <c:v>0.116666666666667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cf1b0d6-a408-4aa9-b43f-2df6ea2b604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新加坡资产类别占比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新加坡!$N$39</c:f>
              <c:strCache>
                <c:ptCount val="1"/>
                <c:pt idx="0">
                  <c:v>反向操作型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/>
              <c:tx>
                <c:rich>
                  <a:bodyPr rot="0" spcFirstLastPara="1" vertOverflow="clip" vert="horz" wrap="square" lIns="38100" tIns="19050" rIns="38100" bIns="19050" anchor="ctr" anchorCtr="1"/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zh-CN" altLang="en-US" baseline="0"/>
                      <a:t>
反向操作型</a:t>
                    </a:r>
                    <a:r>
                      <a:rPr lang="en-US" altLang="zh-CN" baseline="0"/>
                      <a:t>100%</a:t>
                    </a:r>
                    <a:endParaRPr lang="zh-CN" alt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新加坡!$P$38</c:f>
              <c:strCache>
                <c:ptCount val="1"/>
                <c:pt idx="0">
                  <c:v>占比</c:v>
                </c:pt>
              </c:strCache>
            </c:strRef>
          </c:cat>
          <c:val>
            <c:numRef>
              <c:f>新加坡!$P$39</c:f>
              <c:numCache>
                <c:formatCode>0%</c:formatCode>
                <c:ptCount val="1"/>
                <c:pt idx="0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5b2bdf9-6b9d-4778-9ca5-4e707fa4987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香港资产类别占比</a:t>
            </a:r>
            <a:endParaRPr lang="zh-CN" alt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香港!$M$63</c:f>
              <c:strCache>
                <c:ptCount val="1"/>
                <c:pt idx="0">
                  <c:v>反向操作型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/>
              <c:tx>
                <c:rich>
                  <a:bodyPr rot="0" spcFirstLastPara="1" vertOverflow="clip" vert="horz" wrap="square" lIns="38100" tIns="19050" rIns="38100" bIns="19050" anchor="ctr" anchorCtr="1"/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zh-CN" altLang="en-US"/>
                      <a:t>反向操作型</a:t>
                    </a:r>
                    <a:r>
                      <a:rPr lang="en-US" altLang="zh-CN"/>
                      <a:t>100%</a:t>
                    </a:r>
                    <a:endParaRPr lang="en-US" altLang="zh-CN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香港!$O$63</c:f>
              <c:numCache>
                <c:formatCode>0.00%</c:formatCode>
                <c:ptCount val="1"/>
                <c:pt idx="0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aa5fab29-279c-4069-9e28-eb15d874827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63329-9D57-4EB0-A61B-D4EE832B1B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10010</Words>
  <Characters>12008</Characters>
  <Lines>88</Lines>
  <Paragraphs>24</Paragraphs>
  <TotalTime>223</TotalTime>
  <ScaleCrop>false</ScaleCrop>
  <LinksUpToDate>false</LinksUpToDate>
  <CharactersWithSpaces>12268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2026-01-04T17:31:00Z</dcterms:created>
  <dc:creator>LIOH</dc:creator>
  <cp:lastModifiedBy>LIOH</cp:lastModifiedBy>
  <dcterms:modified xsi:type="dcterms:W3CDTF">2026-03-11T12:22:39Z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2BE977DF030D48C9B5B486BB47F3AE60_13</vt:lpwstr>
  </property>
  <property fmtid="{D5CDD505-2E9C-101B-9397-08002B2CF9AE}" pid="4" name="KSOTemplateDocerSaveRecord">
    <vt:lpwstr>eyJoZGlkIjoiNWRmM2Q4MTdmZDlhOGM4NmJmZmIyODM5OTBkYjhkNzUiLCJ1c2VySWQiOiIxNjA3MzAyMjU1In0=</vt:lpwstr>
  </property>
</Properties>
</file>