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41B7">
      <w:pPr>
        <w:keepNext/>
        <w:spacing w:after="280"/>
        <w:ind w:firstLine="0"/>
        <w:jc w:val="right"/>
      </w:pPr>
      <w:r>
        <w:rPr>
          <w:rFonts w:ascii="华文仿宋" w:hAnsi="华文仿宋" w:eastAsia="华文仿宋" w:cs="华文仿宋"/>
          <w:color w:val="000000"/>
        </w:rPr>
        <w:drawing>
          <wp:inline distT="0" distB="0" distL="114300" distR="114300">
            <wp:extent cx="863600" cy="86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F83B">
      <w:pPr>
        <w:pStyle w:val="32"/>
        <w:spacing w:before="480" w:after="360"/>
        <w:ind w:firstLine="0"/>
      </w:pPr>
      <w:r>
        <w:rPr>
          <w:rFonts w:ascii="黑体" w:hAnsi="黑体" w:eastAsia="黑体" w:cs="黑体"/>
          <w:b w:val="0"/>
          <w:color w:val="000000"/>
          <w:sz w:val="68"/>
        </w:rPr>
        <w:t>N</w:t>
      </w:r>
      <w:r>
        <w:rPr>
          <w:rFonts w:hint="eastAsia" w:ascii="黑体" w:hAnsi="黑体" w:eastAsia="黑体" w:cs="黑体"/>
          <w:b w:val="0"/>
          <w:color w:val="000000"/>
          <w:sz w:val="68"/>
          <w:lang w:val="en-US" w:eastAsia="zh-CN"/>
        </w:rPr>
        <w:t>exus</w:t>
      </w:r>
      <w:r>
        <w:rPr>
          <w:rFonts w:ascii="黑体" w:hAnsi="黑体" w:eastAsia="黑体" w:cs="黑体"/>
          <w:b w:val="0"/>
          <w:color w:val="000000"/>
          <w:sz w:val="68"/>
        </w:rPr>
        <w:t>ERP</w:t>
      </w:r>
    </w:p>
    <w:p w14:paraId="238E0728">
      <w:pPr>
        <w:pStyle w:val="32"/>
        <w:spacing w:after="320" w:line="324" w:lineRule="auto"/>
        <w:ind w:firstLine="0"/>
      </w:pPr>
      <w:r>
        <w:rPr>
          <w:rFonts w:hint="eastAsia" w:ascii="黑体" w:hAnsi="黑体" w:eastAsia="黑体" w:cs="黑体"/>
          <w:b w:val="0"/>
          <w:color w:val="000000"/>
          <w:sz w:val="50"/>
        </w:rPr>
        <w:t>制造业系统与AI落地</w:t>
      </w:r>
      <w:r>
        <w:rPr>
          <w:rFonts w:ascii="黑体" w:hAnsi="黑体" w:eastAsia="黑体" w:cs="黑体"/>
          <w:b w:val="0"/>
          <w:color w:val="000000"/>
          <w:sz w:val="50"/>
        </w:rPr>
        <w:br w:type="textWrapping"/>
      </w:r>
      <w:r>
        <w:rPr>
          <w:rFonts w:ascii="黑体" w:hAnsi="黑体" w:eastAsia="黑体" w:cs="黑体"/>
          <w:b w:val="0"/>
          <w:color w:val="000000"/>
          <w:sz w:val="50"/>
        </w:rPr>
        <w:t>作品介绍</w:t>
      </w:r>
    </w:p>
    <w:p w14:paraId="2F304D8F">
      <w:pPr>
        <w:ind w:firstLine="0"/>
      </w:pPr>
      <w:r>
        <w:rPr>
          <w:rFonts w:ascii="华文仿宋" w:hAnsi="华文仿宋" w:eastAsia="华文仿宋" w:cs="华文仿宋"/>
          <w:color w:val="000000"/>
          <w:sz w:val="28"/>
        </w:rPr>
        <w:t>2026 上海开源软件应用创新大赛</w:t>
      </w:r>
    </w:p>
    <w:p w14:paraId="41F62637">
      <w:pPr>
        <w:pStyle w:val="27"/>
        <w:pBdr>
          <w:bottom w:val="single" w:color="555555" w:sz="8" w:space="7"/>
        </w:pBdr>
        <w:spacing w:after="520"/>
        <w:ind w:firstLine="0"/>
      </w:pPr>
      <w:r>
        <w:rPr>
          <w:rFonts w:ascii="黑体" w:hAnsi="黑体" w:eastAsia="黑体" w:cs="黑体"/>
          <w:b w:val="0"/>
          <w:color w:val="000000"/>
          <w:sz w:val="32"/>
        </w:rPr>
        <w:t>AI+ 工业软件赛道</w:t>
      </w:r>
    </w:p>
    <w:p w14:paraId="3AA215F9">
      <w:pPr>
        <w:spacing w:after="640" w:line="384" w:lineRule="auto"/>
        <w:ind w:firstLine="0"/>
        <w:rPr>
          <w:rFonts w:ascii="华文仿宋" w:hAnsi="华文仿宋" w:eastAsia="华文仿宋" w:cs="华文仿宋"/>
          <w:color w:val="000000"/>
          <w:sz w:val="26"/>
        </w:rPr>
      </w:pPr>
      <w:r>
        <w:rPr>
          <w:rFonts w:ascii="华文仿宋" w:hAnsi="华文仿宋" w:eastAsia="华文仿宋" w:cs="华文仿宋"/>
          <w:color w:val="000000"/>
          <w:sz w:val="26"/>
        </w:rPr>
        <w:t>ERP、MES、IoT 与 AI 协同</w:t>
      </w:r>
      <w:r>
        <w:rPr>
          <w:rFonts w:ascii="华文仿宋" w:hAnsi="华文仿宋" w:eastAsia="华文仿宋" w:cs="华文仿宋"/>
          <w:color w:val="000000"/>
          <w:sz w:val="26"/>
        </w:rPr>
        <w:br w:type="textWrapping"/>
      </w:r>
      <w:r>
        <w:rPr>
          <w:rFonts w:ascii="华文仿宋" w:hAnsi="华文仿宋" w:eastAsia="华文仿宋" w:cs="华文仿宋"/>
          <w:color w:val="000000"/>
          <w:sz w:val="26"/>
        </w:rPr>
        <w:t>移动业务、手持作业、工位执行与视觉识别</w:t>
      </w:r>
    </w:p>
    <w:p w14:paraId="0C3EED1B">
      <w:pPr>
        <w:spacing w:after="640" w:line="384" w:lineRule="auto"/>
        <w:ind w:firstLine="0"/>
        <w:rPr>
          <w:rFonts w:ascii="华文仿宋" w:hAnsi="华文仿宋" w:eastAsia="华文仿宋" w:cs="华文仿宋"/>
          <w:color w:val="000000"/>
          <w:sz w:val="26"/>
        </w:rPr>
      </w:pPr>
    </w:p>
    <w:p w14:paraId="130210E0">
      <w:pPr>
        <w:spacing w:after="640" w:line="384" w:lineRule="auto"/>
        <w:ind w:firstLine="0"/>
        <w:rPr>
          <w:rFonts w:ascii="华文仿宋" w:hAnsi="华文仿宋" w:eastAsia="华文仿宋" w:cs="华文仿宋"/>
          <w:color w:val="000000"/>
          <w:sz w:val="26"/>
        </w:rPr>
      </w:pPr>
    </w:p>
    <w:p w14:paraId="17C1C593">
      <w:pPr>
        <w:spacing w:after="180"/>
        <w:ind w:firstLine="0"/>
      </w:pPr>
      <w:r>
        <w:rPr>
          <w:rFonts w:ascii="华文仿宋" w:hAnsi="华文仿宋" w:eastAsia="华文仿宋" w:cs="华文仿宋"/>
          <w:color w:val="000000"/>
          <w:sz w:val="22"/>
        </w:rPr>
        <w:t>项目负责人：王欢</w:t>
      </w:r>
    </w:p>
    <w:p w14:paraId="5E96D522">
      <w:pPr>
        <w:spacing w:after="180"/>
        <w:ind w:firstLine="0"/>
      </w:pPr>
      <w:r>
        <w:rPr>
          <w:rFonts w:hint="eastAsia" w:ascii="华文仿宋" w:hAnsi="华文仿宋" w:eastAsia="华文仿宋" w:cs="华文仿宋"/>
          <w:color w:val="000000"/>
          <w:sz w:val="22"/>
          <w:lang w:val="en-US" w:eastAsia="zh-CN"/>
        </w:rPr>
        <w:t>报名名称</w:t>
      </w:r>
      <w:r>
        <w:rPr>
          <w:rFonts w:ascii="华文仿宋" w:hAnsi="华文仿宋" w:eastAsia="华文仿宋" w:cs="华文仿宋"/>
          <w:color w:val="000000"/>
          <w:sz w:val="22"/>
        </w:rPr>
        <w:t>：</w:t>
      </w:r>
      <w:r>
        <w:rPr>
          <w:rFonts w:hint="eastAsia" w:ascii="华文仿宋" w:hAnsi="华文仿宋" w:eastAsia="华文仿宋" w:cs="华文仿宋"/>
          <w:color w:val="000000"/>
          <w:sz w:val="22"/>
        </w:rPr>
        <w:t>制造业系统与AI落地（NexusERP）</w:t>
      </w:r>
    </w:p>
    <w:p w14:paraId="050B8594">
      <w:pPr>
        <w:ind w:left="0" w:leftChars="0" w:firstLine="0" w:firstLineChars="0"/>
        <w:rPr>
          <w:rFonts w:hint="eastAsia" w:ascii="华文仿宋" w:hAnsi="华文仿宋" w:eastAsia="华文仿宋" w:cs="华文仿宋"/>
          <w:color w:val="0563C1"/>
          <w:sz w:val="24"/>
          <w:szCs w:val="24"/>
          <w:u w:val="single"/>
        </w:rPr>
      </w:pPr>
      <w:r>
        <w:rPr>
          <w:rFonts w:hint="eastAsia" w:ascii="华文仿宋" w:hAnsi="华文仿宋" w:eastAsia="华文仿宋" w:cs="华文仿宋"/>
          <w:color w:val="000000"/>
          <w:lang w:val="en-US" w:eastAsia="zh-CN"/>
        </w:rPr>
        <w:t>主项目地址：</w:t>
      </w:r>
      <w:r>
        <w:fldChar w:fldCharType="begin"/>
      </w:r>
      <w:r>
        <w:instrText xml:space="preserve"> HYPERLINK "https://gitee.com/NexusERP/nexus-erp" </w:instrText>
      </w:r>
      <w:r>
        <w:fldChar w:fldCharType="separate"/>
      </w:r>
      <w:r>
        <w:rPr>
          <w:rFonts w:hint="eastAsia" w:ascii="华文仿宋" w:hAnsi="华文仿宋" w:eastAsia="华文仿宋" w:cs="华文仿宋"/>
          <w:color w:val="0563C1"/>
          <w:sz w:val="24"/>
          <w:szCs w:val="24"/>
          <w:u w:val="single"/>
        </w:rPr>
        <w:t>https://gitee.com/NexusERP/nexus-erp</w:t>
      </w:r>
      <w:r>
        <w:rPr>
          <w:rFonts w:hint="eastAsia" w:ascii="华文仿宋" w:hAnsi="华文仿宋" w:eastAsia="华文仿宋" w:cs="华文仿宋"/>
          <w:color w:val="0563C1"/>
          <w:sz w:val="24"/>
          <w:szCs w:val="24"/>
          <w:u w:val="single"/>
        </w:rPr>
        <w:fldChar w:fldCharType="end"/>
      </w:r>
    </w:p>
    <w:p w14:paraId="1243A09E">
      <w:pPr>
        <w:ind w:left="0" w:leftChars="0" w:firstLine="0" w:firstLineChars="0"/>
      </w:pPr>
      <w:r>
        <w:rPr>
          <w:rFonts w:hint="eastAsia" w:ascii="华文仿宋" w:hAnsi="华文仿宋" w:eastAsia="华文仿宋" w:cs="华文仿宋"/>
          <w:color w:val="000000"/>
          <w:lang w:val="en-US" w:eastAsia="zh-CN"/>
        </w:rPr>
        <w:t>项目</w:t>
      </w:r>
      <w:r>
        <w:rPr>
          <w:rFonts w:hint="eastAsia" w:cs="华文仿宋"/>
          <w:color w:val="000000"/>
          <w:lang w:val="en-US" w:eastAsia="zh-CN"/>
        </w:rPr>
        <w:t>部分功能演示网站</w:t>
      </w:r>
      <w:r>
        <w:rPr>
          <w:rFonts w:hint="eastAsia" w:ascii="华文仿宋" w:hAnsi="华文仿宋" w:eastAsia="华文仿宋" w:cs="华文仿宋"/>
          <w:color w:val="000000"/>
          <w:lang w:val="en-US" w:eastAsia="zh-CN"/>
        </w:rPr>
        <w:t>：</w:t>
      </w:r>
      <w:r>
        <w:fldChar w:fldCharType="begin"/>
      </w:r>
      <w:r>
        <w:instrText xml:space="preserve"> HYPERLINK "https://gitee.com/NexusERP/nexus-erp" </w:instrText>
      </w:r>
      <w:r>
        <w:fldChar w:fldCharType="separate"/>
      </w:r>
      <w:r>
        <w:rPr>
          <w:rFonts w:hint="eastAsia" w:ascii="华文仿宋" w:hAnsi="华文仿宋" w:eastAsia="华文仿宋" w:cs="华文仿宋"/>
          <w:color w:val="0563C1"/>
          <w:sz w:val="24"/>
          <w:szCs w:val="24"/>
          <w:u w:val="single"/>
        </w:rPr>
        <w:t>http://nexuserp.website</w:t>
      </w:r>
      <w:r>
        <w:rPr>
          <w:rFonts w:hint="eastAsia" w:ascii="华文仿宋" w:hAnsi="华文仿宋" w:eastAsia="华文仿宋" w:cs="华文仿宋"/>
          <w:color w:val="0563C1"/>
          <w:sz w:val="24"/>
          <w:szCs w:val="24"/>
          <w:u w:val="single"/>
        </w:rPr>
        <w:fldChar w:fldCharType="end"/>
      </w:r>
      <w:r>
        <w:rPr>
          <w:rFonts w:ascii="华文仿宋" w:hAnsi="华文仿宋" w:eastAsia="华文仿宋" w:cs="华文仿宋"/>
          <w:color w:val="000000"/>
        </w:rPr>
        <w:br w:type="page"/>
      </w:r>
    </w:p>
    <w:p w14:paraId="2B052CC1">
      <w:pPr>
        <w:pStyle w:val="32"/>
        <w:pBdr>
          <w:bottom w:val="single" w:color="777777" w:sz="4" w:space="7"/>
        </w:pBdr>
        <w:ind w:firstLine="0"/>
        <w:jc w:val="center"/>
      </w:pPr>
      <w:r>
        <w:rPr>
          <w:rFonts w:ascii="黑体" w:hAnsi="黑体" w:eastAsia="黑体" w:cs="黑体"/>
          <w:b w:val="0"/>
          <w:color w:val="000000"/>
          <w:sz w:val="40"/>
        </w:rPr>
        <w:t>目录</w:t>
      </w:r>
    </w:p>
    <w:p w14:paraId="4BA04A2C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color w:val="000000"/>
          <w:sz w:val="22"/>
        </w:rPr>
        <w:fldChar w:fldCharType="begin"/>
      </w:r>
      <w:r>
        <w:rPr>
          <w:rFonts w:hint="eastAsia" w:ascii="华文仿宋" w:hAnsi="华文仿宋" w:eastAsia="华文仿宋" w:cs="华文仿宋"/>
          <w:color w:val="000000"/>
          <w:sz w:val="22"/>
        </w:rPr>
        <w:instrText xml:space="preserve"> TOC \o "1-1" \h \z \u </w:instrText>
      </w:r>
      <w:r>
        <w:rPr>
          <w:rFonts w:hint="eastAsia" w:ascii="华文仿宋" w:hAnsi="华文仿宋" w:eastAsia="华文仿宋" w:cs="华文仿宋"/>
          <w:color w:val="000000"/>
          <w:sz w:val="22"/>
        </w:rPr>
        <w:fldChar w:fldCharType="separate"/>
      </w:r>
      <w:r>
        <w:rPr>
          <w:rFonts w:hint="eastAsia" w:ascii="华文仿宋" w:hAnsi="华文仿宋" w:eastAsia="华文仿宋" w:cs="华文仿宋"/>
          <w:color w:val="000000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_Toc25396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rPr>
          <w:rFonts w:ascii="黑体" w:hAnsi="黑体" w:eastAsia="黑体" w:cs="黑体"/>
        </w:rPr>
        <w:t>作品摘要</w:t>
      </w:r>
      <w:r>
        <w:tab/>
      </w:r>
      <w:r>
        <w:fldChar w:fldCharType="begin"/>
      </w:r>
      <w:r>
        <w:instrText xml:space="preserve"> PAGEREF _Toc25396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华文仿宋" w:hAnsi="华文仿宋" w:eastAsia="华文仿宋" w:cs="华文仿宋"/>
          <w:color w:val="000000"/>
        </w:rPr>
        <w:fldChar w:fldCharType="end"/>
      </w:r>
    </w:p>
    <w:p w14:paraId="05A04973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color w:val="000000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_Toc27957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rPr>
          <w:rFonts w:ascii="黑体" w:hAnsi="黑体" w:eastAsia="黑体" w:cs="黑体"/>
        </w:rPr>
        <w:t>一、项目概述</w:t>
      </w:r>
      <w:r>
        <w:tab/>
      </w:r>
      <w:r>
        <w:fldChar w:fldCharType="begin"/>
      </w:r>
      <w:r>
        <w:instrText xml:space="preserve"> PAGEREF _Toc27957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华文仿宋" w:hAnsi="华文仿宋" w:eastAsia="华文仿宋" w:cs="华文仿宋"/>
          <w:color w:val="000000"/>
        </w:rPr>
        <w:fldChar w:fldCharType="end"/>
      </w:r>
    </w:p>
    <w:p w14:paraId="0D5DAF8C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color w:val="000000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_Toc21814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rPr>
          <w:rFonts w:ascii="黑体" w:hAnsi="黑体" w:eastAsia="黑体" w:cs="黑体"/>
        </w:rPr>
        <w:t>二、总体架构与 Nexus 项目体系</w:t>
      </w:r>
      <w:r>
        <w:tab/>
      </w:r>
      <w:r>
        <w:fldChar w:fldCharType="begin"/>
      </w:r>
      <w:r>
        <w:instrText xml:space="preserve"> PAGEREF _Toc21814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华文仿宋" w:hAnsi="华文仿宋" w:eastAsia="华文仿宋" w:cs="华文仿宋"/>
          <w:color w:val="000000"/>
        </w:rPr>
        <w:fldChar w:fldCharType="end"/>
      </w:r>
    </w:p>
    <w:p w14:paraId="40B4D3A3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color w:val="000000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_Toc27728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rPr>
          <w:rFonts w:ascii="黑体" w:hAnsi="黑体" w:eastAsia="黑体" w:cs="黑体"/>
        </w:rPr>
        <w:t>三、主要功能与技术方案</w:t>
      </w:r>
      <w:r>
        <w:tab/>
      </w:r>
      <w:r>
        <w:fldChar w:fldCharType="begin"/>
      </w:r>
      <w:r>
        <w:instrText xml:space="preserve"> PAGEREF _Toc27728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华文仿宋" w:hAnsi="华文仿宋" w:eastAsia="华文仿宋" w:cs="华文仿宋"/>
          <w:color w:val="000000"/>
        </w:rPr>
        <w:fldChar w:fldCharType="end"/>
      </w:r>
    </w:p>
    <w:p w14:paraId="1A4323BD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color w:val="000000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_Toc22047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rPr>
          <w:rFonts w:ascii="黑体" w:hAnsi="黑体" w:eastAsia="黑体" w:cs="黑体"/>
        </w:rPr>
        <w:t>四、系统集成机制</w:t>
      </w:r>
      <w:r>
        <w:tab/>
      </w:r>
      <w:r>
        <w:fldChar w:fldCharType="begin"/>
      </w:r>
      <w:r>
        <w:instrText xml:space="preserve"> PAGEREF _Toc22047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华文仿宋" w:hAnsi="华文仿宋" w:eastAsia="华文仿宋" w:cs="华文仿宋"/>
          <w:color w:val="000000"/>
        </w:rPr>
        <w:fldChar w:fldCharType="end"/>
      </w:r>
    </w:p>
    <w:p w14:paraId="4A93279A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color w:val="000000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_Toc30225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rPr>
          <w:rFonts w:ascii="黑体" w:hAnsi="黑体" w:eastAsia="黑体" w:cs="黑体"/>
        </w:rPr>
        <w:t>五、技术特点与应用价值</w:t>
      </w:r>
      <w:r>
        <w:tab/>
      </w:r>
      <w:r>
        <w:fldChar w:fldCharType="begin"/>
      </w:r>
      <w:r>
        <w:instrText xml:space="preserve"> PAGEREF _Toc30225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华文仿宋" w:hAnsi="华文仿宋" w:eastAsia="华文仿宋" w:cs="华文仿宋"/>
          <w:color w:val="000000"/>
        </w:rPr>
        <w:fldChar w:fldCharType="end"/>
      </w:r>
    </w:p>
    <w:p w14:paraId="386947EC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color w:val="000000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_Toc32268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rPr>
          <w:rFonts w:ascii="黑体" w:hAnsi="黑体" w:eastAsia="黑体" w:cs="黑体"/>
        </w:rPr>
        <w:t>六、开源基础与后续工作</w:t>
      </w:r>
      <w:r>
        <w:tab/>
      </w:r>
      <w:r>
        <w:fldChar w:fldCharType="begin"/>
      </w:r>
      <w:r>
        <w:instrText xml:space="preserve"> PAGEREF _Toc32268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华文仿宋" w:hAnsi="华文仿宋" w:eastAsia="华文仿宋" w:cs="华文仿宋"/>
          <w:color w:val="000000"/>
        </w:rPr>
        <w:fldChar w:fldCharType="end"/>
      </w:r>
    </w:p>
    <w:p w14:paraId="2FDA53BB">
      <w:pPr>
        <w:spacing w:after="160"/>
        <w:ind w:firstLine="0"/>
      </w:pPr>
      <w:r>
        <w:rPr>
          <w:rFonts w:hint="eastAsia" w:ascii="华文仿宋" w:hAnsi="华文仿宋" w:eastAsia="华文仿宋" w:cs="华文仿宋"/>
          <w:color w:val="000000"/>
        </w:rPr>
        <w:fldChar w:fldCharType="end"/>
      </w:r>
      <w:bookmarkStart w:id="12" w:name="_GoBack"/>
    </w:p>
    <w:bookmarkEnd w:id="12"/>
    <w:p w14:paraId="22E79775">
      <w:pPr>
        <w:spacing w:after="280"/>
        <w:ind w:firstLine="0"/>
      </w:pPr>
    </w:p>
    <w:p w14:paraId="404D7D6C">
      <w:pPr>
        <w:ind w:left="0" w:leftChars="0" w:firstLine="0" w:firstLineChars="0"/>
      </w:pPr>
      <w:r>
        <w:rPr>
          <w:rFonts w:ascii="华文仿宋" w:hAnsi="华文仿宋" w:eastAsia="华文仿宋" w:cs="华文仿宋"/>
          <w:color w:val="000000"/>
        </w:rPr>
        <w:br w:type="page"/>
      </w:r>
    </w:p>
    <w:p w14:paraId="749A54A5">
      <w:pPr>
        <w:pStyle w:val="3"/>
      </w:pPr>
      <w:bookmarkStart w:id="0" w:name="_Toc14903"/>
      <w:bookmarkStart w:id="1" w:name="_Toc25396"/>
      <w:r>
        <w:rPr>
          <w:rFonts w:ascii="黑体" w:hAnsi="黑体" w:eastAsia="黑体" w:cs="黑体"/>
          <w:color w:val="000000"/>
        </w:rPr>
        <w:t>作品摘要</w:t>
      </w:r>
      <w:bookmarkEnd w:id="0"/>
      <w:bookmarkEnd w:id="1"/>
    </w:p>
    <w:p w14:paraId="38CD5716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Nexus-ERP 是面向制造业与贸易型企业的开源工业软件平台，包含企业资源计划（ERP）、制造执行（MES）、物联网（IoT）、人工智能辅助及流程编排等功能。平台围绕物料、工艺、工单和业务单据组织生产经营数据，提供生产准备、物料需求、有限产能排程、制造执行、质量管理和设备运维等业务能力。</w:t>
      </w:r>
    </w:p>
    <w:p w14:paraId="196FB24B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 项目体系由主应用及四类支撑项目组成。Nexus-App 提供移动业务办理与审批协同，Nexus-Vision-Service 提供视觉识别服务，Nexus-Station 承担固定工位作业，Nexus-PDA 承担仓储与产线手持扫码作业。各项目通过主系统业务接口或服务接口协作，为管理、现场作业和数据采集提供不同形式的接入能力。</w:t>
      </w:r>
    </w:p>
    <w:p w14:paraId="57085DE2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本项目申报 AI+ 工业软件赛道，</w:t>
      </w:r>
      <w:r>
        <w:rPr>
          <w:rFonts w:hint="eastAsia" w:cs="华文仿宋"/>
          <w:b w:val="0"/>
          <w:i w:val="0"/>
          <w:color w:val="000000"/>
          <w:lang w:val="en-US" w:eastAsia="zh-CN"/>
        </w:rPr>
        <w:t>因此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重点介绍工业业务与 AI 能力的集成方式，以及工艺约束、生产排程、质量检测支撑和设备运维的实现基础。自然语言查询和知识检索用于辅助获取与解释信息；缺料、排程和方案指标由确定性服务计算；业务执行由权限、数据来源、版本及人工审批条件共同约束。现有验证材料包括算法与接口测试、本地软件运行记录及受控业务场景记录，现场设备和长期运行效果按独立范围验收。</w:t>
      </w:r>
    </w:p>
    <w:p w14:paraId="290E8416">
      <w:pPr>
        <w:pStyle w:val="3"/>
      </w:pPr>
      <w:bookmarkStart w:id="2" w:name="_Toc11037"/>
      <w:bookmarkStart w:id="3" w:name="_Toc27957"/>
      <w:r>
        <w:rPr>
          <w:rFonts w:ascii="黑体" w:hAnsi="黑体" w:eastAsia="黑体" w:cs="黑体"/>
          <w:color w:val="000000"/>
        </w:rPr>
        <w:t>一、项目概述</w:t>
      </w:r>
      <w:bookmarkEnd w:id="2"/>
      <w:bookmarkEnd w:id="3"/>
    </w:p>
    <w:p w14:paraId="573CC026">
      <w:pPr>
        <w:pStyle w:val="4"/>
      </w:pPr>
      <w:r>
        <w:rPr>
          <w:rFonts w:ascii="黑体" w:hAnsi="黑体" w:eastAsia="黑体" w:cs="黑体"/>
          <w:color w:val="000000"/>
        </w:rPr>
        <w:t>1.1 建设背景</w:t>
      </w:r>
    </w:p>
    <w:p w14:paraId="68B265B8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制造企业的生产活动涉及计划、采购、仓储、车间、质量和设备等岗位。生产计划需要同时考虑物料可用性、工艺顺序、资源能力、工作日历及交期要求，执行过程又持续产生报工、检验和设备状态数据。各环节数据来源与业务责任不同，系统建设需要解决主数据一致性、跨业务协同和执行过程追溯等问题。</w:t>
      </w:r>
    </w:p>
    <w:p w14:paraId="6A73BA74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Nexus-ERP 以统一业务平台连接上述环节，并将自然语言查询、企业知识检索和工业推演作为业务辅助工具。项目建设目标是完善从生产准备、计划分析到现场作业及结果回查的系统支撑能力。</w:t>
      </w:r>
    </w:p>
    <w:p w14:paraId="012204C5">
      <w:pPr>
        <w:pStyle w:val="4"/>
      </w:pPr>
      <w:r>
        <w:rPr>
          <w:rFonts w:ascii="黑体" w:hAnsi="黑体" w:eastAsia="黑体" w:cs="黑体"/>
          <w:color w:val="000000"/>
        </w:rPr>
        <w:t>1.2 建设目标</w:t>
      </w:r>
    </w:p>
    <w:p w14:paraId="58192F68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  <w:color w:val="000000"/>
        </w:rPr>
        <w:t>建立物料、BOM、工艺路线、车间、工作站和计量单位等基础数据体系，为计划与执行提供一致的业务定义。</w:t>
      </w:r>
    </w:p>
    <w:p w14:paraId="32991E71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  <w:color w:val="000000"/>
        </w:rPr>
        <w:t>集成 ERP、MES 与 IoT 数据，支持物料需求分析、有限产能排程、质量与设备异常协同。</w:t>
      </w:r>
    </w:p>
    <w:p w14:paraId="5EFE8C78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  <w:color w:val="000000"/>
        </w:rPr>
        <w:t>提供自然语言查询、企业知识检索和流程编排功能，辅助业务人员检索数据、理解制度并比较处理方案。</w:t>
      </w:r>
    </w:p>
    <w:p w14:paraId="7F80E157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  <w:color w:val="000000"/>
        </w:rPr>
        <w:t>通过移动端、手持终端、工位客户端和视觉服务扩展业务接入方式，保留身份、权限与过程记录。</w:t>
      </w:r>
    </w:p>
    <w:p w14:paraId="07B97135">
      <w:pPr>
        <w:pStyle w:val="3"/>
      </w:pPr>
      <w:bookmarkStart w:id="4" w:name="_Toc20847"/>
      <w:bookmarkStart w:id="5" w:name="_Toc21814"/>
      <w:r>
        <w:rPr>
          <w:rFonts w:ascii="黑体" w:hAnsi="黑体" w:eastAsia="黑体" w:cs="黑体"/>
          <w:color w:val="000000"/>
        </w:rPr>
        <w:t>二、总体架构与 Nexus 项目体系</w:t>
      </w:r>
      <w:bookmarkEnd w:id="4"/>
      <w:bookmarkEnd w:id="5"/>
    </w:p>
    <w:p w14:paraId="4E983C56">
      <w:pPr>
        <w:pStyle w:val="4"/>
      </w:pPr>
      <w:r>
        <w:rPr>
          <w:rFonts w:ascii="黑体" w:hAnsi="黑体" w:eastAsia="黑体" w:cs="黑体"/>
          <w:color w:val="000000"/>
        </w:rPr>
        <w:t>2.1 总体架构</w:t>
      </w:r>
    </w:p>
    <w:p w14:paraId="12EBCF8A">
      <w:pPr>
        <w:jc w:val="both"/>
        <w:rPr>
          <w:rFonts w:hint="eastAsia" w:eastAsia="华文仿宋"/>
          <w:lang w:eastAsia="zh-CN"/>
        </w:rPr>
      </w:pPr>
      <w:r>
        <w:rPr>
          <w:rFonts w:ascii="华文仿宋" w:hAnsi="华文仿宋" w:eastAsia="华文仿宋" w:cs="华文仿宋"/>
          <w:b w:val="0"/>
          <w:i w:val="0"/>
          <w:color w:val="000000"/>
        </w:rPr>
        <w:t>主应用由 Spring Boot 统一装配 ERP、MES、IoT、</w:t>
      </w:r>
      <w:r>
        <w:rPr>
          <w:rFonts w:hint="eastAsia" w:cs="华文仿宋"/>
          <w:b w:val="0"/>
          <w:i w:val="0"/>
          <w:color w:val="000000"/>
          <w:lang w:val="en-US" w:eastAsia="zh-CN"/>
        </w:rPr>
        <w:t>IM即时通讯、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AI、Flow</w:t>
      </w:r>
      <w:r>
        <w:rPr>
          <w:rFonts w:hint="eastAsia" w:cs="华文仿宋"/>
          <w:b w:val="0"/>
          <w:i w:val="0"/>
          <w:color w:val="000000"/>
          <w:lang w:val="en-US" w:eastAsia="zh-CN"/>
        </w:rPr>
        <w:t>流程编排、Pay聚合支付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 xml:space="preserve"> 及 Station 后端通道等模块，PC 管理端采用 Vue 3。当前后端为模块化单体，结合多数据源、公共合同和消息机制完成模块协作</w:t>
      </w:r>
      <w:r>
        <w:rPr>
          <w:rFonts w:hint="eastAsia" w:cs="华文仿宋"/>
          <w:b w:val="0"/>
          <w:i w:val="0"/>
          <w:color w:val="000000"/>
          <w:lang w:eastAsia="zh-CN"/>
        </w:rPr>
        <w:t>。</w:t>
      </w:r>
    </w:p>
    <w:tbl>
      <w:tblPr>
        <w:tblStyle w:val="33"/>
        <w:tblW w:w="0" w:type="auto"/>
        <w:jc w:val="center"/>
        <w:tblBorders>
          <w:top w:val="single" w:color="D5E0EA" w:sz="4" w:space="0"/>
          <w:left w:val="single" w:color="D5E0EA" w:sz="4" w:space="0"/>
          <w:bottom w:val="single" w:color="D5E0EA" w:sz="4" w:space="0"/>
          <w:right w:val="single" w:color="D5E0EA" w:sz="4" w:space="0"/>
          <w:insideH w:val="single" w:color="D5E0EA" w:sz="4" w:space="0"/>
          <w:insideV w:val="single" w:color="D5E0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50E936B5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413EF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系统层次</w:t>
            </w:r>
          </w:p>
        </w:tc>
        <w:tc>
          <w:tcPr>
            <w:tcW w:w="7087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E558E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组成与职责</w:t>
            </w:r>
          </w:p>
        </w:tc>
      </w:tr>
      <w:tr w14:paraId="0C2A699E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8E12E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业务接入层</w:t>
            </w:r>
          </w:p>
        </w:tc>
        <w:tc>
          <w:tcPr>
            <w:tcW w:w="7087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ECAA5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PC 管理端、Nexus-App、Nexus-PDA、Nexus-Station，分别面向管理、移动协同、手持扫码和固定工位</w:t>
            </w:r>
          </w:p>
        </w:tc>
      </w:tr>
      <w:tr w14:paraId="06DFC11C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B6C24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业务服务层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7565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ERP、MES、IoT、AI、Flow 和工位通道，承载主数据、计划、执行、查询及流程控制</w:t>
            </w:r>
          </w:p>
        </w:tc>
      </w:tr>
      <w:tr w14:paraId="088C245D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1F2A9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专项能力层</w:t>
            </w:r>
          </w:p>
        </w:tc>
        <w:tc>
          <w:tcPr>
            <w:tcW w:w="7087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EF9BF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Nexus-Vision-Service、模型服务和向量检索服务，按配置提供识别、推理与检索能力</w:t>
            </w:r>
          </w:p>
        </w:tc>
      </w:tr>
      <w:tr w14:paraId="78959DCD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960E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数据与通信层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30AD1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系统及业务数据库、Redis、RabbitMQ、对象存储及 MQTT 接入，提供持久化和异步通信</w:t>
            </w:r>
          </w:p>
        </w:tc>
      </w:tr>
    </w:tbl>
    <w:p w14:paraId="13DE9559">
      <w:pPr>
        <w:spacing w:after="20"/>
      </w:pPr>
    </w:p>
    <w:p w14:paraId="6D584827">
      <w:pPr>
        <w:pStyle w:val="5"/>
      </w:pPr>
      <w:r>
        <w:rPr>
          <w:rFonts w:ascii="黑体" w:hAnsi="黑体" w:eastAsia="黑体" w:cs="黑体"/>
          <w:color w:val="000000"/>
        </w:rPr>
        <w:t>2.1.1 Nexus-ERP 主项目技术架构</w:t>
      </w:r>
    </w:p>
    <w:p w14:paraId="2C1D53C1">
      <w:r>
        <w:rPr>
          <w:rFonts w:ascii="华文仿宋" w:hAnsi="华文仿宋" w:eastAsia="华文仿宋" w:cs="华文仿宋"/>
          <w:color w:val="000000"/>
        </w:rPr>
        <w:t xml:space="preserve">后端以 ruoyi-admin 中的 NexusApplication 为应用入口，采用 Spring Boot 统一装配 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 xml:space="preserve"> ERP、MES、IoT、</w:t>
      </w:r>
      <w:r>
        <w:rPr>
          <w:rFonts w:hint="eastAsia" w:cs="华文仿宋"/>
          <w:b w:val="0"/>
          <w:i w:val="0"/>
          <w:color w:val="000000"/>
          <w:lang w:val="en-US" w:eastAsia="zh-CN"/>
        </w:rPr>
        <w:t>IM即时通讯、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AI、Flow</w:t>
      </w:r>
      <w:r>
        <w:rPr>
          <w:rFonts w:hint="eastAsia" w:cs="华文仿宋"/>
          <w:b w:val="0"/>
          <w:i w:val="0"/>
          <w:color w:val="000000"/>
          <w:lang w:val="en-US" w:eastAsia="zh-CN"/>
        </w:rPr>
        <w:t>流程编排、Pay聚合支付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 xml:space="preserve"> 及 Station 后端通道等</w:t>
      </w:r>
      <w:r>
        <w:rPr>
          <w:rFonts w:ascii="华文仿宋" w:hAnsi="华文仿宋" w:eastAsia="华文仿宋" w:cs="华文仿宋"/>
          <w:color w:val="000000"/>
        </w:rPr>
        <w:t>系统管理模块。公共能力集中在 ruoyi-common，涵盖认证、数据访问、多租户、缓存、视觉客户端、实时推送</w:t>
      </w:r>
      <w:r>
        <w:rPr>
          <w:rFonts w:hint="eastAsia" w:cs="华文仿宋"/>
          <w:color w:val="000000"/>
          <w:lang w:eastAsia="zh-CN"/>
        </w:rPr>
        <w:t>、</w:t>
      </w:r>
      <w:r>
        <w:rPr>
          <w:rFonts w:hint="eastAsia" w:cs="华文仿宋"/>
          <w:color w:val="000000"/>
          <w:lang w:val="en-US" w:eastAsia="zh-CN"/>
        </w:rPr>
        <w:t>电子签章</w:t>
      </w:r>
      <w:r>
        <w:rPr>
          <w:rFonts w:ascii="华文仿宋" w:hAnsi="华文仿宋" w:eastAsia="华文仿宋" w:cs="华文仿宋"/>
          <w:color w:val="000000"/>
        </w:rPr>
        <w:t>和</w:t>
      </w:r>
      <w:r>
        <w:rPr>
          <w:rFonts w:hint="eastAsia" w:cs="华文仿宋"/>
          <w:color w:val="000000"/>
          <w:lang w:val="en-US" w:eastAsia="zh-CN"/>
        </w:rPr>
        <w:t>flowable</w:t>
      </w:r>
      <w:r>
        <w:rPr>
          <w:rFonts w:ascii="华文仿宋" w:hAnsi="华文仿宋" w:eastAsia="华文仿宋" w:cs="华文仿宋"/>
          <w:color w:val="000000"/>
        </w:rPr>
        <w:t xml:space="preserve">工作流等组件。业务模块通过服务接口、公共 DTO 和消息契约协作，在模块化单体结构下保持职责与调用边界。 </w:t>
      </w:r>
    </w:p>
    <w:p w14:paraId="3E04F485">
      <w:r>
        <w:rPr>
          <w:rFonts w:ascii="华文仿宋" w:hAnsi="华文仿宋" w:eastAsia="华文仿宋" w:cs="华文仿宋"/>
          <w:color w:val="000000"/>
        </w:rPr>
        <w:t xml:space="preserve">数据访问采用 MyBatis-Plus 与 dynamic-datasource，按系统、ERP、MES 等数据源划分访问范围；多租户插件和业务权限校验共同控制数据访问。Redis 支撑缓存和实时消息分发，RabbitMQ 承接工单下达、检验完成及设备事件等异步协作，MinIO/S3 提供对象存储，MQTT 接入工业设备数据。知识检索通过向量存储接口接入 Milvus 等服务。 </w:t>
      </w:r>
    </w:p>
    <w:p w14:paraId="47FC3A63">
      <w:r>
        <w:rPr>
          <w:rFonts w:ascii="华文仿宋" w:hAnsi="华文仿宋" w:eastAsia="华文仿宋" w:cs="华文仿宋"/>
          <w:color w:val="000000"/>
        </w:rPr>
        <w:t xml:space="preserve">PC 管理端采用 Vue 3、TypeScript、Pinia、Element Plus 和 UnoCSS，按业务域组织页面、状态与 API。APP、PDA 和 Station 通过主系统业务接口或工位通道提交记录，Vision 通过统一视觉客户端提供识别结果。多端接入沿用后端业务规则，并分别保留身份认证、租户、权限和幂等校验。 </w:t>
      </w:r>
    </w:p>
    <w:p w14:paraId="304C9817">
      <w:r>
        <w:rPr>
          <w:rFonts w:ascii="华文仿宋" w:hAnsi="华文仿宋" w:eastAsia="华文仿宋" w:cs="华文仿宋"/>
          <w:color w:val="000000"/>
        </w:rPr>
        <w:t xml:space="preserve">AI 模块基于 LangChain4j 组织 Agent 工具调用、企业知识检索与 RAG，并通过 Flow 编排业务辅助流程。ERP 查询工具执行受控只读查询；缺料推演、有限产能排程、方案排序和风险指标由确定性业务服务计算；模型依据已取得的事实生成定性说明。涉及业务写入的工业决策由审批状态、权限、数据版本、来源新鲜度及幂等规则共同约束。 </w:t>
      </w:r>
    </w:p>
    <w:p w14:paraId="688562D6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架构资料见</w:t>
      </w:r>
      <w:r>
        <w:rPr>
          <w:rFonts w:ascii="华文仿宋" w:hAnsi="华文仿宋" w:eastAsia="华文仿宋" w:cs="华文仿宋"/>
          <w:color w:val="000000"/>
        </w:rPr>
        <w:t>系统总体架构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。客户端和专项服务独立组织代码，业务处理仍由对应服务端接口校验，部署与运行状态分别核验。</w:t>
      </w:r>
    </w:p>
    <w:p w14:paraId="0281D1C8">
      <w:pPr>
        <w:keepNext/>
        <w:spacing w:before="120" w:after="60"/>
        <w:ind w:firstLine="0"/>
        <w:jc w:val="center"/>
      </w:pPr>
      <w:r>
        <w:rPr>
          <w:rFonts w:ascii="华文仿宋" w:hAnsi="华文仿宋" w:eastAsia="华文仿宋" w:cs="华文仿宋"/>
          <w:color w:val="000000"/>
        </w:rPr>
        <w:drawing>
          <wp:inline distT="0" distB="0" distL="114300" distR="114300">
            <wp:extent cx="5939790" cy="4091940"/>
            <wp:effectExtent l="0" t="0" r="3810" b="10160"/>
            <wp:docPr id="2" name="Picture 2" descr="Nexus 项目体系与集成关系。依据既有 Archify 系统架构资料及四类关联项目源码重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exus 项目体系与集成关系。依据既有 Archify 系统架构资料及四类关联项目源码重排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35CA">
      <w:pPr>
        <w:pStyle w:val="15"/>
        <w:keepNext w:val="0"/>
        <w:jc w:val="center"/>
      </w:pPr>
      <w:r>
        <w:rPr>
          <w:rFonts w:ascii="华文仿宋" w:hAnsi="华文仿宋" w:eastAsia="华文仿宋" w:cs="华文仿宋"/>
          <w:color w:val="000000"/>
        </w:rPr>
        <w:t xml:space="preserve">图 </w:t>
      </w:r>
      <w:r>
        <w:rPr>
          <w:rFonts w:ascii="华文仿宋" w:hAnsi="华文仿宋" w:eastAsia="华文仿宋" w:cs="华文仿宋"/>
          <w:color w:val="000000"/>
        </w:rPr>
        <w:fldChar w:fldCharType="begin"/>
      </w:r>
      <w:r>
        <w:rPr>
          <w:rFonts w:ascii="华文仿宋" w:hAnsi="华文仿宋" w:eastAsia="华文仿宋" w:cs="华文仿宋"/>
          <w:color w:val="000000"/>
        </w:rPr>
        <w:instrText xml:space="preserve">SEQ Figure \* ARABIC</w:instrText>
      </w:r>
      <w:r>
        <w:rPr>
          <w:rFonts w:ascii="华文仿宋" w:hAnsi="华文仿宋" w:eastAsia="华文仿宋" w:cs="华文仿宋"/>
          <w:color w:val="000000"/>
        </w:rPr>
        <w:fldChar w:fldCharType="separate"/>
      </w:r>
      <w:r>
        <w:rPr>
          <w:rFonts w:ascii="华文仿宋" w:hAnsi="华文仿宋" w:eastAsia="华文仿宋" w:cs="华文仿宋"/>
          <w:color w:val="000000"/>
        </w:rPr>
        <w:t>1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color w:val="000000"/>
        </w:rPr>
        <w:t xml:space="preserve">  Nexus 项目体系与集成关系</w:t>
      </w:r>
    </w:p>
    <w:p w14:paraId="23DB966F">
      <w:pPr>
        <w:pStyle w:val="4"/>
      </w:pPr>
      <w:r>
        <w:rPr>
          <w:rFonts w:ascii="黑体" w:hAnsi="黑体" w:eastAsia="黑体" w:cs="黑体"/>
          <w:color w:val="000000"/>
        </w:rPr>
        <w:t>2.2 Nexus-App：移动业务客户端</w:t>
      </w:r>
    </w:p>
    <w:p w14:paraId="6F23EA21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Nexus-App 基于 uni-app、Vue 3 和 Pinia 构建，面向管理人员及移动办公场景，设置工作台、通知、即时通讯、考勤、流程审批和 AI 助手等入口。业务页面涵盖采购、销售、仓储、生产及 MES 相关功能，包括工单查询、报工、质量检验、设备点检、保养和维修等。</w:t>
      </w:r>
    </w:p>
    <w:p w14:paraId="67DF9D0A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该项目将主系统业务能力延伸至移动端，支持人员在非固定办公位置查询信息、处理待办和提交业务记录。与 PDA 的连续扫码操作、Station 的固定工位执行相比，APP 主要承担移动管理与协同职责。实际发布平台、终端适配和业务权限以对应构建及验收结果为准。</w:t>
      </w:r>
    </w:p>
    <w:p w14:paraId="3F86A0BF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项目地址：</w:t>
      </w:r>
      <w:r>
        <w:fldChar w:fldCharType="begin"/>
      </w:r>
      <w:r>
        <w:instrText xml:space="preserve"> HYPERLINK "https://gitee.com/NexusERP/nexus-app" </w:instrText>
      </w:r>
      <w:r>
        <w:fldChar w:fldCharType="separate"/>
      </w:r>
      <w:r>
        <w:rPr>
          <w:rFonts w:ascii="华文仿宋" w:hAnsi="华文仿宋" w:eastAsia="华文仿宋" w:cs="华文仿宋"/>
          <w:color w:val="0563C1"/>
          <w:u w:val="single"/>
        </w:rPr>
        <w:t>https://gitee.com/NexusERP/nexus-app</w:t>
      </w:r>
      <w:r>
        <w:rPr>
          <w:rFonts w:ascii="华文仿宋" w:hAnsi="华文仿宋" w:eastAsia="华文仿宋" w:cs="华文仿宋"/>
          <w:color w:val="0563C1"/>
          <w:u w:val="single"/>
        </w:rPr>
        <w:fldChar w:fldCharType="end"/>
      </w:r>
    </w:p>
    <w:p w14:paraId="0AE8E3BD">
      <w:pPr>
        <w:pStyle w:val="4"/>
      </w:pPr>
      <w:r>
        <w:rPr>
          <w:rFonts w:ascii="黑体" w:hAnsi="黑体" w:eastAsia="黑体" w:cs="黑体"/>
          <w:color w:val="000000"/>
        </w:rPr>
        <w:t>2.3 Nexus-Vision-Service：视觉识别服务</w:t>
      </w:r>
    </w:p>
    <w:p w14:paraId="636F14AF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Nexus-Vision-Service 为独立视觉服务，基于 FastAPI 提供 HTTP 接口，集成目标检测、OCR、人脸注册、1:1 验证、1:N 识别及人脸底库管理等能力，并提供 API Key 鉴权和轻量管理页面。其功能可支撑物料识别、标签信息读取、人员身份验证等业务环节。</w:t>
      </w:r>
    </w:p>
    <w:p w14:paraId="69C1B2BF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服务具有场景模型注册、加载和切换机制。本地项目包含金属表面缺陷、PCB 缺陷和商品识别场景的模型文件与元数据，可按业务场景配置使用。</w:t>
      </w:r>
      <w:r>
        <w:rPr>
          <w:rFonts w:hint="eastAsia" w:ascii="华文仿宋" w:hAnsi="华文仿宋" w:eastAsia="华文仿宋" w:cs="华文仿宋"/>
          <w:b w:val="0"/>
          <w:i w:val="0"/>
          <w:color w:val="000000"/>
          <w:lang w:val="en-US" w:eastAsia="zh-CN"/>
        </w:rPr>
        <w:t>新场景下可继续对模型训练，完成专属识别技能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。</w:t>
      </w:r>
    </w:p>
    <w:p w14:paraId="15062035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主项目现有视觉调用通过统一客户端接入，已设置物料检测、OCR 和人脸相关业务入口。缺陷场景模型的选用、检验结果采纳及质量业务回写需</w:t>
      </w:r>
      <w:r>
        <w:rPr>
          <w:rFonts w:hint="eastAsia" w:ascii="华文仿宋" w:hAnsi="华文仿宋" w:eastAsia="华文仿宋" w:cs="华文仿宋"/>
          <w:b w:val="0"/>
          <w:i w:val="0"/>
          <w:color w:val="000000"/>
          <w:lang w:val="en-US" w:eastAsia="zh-CN"/>
        </w:rPr>
        <w:t>真实生产环境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验证</w:t>
      </w:r>
      <w:r>
        <w:rPr>
          <w:rFonts w:hint="eastAsia" w:ascii="华文仿宋" w:hAnsi="华文仿宋" w:eastAsia="华文仿宋" w:cs="华文仿宋"/>
          <w:b w:val="0"/>
          <w:i w:val="0"/>
          <w:color w:val="000000"/>
          <w:lang w:eastAsia="zh-CN"/>
        </w:rPr>
        <w:t>，</w:t>
      </w:r>
      <w:r>
        <w:rPr>
          <w:rFonts w:hint="eastAsia" w:ascii="华文仿宋" w:hAnsi="华文仿宋" w:eastAsia="华文仿宋" w:cs="华文仿宋"/>
          <w:b w:val="0"/>
          <w:i w:val="0"/>
          <w:color w:val="000000"/>
          <w:lang w:val="en-US" w:eastAsia="zh-CN"/>
        </w:rPr>
        <w:t>目前寻求厂商使用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；图像识别结果不直接替代 MES 检验判定或业务放行条件。</w:t>
      </w:r>
    </w:p>
    <w:p w14:paraId="0EA413AC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项目地址：</w:t>
      </w:r>
      <w:r>
        <w:fldChar w:fldCharType="begin"/>
      </w:r>
      <w:r>
        <w:instrText xml:space="preserve"> HYPERLINK "https://gitee.com/NexusERP/nexus-vision-service" </w:instrText>
      </w:r>
      <w:r>
        <w:fldChar w:fldCharType="separate"/>
      </w:r>
      <w:r>
        <w:rPr>
          <w:rFonts w:ascii="华文仿宋" w:hAnsi="华文仿宋" w:eastAsia="华文仿宋" w:cs="华文仿宋"/>
          <w:color w:val="0563C1"/>
          <w:u w:val="single"/>
        </w:rPr>
        <w:t>https://gitee.com/NexusERP/nexus-vision-service</w:t>
      </w:r>
      <w:r>
        <w:rPr>
          <w:rFonts w:ascii="华文仿宋" w:hAnsi="华文仿宋" w:eastAsia="华文仿宋" w:cs="华文仿宋"/>
          <w:color w:val="0563C1"/>
          <w:u w:val="single"/>
        </w:rPr>
        <w:fldChar w:fldCharType="end"/>
      </w:r>
    </w:p>
    <w:p w14:paraId="4AA724E6">
      <w:pPr>
        <w:pStyle w:val="4"/>
      </w:pPr>
      <w:r>
        <w:rPr>
          <w:rFonts w:ascii="黑体" w:hAnsi="黑体" w:eastAsia="黑体" w:cs="黑体"/>
          <w:color w:val="000000"/>
        </w:rPr>
        <w:t>2.4 Nexus-Station：固定工位客户端</w:t>
      </w:r>
    </w:p>
    <w:p w14:paraId="1376E115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Nexus-Station 基于 Electron、Vue 3 和 TypeScript 构建，面向烧录、功能测试及装配等固定工位。主要功能包括操作员上岗、工位绑定、固件准备与刷写、综测报文接收、SN 过站、批量报工、关键件绑定、SOP 查看、上料防错和生产履历追溯。</w:t>
      </w:r>
    </w:p>
    <w:p w14:paraId="3A1E0557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该项目通过串口或厂商 CLI 驱动连接工位设备，通过主系统工位接口校验任务并上报结果，同时设置心跳、离线队列和幂等控制。其作用是将固定工位操作及设备结果纳入 MES 业务记录。具体驱动、工装和真实设备联调须按工位类型验收。</w:t>
      </w:r>
    </w:p>
    <w:p w14:paraId="5B9D99D5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 xml:space="preserve">客户端 </w:t>
      </w:r>
      <w:r>
        <w:rPr>
          <w:rFonts w:ascii="华文仿宋" w:hAnsi="华文仿宋" w:eastAsia="华文仿宋" w:cs="华文仿宋"/>
          <w:color w:val="000000"/>
          <w:sz w:val="21"/>
        </w:rPr>
        <w:t>nexus-station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 xml:space="preserve"> 与主系统后端 </w:t>
      </w:r>
      <w:r>
        <w:rPr>
          <w:rFonts w:ascii="华文仿宋" w:hAnsi="华文仿宋" w:eastAsia="华文仿宋" w:cs="华文仿宋"/>
          <w:color w:val="000000"/>
          <w:sz w:val="21"/>
        </w:rPr>
        <w:t>ruoyi-station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 xml:space="preserve"> 为不同组件：前者承担桌面作业与设备驱动，后者承担身份、租户、过站及数据上报接口校验。</w:t>
      </w:r>
    </w:p>
    <w:p w14:paraId="7DC24011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项目地址：</w:t>
      </w:r>
      <w:r>
        <w:fldChar w:fldCharType="begin"/>
      </w:r>
      <w:r>
        <w:instrText xml:space="preserve"> HYPERLINK "https://gitee.com/NexusERP/nexus-station" </w:instrText>
      </w:r>
      <w:r>
        <w:fldChar w:fldCharType="separate"/>
      </w:r>
      <w:r>
        <w:rPr>
          <w:rFonts w:ascii="华文仿宋" w:hAnsi="华文仿宋" w:eastAsia="华文仿宋" w:cs="华文仿宋"/>
          <w:color w:val="0563C1"/>
          <w:u w:val="single"/>
        </w:rPr>
        <w:t>https://gitee.com/NexusERP/nexus-station</w:t>
      </w:r>
      <w:r>
        <w:rPr>
          <w:rFonts w:ascii="华文仿宋" w:hAnsi="华文仿宋" w:eastAsia="华文仿宋" w:cs="华文仿宋"/>
          <w:color w:val="0563C1"/>
          <w:u w:val="single"/>
        </w:rPr>
        <w:fldChar w:fldCharType="end"/>
      </w:r>
    </w:p>
    <w:p w14:paraId="0C056E43">
      <w:pPr>
        <w:pStyle w:val="4"/>
      </w:pPr>
      <w:r>
        <w:rPr>
          <w:rFonts w:ascii="黑体" w:hAnsi="黑体" w:eastAsia="黑体" w:cs="黑体"/>
          <w:color w:val="000000"/>
        </w:rPr>
        <w:t>2.5 Nexus-PDA：手持智能终端</w:t>
      </w:r>
    </w:p>
    <w:p w14:paraId="1BBB57FC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Nexus-PDA 基于 uni-app 和 Vue 3 构建，采用扫码优先的现场操作方式。仓储功能包括收货上架、备料发料、移库、盘点、退料核销和上料交接；制造功能包括设备点检、SN 绑定、扫码报工、质量检验、保养维保和追溯查询。</w:t>
      </w:r>
    </w:p>
    <w:p w14:paraId="218A8CE6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终端支持键盘楔、机型广播、摄像头扫码和手工输入等接入方式，并设置离线任务队列。业务提交通过主系统接口校验，重放依赖幂等约束。该项目适用于仓库及产线移动作业，其扫码广播、打印、断网恢复和终端适配需结合具体机型验证。</w:t>
      </w:r>
    </w:p>
    <w:p w14:paraId="2B2220D9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项目地址：</w:t>
      </w:r>
      <w:r>
        <w:fldChar w:fldCharType="begin"/>
      </w:r>
      <w:r>
        <w:instrText xml:space="preserve"> HYPERLINK "https://gitee.com/NexusERP/nexus-pda" </w:instrText>
      </w:r>
      <w:r>
        <w:fldChar w:fldCharType="separate"/>
      </w:r>
      <w:r>
        <w:rPr>
          <w:rFonts w:ascii="华文仿宋" w:hAnsi="华文仿宋" w:eastAsia="华文仿宋" w:cs="华文仿宋"/>
          <w:color w:val="0563C1"/>
          <w:u w:val="single"/>
        </w:rPr>
        <w:t>https://gitee.com/NexusERP/nexus-pda</w:t>
      </w:r>
      <w:r>
        <w:rPr>
          <w:rFonts w:ascii="华文仿宋" w:hAnsi="华文仿宋" w:eastAsia="华文仿宋" w:cs="华文仿宋"/>
          <w:color w:val="0563C1"/>
          <w:u w:val="single"/>
        </w:rPr>
        <w:fldChar w:fldCharType="end"/>
      </w:r>
    </w:p>
    <w:p w14:paraId="4483E9B4">
      <w:pPr>
        <w:pStyle w:val="4"/>
      </w:pPr>
      <w:r>
        <w:rPr>
          <w:rFonts w:ascii="黑体" w:hAnsi="黑体" w:eastAsia="黑体" w:cs="黑体"/>
          <w:color w:val="000000"/>
        </w:rPr>
        <w:t>2.6 项目协作关系</w:t>
      </w:r>
    </w:p>
    <w:p w14:paraId="3C2E09A6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Nexus-ERP 提供统一业务模型、权限体系和后端处理能力；APP、PDA 和 Station 分别承担移动管理、手持操作与固定工位执行；Vision 提供独立视觉识别能力。各项目使用对应接口与业务标识协作，并不因共用后端而自动具备跨模块、跨服务的单一事务语义。各端状态、来源及执行结果均需按接口合同回查。</w:t>
      </w:r>
    </w:p>
    <w:p w14:paraId="21A38619">
      <w:pPr>
        <w:pStyle w:val="3"/>
      </w:pPr>
      <w:bookmarkStart w:id="6" w:name="_Toc22941"/>
      <w:bookmarkStart w:id="7" w:name="_Toc27728"/>
      <w:r>
        <w:rPr>
          <w:rFonts w:ascii="黑体" w:hAnsi="黑体" w:eastAsia="黑体" w:cs="黑体"/>
          <w:color w:val="000000"/>
        </w:rPr>
        <w:t>三、主要功能与技术方案</w:t>
      </w:r>
      <w:bookmarkEnd w:id="6"/>
      <w:bookmarkEnd w:id="7"/>
    </w:p>
    <w:p w14:paraId="30E00F6D">
      <w:pPr>
        <w:pStyle w:val="4"/>
      </w:pPr>
      <w:r>
        <w:rPr>
          <w:rFonts w:ascii="黑体" w:hAnsi="黑体" w:eastAsia="黑体" w:cs="黑体"/>
          <w:color w:val="000000"/>
        </w:rPr>
        <w:t>3.1 生产准备与工艺数据管理</w:t>
      </w:r>
    </w:p>
    <w:p w14:paraId="3430A876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平台提供物料、BOM、工艺路线、车间、工作站和计量单位管理。工艺步骤、标准工时、准备工时及资源信息为生产需求和排程计算提供输入，MES 通过桥接服务读取相关 ERP 主数据。</w:t>
      </w:r>
    </w:p>
    <w:p w14:paraId="7850F290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本项目在研发与工艺环节的现有范围为工程数据组织、工艺约束建模及生产业务推演，</w:t>
      </w:r>
      <w:r>
        <w:rPr>
          <w:rFonts w:hint="eastAsia" w:ascii="华文仿宋" w:hAnsi="华文仿宋" w:eastAsia="华文仿宋" w:cs="华文仿宋"/>
          <w:b w:val="0"/>
          <w:i w:val="0"/>
          <w:color w:val="000000"/>
          <w:lang w:val="en-US" w:eastAsia="zh-CN"/>
        </w:rPr>
        <w:t>后期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 xml:space="preserve">将 </w:t>
      </w:r>
      <w:r>
        <w:rPr>
          <w:rFonts w:hint="eastAsia" w:ascii="华文仿宋" w:hAnsi="华文仿宋" w:eastAsia="华文仿宋" w:cs="华文仿宋"/>
          <w:b w:val="0"/>
          <w:i w:val="0"/>
          <w:color w:val="000000"/>
          <w:lang w:val="en-US" w:eastAsia="zh-CN"/>
        </w:rPr>
        <w:t>考虑接入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CAD/CAE 或多物理场仿真能力。</w:t>
      </w:r>
    </w:p>
    <w:p w14:paraId="2F0E9DB8">
      <w:pPr>
        <w:pStyle w:val="4"/>
      </w:pPr>
      <w:r>
        <w:rPr>
          <w:rFonts w:ascii="黑体" w:hAnsi="黑体" w:eastAsia="黑体" w:cs="黑体"/>
          <w:color w:val="000000"/>
        </w:rPr>
        <w:t>3.2 物料需求分析与有限产能排程</w:t>
      </w:r>
    </w:p>
    <w:p w14:paraId="20C00458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物料分析结合需求时间、可用库存和可信在途数据判断缺口，并保留原生单位及来源依据。有限产能排程引擎采用天粒度前向排程，按工艺顺序展开工序，处理工作站或车间产能、工作日历、工序前后关系及委外等待、转移时间等条件。</w:t>
      </w:r>
    </w:p>
    <w:p w14:paraId="78254CC5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方案比较支持当前基线、最早交期规则 EDD、临界比规则 CR 及满足条件的催交情景。拖期、资源负荷和缺料等指标由服务端计算，方案排序受输入范围、来源与可比性条件约束。</w:t>
      </w:r>
    </w:p>
    <w:p w14:paraId="470DD528">
      <w:pPr>
        <w:pStyle w:val="4"/>
      </w:pPr>
      <w:r>
        <w:rPr>
          <w:rFonts w:ascii="黑体" w:hAnsi="黑体" w:eastAsia="黑体" w:cs="黑体"/>
          <w:color w:val="000000"/>
        </w:rPr>
        <w:t>3.3 AI 业务查询、知识检索与流程编排</w:t>
      </w:r>
    </w:p>
    <w:p w14:paraId="457970AE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AI 查询通过 Agent 和 ERP 工具读取授权业务数据。查询层限制 SQL 类型、表范围与租户条件，支持生产、库存和采购等业务信息获取。用户可依据业务对象回查原始记录，核对数量、单位和状态。</w:t>
      </w:r>
    </w:p>
    <w:p w14:paraId="6728C840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知识库提供文档解析、分段、向量化、检索及 RAG 增强回答，用于检索生产、质量和设备处置资料。制度资料与实时业务事实分别管理，检索结果不作为库存、实物检验或设备恢复的事实证明。</w:t>
      </w:r>
    </w:p>
    <w:p w14:paraId="2AB93A01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Flow 提供节点编排、实例和节点输出查看能力。普通检索或模型流程与受保护工业流程分别管理；工业数值、证据和执行条件由确定性服务及业务接口约束，模型承担定性解释。</w:t>
      </w:r>
    </w:p>
    <w:p w14:paraId="20D72752">
      <w:pPr>
        <w:keepNext/>
        <w:spacing w:before="120" w:after="60"/>
        <w:ind w:firstLine="0"/>
        <w:jc w:val="center"/>
      </w:pPr>
      <w:r>
        <w:rPr>
          <w:rFonts w:ascii="华文仿宋" w:hAnsi="华文仿宋" w:eastAsia="华文仿宋" w:cs="华文仿宋"/>
          <w:color w:val="000000"/>
        </w:rPr>
        <w:drawing>
          <wp:inline distT="0" distB="0" distL="114300" distR="114300">
            <wp:extent cx="5939790" cy="4421505"/>
            <wp:effectExtent l="0" t="0" r="3810" b="10795"/>
            <wp:docPr id="3" name="Picture 3" descr="AI 业务查询与工业决策。依据既有 Archify AI/工业决策架构资料重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I 业务查询与工业决策。依据既有 Archify AI/工业决策架构资料重排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B948">
      <w:pPr>
        <w:pStyle w:val="15"/>
        <w:keepNext w:val="0"/>
        <w:jc w:val="center"/>
      </w:pPr>
      <w:r>
        <w:rPr>
          <w:rFonts w:ascii="华文仿宋" w:hAnsi="华文仿宋" w:eastAsia="华文仿宋" w:cs="华文仿宋"/>
          <w:color w:val="000000"/>
        </w:rPr>
        <w:t xml:space="preserve">图 </w:t>
      </w:r>
      <w:r>
        <w:rPr>
          <w:rFonts w:ascii="华文仿宋" w:hAnsi="华文仿宋" w:eastAsia="华文仿宋" w:cs="华文仿宋"/>
          <w:color w:val="000000"/>
        </w:rPr>
        <w:fldChar w:fldCharType="begin"/>
      </w:r>
      <w:r>
        <w:rPr>
          <w:rFonts w:ascii="华文仿宋" w:hAnsi="华文仿宋" w:eastAsia="华文仿宋" w:cs="华文仿宋"/>
          <w:color w:val="000000"/>
        </w:rPr>
        <w:instrText xml:space="preserve">SEQ Figure \* ARABIC</w:instrText>
      </w:r>
      <w:r>
        <w:rPr>
          <w:rFonts w:ascii="华文仿宋" w:hAnsi="华文仿宋" w:eastAsia="华文仿宋" w:cs="华文仿宋"/>
          <w:color w:val="000000"/>
        </w:rPr>
        <w:fldChar w:fldCharType="separate"/>
      </w:r>
      <w:r>
        <w:rPr>
          <w:rFonts w:ascii="华文仿宋" w:hAnsi="华文仿宋" w:eastAsia="华文仿宋" w:cs="华文仿宋"/>
          <w:color w:val="000000"/>
        </w:rPr>
        <w:t>2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color w:val="000000"/>
        </w:rPr>
        <w:t xml:space="preserve">  AI 业务查询与工业决策</w:t>
      </w:r>
    </w:p>
    <w:p w14:paraId="0FD48ED6">
      <w:pPr>
        <w:pStyle w:val="4"/>
      </w:pPr>
      <w:r>
        <w:rPr>
          <w:rFonts w:ascii="黑体" w:hAnsi="黑体" w:eastAsia="黑体" w:cs="黑体"/>
          <w:color w:val="000000"/>
        </w:rPr>
        <w:t>3.4 制造执行与质量管理</w:t>
      </w:r>
    </w:p>
    <w:p w14:paraId="5A1997D5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ERP 工单下达通过消息进入 MES，制造执行侧提供工单、工序派工、流转卡、SN、SOP 和报工相关功能。APP、PDA 与 Station 按各自操作场景接入后端，形成不同岗位的业务办理和现场数据录入入口。</w:t>
      </w:r>
    </w:p>
    <w:p w14:paraId="0B2CA36A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质量管理包括 IQC、IPQC、OQC、检验模板及异常处置。以 IQC 为例，检验项目值由规则引擎判定，完成信息经消息与服务规则回到 ERP 关联单据和库存依据。Vision 的检测与 OCR 为物料核对、标签读取和场景化检测提供扩展能力，正式检验结论仍需按质量业务流程形成。</w:t>
      </w:r>
    </w:p>
    <w:p w14:paraId="2F6D9BA0">
      <w:pPr>
        <w:pStyle w:val="4"/>
      </w:pPr>
      <w:r>
        <w:rPr>
          <w:rFonts w:ascii="黑体" w:hAnsi="黑体" w:eastAsia="黑体" w:cs="黑体"/>
          <w:color w:val="000000"/>
        </w:rPr>
        <w:t>3.5 设备运维与工业数据接入</w:t>
      </w:r>
    </w:p>
    <w:p w14:paraId="5D6D2011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设备管理提供设备档案、点检、保养、维修和安灯等功能。设备状态变化可提示受影响工单，保养规则用于识别到期任务。IoT 通过 MQTT 接入设备数据，提供解析、告警及实时展示，并可经适配接口创建 MES 安灯。</w:t>
      </w:r>
    </w:p>
    <w:p w14:paraId="13CAA7E0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Station 和 PDA 承担不同现场条件下的点检与作业记录。现有设备状态规则、告警和维修流程属于设备管理能力；基于长期工业数据的故障预测及预测性维护效果尚需</w:t>
      </w:r>
      <w:r>
        <w:rPr>
          <w:rFonts w:hint="eastAsia" w:ascii="华文仿宋" w:hAnsi="华文仿宋" w:eastAsia="华文仿宋" w:cs="华文仿宋"/>
          <w:b w:val="0"/>
          <w:i w:val="0"/>
          <w:color w:val="000000"/>
          <w:lang w:val="en-US" w:eastAsia="zh-CN"/>
        </w:rPr>
        <w:t>厂商大规模使用后进行</w:t>
      </w:r>
      <w:r>
        <w:rPr>
          <w:rFonts w:ascii="华文仿宋" w:hAnsi="华文仿宋" w:eastAsia="华文仿宋" w:cs="华文仿宋"/>
          <w:b w:val="0"/>
          <w:i w:val="0"/>
          <w:color w:val="000000"/>
        </w:rPr>
        <w:t>验证。</w:t>
      </w:r>
    </w:p>
    <w:p w14:paraId="1C632744">
      <w:pPr>
        <w:pStyle w:val="4"/>
      </w:pPr>
      <w:r>
        <w:rPr>
          <w:rFonts w:ascii="黑体" w:hAnsi="黑体" w:eastAsia="黑体" w:cs="黑体"/>
          <w:color w:val="000000"/>
        </w:rPr>
        <w:t>3.6 业务执行控制</w:t>
      </w:r>
    </w:p>
    <w:p w14:paraId="45A62A09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工业分析、人工审阅与业务执行分阶段处理。涉及业务写入时，由服务端核对实时权限、租户、版本、来源新鲜度及批准动作；消息和任务重放受幂等约束。结果未确认的操作保留断点，不通过自动重发或修改状态认定成功。</w:t>
      </w:r>
    </w:p>
    <w:p w14:paraId="7CAB1D22">
      <w:pPr>
        <w:keepNext/>
        <w:spacing w:before="120" w:after="60"/>
        <w:ind w:firstLine="0"/>
        <w:jc w:val="center"/>
      </w:pPr>
      <w:r>
        <w:rPr>
          <w:rFonts w:ascii="华文仿宋" w:hAnsi="华文仿宋" w:eastAsia="华文仿宋" w:cs="华文仿宋"/>
          <w:color w:val="000000"/>
        </w:rPr>
        <w:drawing>
          <wp:inline distT="0" distB="0" distL="114300" distR="114300">
            <wp:extent cx="5939790" cy="3530600"/>
            <wp:effectExtent l="0" t="0" r="3810" b="0"/>
            <wp:docPr id="4" name="Picture 4" descr="后端模块装配与协作。依据既有 Archify 后端模块资料及应用装配代码重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后端模块装配与协作。依据既有 Archify 后端模块资料及应用装配代码重排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D230">
      <w:pPr>
        <w:pStyle w:val="15"/>
        <w:keepNext w:val="0"/>
        <w:jc w:val="center"/>
      </w:pPr>
      <w:r>
        <w:rPr>
          <w:rFonts w:ascii="华文仿宋" w:hAnsi="华文仿宋" w:eastAsia="华文仿宋" w:cs="华文仿宋"/>
          <w:color w:val="000000"/>
        </w:rPr>
        <w:t xml:space="preserve">图 </w:t>
      </w:r>
      <w:r>
        <w:rPr>
          <w:rFonts w:ascii="华文仿宋" w:hAnsi="华文仿宋" w:eastAsia="华文仿宋" w:cs="华文仿宋"/>
          <w:color w:val="000000"/>
        </w:rPr>
        <w:fldChar w:fldCharType="begin"/>
      </w:r>
      <w:r>
        <w:rPr>
          <w:rFonts w:ascii="华文仿宋" w:hAnsi="华文仿宋" w:eastAsia="华文仿宋" w:cs="华文仿宋"/>
          <w:color w:val="000000"/>
        </w:rPr>
        <w:instrText xml:space="preserve">SEQ Figure \* ARABIC</w:instrText>
      </w:r>
      <w:r>
        <w:rPr>
          <w:rFonts w:ascii="华文仿宋" w:hAnsi="华文仿宋" w:eastAsia="华文仿宋" w:cs="华文仿宋"/>
          <w:color w:val="000000"/>
        </w:rPr>
        <w:fldChar w:fldCharType="separate"/>
      </w:r>
      <w:r>
        <w:rPr>
          <w:rFonts w:ascii="华文仿宋" w:hAnsi="华文仿宋" w:eastAsia="华文仿宋" w:cs="华文仿宋"/>
          <w:color w:val="000000"/>
        </w:rPr>
        <w:t>3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color w:val="000000"/>
        </w:rPr>
        <w:t xml:space="preserve">  后端模块装配与协作</w:t>
      </w:r>
    </w:p>
    <w:p w14:paraId="221F8E1D">
      <w:pPr>
        <w:pStyle w:val="3"/>
      </w:pPr>
      <w:bookmarkStart w:id="8" w:name="_Toc23827"/>
      <w:bookmarkStart w:id="9" w:name="_Toc22047"/>
      <w:r>
        <w:rPr>
          <w:rFonts w:ascii="黑体" w:hAnsi="黑体" w:eastAsia="黑体" w:cs="黑体"/>
          <w:color w:val="000000"/>
        </w:rPr>
        <w:t>四、系统集成机制</w:t>
      </w:r>
      <w:bookmarkEnd w:id="8"/>
      <w:bookmarkEnd w:id="9"/>
    </w:p>
    <w:tbl>
      <w:tblPr>
        <w:tblStyle w:val="33"/>
        <w:tblW w:w="0" w:type="auto"/>
        <w:jc w:val="center"/>
        <w:tblBorders>
          <w:top w:val="single" w:color="D5E0EA" w:sz="4" w:space="0"/>
          <w:left w:val="single" w:color="D5E0EA" w:sz="4" w:space="0"/>
          <w:bottom w:val="single" w:color="D5E0EA" w:sz="4" w:space="0"/>
          <w:right w:val="single" w:color="D5E0EA" w:sz="4" w:space="0"/>
          <w:insideH w:val="single" w:color="D5E0EA" w:sz="4" w:space="0"/>
          <w:insideV w:val="single" w:color="D5E0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4025"/>
      </w:tblGrid>
      <w:tr w14:paraId="497990E0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85E09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集成环节</w:t>
            </w:r>
          </w:p>
        </w:tc>
        <w:tc>
          <w:tcPr>
            <w:tcW w:w="3515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A637B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实现方式</w:t>
            </w:r>
          </w:p>
        </w:tc>
        <w:tc>
          <w:tcPr>
            <w:tcW w:w="4025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9CE39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核验对象</w:t>
            </w:r>
          </w:p>
        </w:tc>
      </w:tr>
      <w:tr w14:paraId="793FC839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8D2CB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ERP 与 MES</w:t>
            </w:r>
          </w:p>
        </w:tc>
        <w:tc>
          <w:tcPr>
            <w:tcW w:w="351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9D8F2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主数据桥接、工单下达及检验完成等消息消费</w:t>
            </w:r>
          </w:p>
        </w:tc>
        <w:tc>
          <w:tcPr>
            <w:tcW w:w="402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86DB0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主数据语义、业务关联、租户和回写结果</w:t>
            </w:r>
          </w:p>
        </w:tc>
      </w:tr>
      <w:tr w14:paraId="64319B73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D23A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多客户端接入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28C87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APP/PDA 调用业务接口，Station 调用工位设备通道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629FC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身份、权限、工位或业务对象及提交结果</w:t>
            </w:r>
          </w:p>
        </w:tc>
      </w:tr>
      <w:tr w14:paraId="4A460AE1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D4A8E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视觉服务接入</w:t>
            </w:r>
          </w:p>
        </w:tc>
        <w:tc>
          <w:tcPr>
            <w:tcW w:w="351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3B4B7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主系统视觉客户端调用 HTTP 接口</w:t>
            </w:r>
          </w:p>
        </w:tc>
        <w:tc>
          <w:tcPr>
            <w:tcW w:w="402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D36ED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接口鉴权、识别结果、场景配置及业务采纳规则</w:t>
            </w:r>
          </w:p>
        </w:tc>
      </w:tr>
      <w:tr w14:paraId="782D27AC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AAD7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工业数据接入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B9DA5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MQTT 消息解析、数据记录、告警与安灯适配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BD28E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数据来源、设备映射、时间及事件结果</w:t>
            </w:r>
          </w:p>
        </w:tc>
      </w:tr>
      <w:tr w14:paraId="67E82FDE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9EC72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AI 与工业服务</w:t>
            </w:r>
          </w:p>
        </w:tc>
        <w:tc>
          <w:tcPr>
            <w:tcW w:w="351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33075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工具查询、RAG、Flow 及确定性推演服务</w:t>
            </w:r>
          </w:p>
        </w:tc>
        <w:tc>
          <w:tcPr>
            <w:tcW w:w="402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F83FC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查询范围、资料依据、指标口径及执行条件</w:t>
            </w:r>
          </w:p>
        </w:tc>
      </w:tr>
    </w:tbl>
    <w:p w14:paraId="5EF8D156">
      <w:pPr>
        <w:spacing w:after="20"/>
      </w:pPr>
    </w:p>
    <w:p w14:paraId="11772426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业务模块通过公共 DTO、服务接口和消息合同协作。异步任务与消费者需恢复租户及业务上下文；跨数据源调用按实际服务边界切换。此类实现降低接口组合与多端扩展成本。</w:t>
      </w:r>
    </w:p>
    <w:p w14:paraId="1ABC884B">
      <w:pPr>
        <w:pStyle w:val="3"/>
      </w:pPr>
      <w:bookmarkStart w:id="10" w:name="_Toc30225"/>
      <w:r>
        <w:rPr>
          <w:rFonts w:ascii="黑体" w:hAnsi="黑体" w:eastAsia="黑体" w:cs="黑体"/>
          <w:color w:val="000000"/>
        </w:rPr>
        <w:t>五、技术特点与应用价值</w:t>
      </w:r>
      <w:bookmarkEnd w:id="10"/>
    </w:p>
    <w:p w14:paraId="5E006285">
      <w:pPr>
        <w:pStyle w:val="4"/>
      </w:pPr>
      <w:r>
        <w:rPr>
          <w:rFonts w:ascii="黑体" w:hAnsi="黑体" w:eastAsia="黑体" w:cs="黑体"/>
          <w:color w:val="000000"/>
        </w:rPr>
        <w:t>5.1 统一业务对象与多端协同</w:t>
      </w:r>
    </w:p>
    <w:p w14:paraId="27B9047D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平台以物料、工单、单据及现场记录为业务组织基础，由 PC、APP、PDA 与 Station 承担不同岗位和设备形态的操作，Vision 提供专项识别能力。各项目通过对应业务接口协作，覆盖管理、现场操作和数据采集场景。</w:t>
      </w:r>
    </w:p>
    <w:p w14:paraId="33015C0C">
      <w:pPr>
        <w:pStyle w:val="4"/>
      </w:pPr>
      <w:r>
        <w:rPr>
          <w:rFonts w:ascii="黑体" w:hAnsi="黑体" w:eastAsia="黑体" w:cs="黑体"/>
          <w:color w:val="000000"/>
        </w:rPr>
        <w:t>5.2 知识检索与工业计算协作</w:t>
      </w:r>
    </w:p>
    <w:p w14:paraId="155D3076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自然语言查询和企业知识检索降低业务信息访问门槛，确定性服务负责工业数值、排程和方案比较。该分工保留业务计算依据，并支持模型服务与查询、流程组件的配置和扩展。</w:t>
      </w:r>
    </w:p>
    <w:p w14:paraId="2D004F96">
      <w:pPr>
        <w:pStyle w:val="4"/>
      </w:pPr>
      <w:r>
        <w:rPr>
          <w:rFonts w:ascii="黑体" w:hAnsi="黑体" w:eastAsia="黑体" w:cs="黑体"/>
          <w:color w:val="000000"/>
        </w:rPr>
        <w:t>5.3 视觉场景与现场接入扩展</w:t>
      </w:r>
    </w:p>
    <w:p w14:paraId="4C755203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视觉服务通过独立接口和场景模型组织方式支持不同识别任务；Station 通过驱动和工位接口连接固定设备，PDA 通过多种扫码方式支持移动作业。专项组件可以按业务场景部署和验证，主系统保留业务处理规则与记录。</w:t>
      </w:r>
    </w:p>
    <w:p w14:paraId="2174B35D">
      <w:pPr>
        <w:pStyle w:val="4"/>
      </w:pPr>
      <w:r>
        <w:rPr>
          <w:rFonts w:ascii="黑体" w:hAnsi="黑体" w:eastAsia="黑体" w:cs="黑体"/>
          <w:color w:val="000000"/>
        </w:rPr>
        <w:t>5.4 执行过程可追溯</w:t>
      </w:r>
    </w:p>
    <w:p w14:paraId="017AEF8E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权限、版本、来源、审批和幂等控制共同约束业务执行，相关过程通过业务记录、消息、实例和动作状态回查。该机制有助于区分分析建议、批准动作与实际执行结果，便于集成问题定位和责任核对。</w:t>
      </w:r>
    </w:p>
    <w:p w14:paraId="3B71D3FA">
      <w:pPr>
        <w:pStyle w:val="4"/>
      </w:pPr>
      <w:r>
        <w:rPr>
          <w:rFonts w:ascii="黑体" w:hAnsi="黑体" w:eastAsia="黑体" w:cs="黑体"/>
          <w:color w:val="000000"/>
        </w:rPr>
        <w:t>5.5 Nexus-ERP 主项目技术创新点</w:t>
      </w:r>
    </w:p>
    <w:p w14:paraId="5EB45EA0">
      <w:r>
        <w:rPr>
          <w:rFonts w:ascii="华文仿宋" w:hAnsi="华文仿宋" w:eastAsia="华文仿宋" w:cs="华文仿宋"/>
          <w:color w:val="000000"/>
        </w:rPr>
        <w:t>主项目围绕工业软件的数据一致性、计划约束与执行控制，将 AI 辅助能力纳入业务流程。其技术创新主要体现在以下五个方面。</w:t>
      </w:r>
    </w:p>
    <w:p w14:paraId="2FF75CCA">
      <w:pPr>
        <w:ind w:firstLine="0"/>
      </w:pPr>
      <w:r>
        <w:rPr>
          <w:rFonts w:ascii="华文仿宋" w:hAnsi="华文仿宋" w:eastAsia="华文仿宋" w:cs="华文仿宋"/>
          <w:b/>
          <w:color w:val="000000"/>
        </w:rPr>
        <w:t>（1）面向业务对象的 AI 工具调用。</w:t>
      </w:r>
      <w:r>
        <w:rPr>
          <w:rFonts w:ascii="华文仿宋" w:hAnsi="华文仿宋" w:eastAsia="华文仿宋" w:cs="华文仿宋"/>
          <w:color w:val="000000"/>
        </w:rPr>
        <w:t xml:space="preserve">自然语言查询与工单、物料、采购、库存等业务对象连接，工具在授权范围内读取数据，并提供原始记录回查路径。企业知识检索用于补充制度和作业资料，使业务事实与资料解释分别有据可查。 </w:t>
      </w:r>
    </w:p>
    <w:p w14:paraId="509F0FFF">
      <w:pPr>
        <w:ind w:firstLine="0"/>
      </w:pPr>
      <w:r>
        <w:rPr>
          <w:rFonts w:ascii="华文仿宋" w:hAnsi="华文仿宋" w:eastAsia="华文仿宋" w:cs="华文仿宋"/>
          <w:b/>
          <w:color w:val="000000"/>
        </w:rPr>
        <w:t>（2）工业计算与模型说明分工。</w:t>
      </w:r>
      <w:r>
        <w:rPr>
          <w:rFonts w:ascii="华文仿宋" w:hAnsi="华文仿宋" w:eastAsia="华文仿宋" w:cs="华文仿宋"/>
          <w:color w:val="000000"/>
        </w:rPr>
        <w:t xml:space="preserve">缺料、资源负荷、拖期和方案排序由排程及决策服务计算，模型依据已装配的事实和指标生成说明。计算输入、单位口径、约束条件与结果均可回查，为方案复核和对比提供基础。 </w:t>
      </w:r>
    </w:p>
    <w:p w14:paraId="57063C3F">
      <w:pPr>
        <w:ind w:firstLine="0"/>
      </w:pPr>
      <w:r>
        <w:rPr>
          <w:rFonts w:ascii="华文仿宋" w:hAnsi="华文仿宋" w:eastAsia="华文仿宋" w:cs="华文仿宋"/>
          <w:b/>
          <w:color w:val="000000"/>
        </w:rPr>
        <w:t>（3）受业务条件约束的执行机制。</w:t>
      </w:r>
      <w:r>
        <w:rPr>
          <w:rFonts w:ascii="华文仿宋" w:hAnsi="华文仿宋" w:eastAsia="华文仿宋" w:cs="华文仿宋"/>
          <w:color w:val="000000"/>
        </w:rPr>
        <w:t xml:space="preserve">租户、权限、来源、版本、新鲜度、审批和幂等规则共同决定动作是否执行。分析结果、人工批准与业务写入分别记录，支持异步重试处理、执行状态核对和责任追溯。 </w:t>
      </w:r>
    </w:p>
    <w:p w14:paraId="18D1344A">
      <w:pPr>
        <w:ind w:firstLine="0"/>
        <w:rPr>
          <w:rFonts w:ascii="华文仿宋" w:hAnsi="华文仿宋" w:eastAsia="华文仿宋" w:cs="华文仿宋"/>
          <w:color w:val="000000"/>
        </w:rPr>
      </w:pPr>
      <w:r>
        <w:rPr>
          <w:rFonts w:ascii="华文仿宋" w:hAnsi="华文仿宋" w:eastAsia="华文仿宋" w:cs="华文仿宋"/>
          <w:b/>
          <w:color w:val="000000"/>
        </w:rPr>
        <w:t>（4）共享业务规则的多端接入。</w:t>
      </w:r>
      <w:r>
        <w:rPr>
          <w:rFonts w:ascii="华文仿宋" w:hAnsi="华文仿宋" w:eastAsia="华文仿宋" w:cs="华文仿宋"/>
          <w:color w:val="000000"/>
        </w:rPr>
        <w:t xml:space="preserve">APP、PDA、Station 和 Vision 分别服务于移动管理、扫码作业、固定工位及视觉识别场景。主项目通过统一业务接口和专项服务接口承接各类输入，保留 ERP/MES 的业务校验与记录体系，为不同现场条件下的系统集成提供接入基础。 </w:t>
      </w:r>
    </w:p>
    <w:p w14:paraId="219BDCAF">
      <w:pPr>
        <w:ind w:firstLine="0"/>
      </w:pPr>
      <w:r>
        <w:rPr>
          <w:rFonts w:ascii="华文仿宋" w:hAnsi="华文仿宋" w:eastAsia="华文仿宋" w:cs="华文仿宋"/>
          <w:b/>
          <w:color w:val="000000"/>
        </w:rPr>
        <w:t>（5）跨模块的生产与异常协同。</w:t>
      </w:r>
      <w:r>
        <w:rPr>
          <w:rFonts w:ascii="华文仿宋" w:hAnsi="华文仿宋" w:eastAsia="华文仿宋" w:cs="华文仿宋"/>
          <w:color w:val="000000"/>
        </w:rPr>
        <w:t xml:space="preserve">ERP 计划与工单、MES 工序与质量记录、设备状态及 IoT 告警通过主数据桥接、API 和消息机制建立业务关联。质量结果能够关联 ERP 单据，设备事件能够进入制造执行与安灯处理，为工业软件在真实或仿真环境中的验证提供可追溯的业务链路。 </w:t>
      </w:r>
    </w:p>
    <w:p w14:paraId="465BE6C1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应用价值主要体现在跨岗位信息获取、生产约束分析和现场记录协同。现阶段尚未形成统一口径的客户现场效率、成本或收益对照数据，本文不提供未经验证的量化改善结论。</w:t>
      </w:r>
    </w:p>
    <w:p w14:paraId="33F5F745">
      <w:pPr>
        <w:pStyle w:val="3"/>
      </w:pPr>
      <w:bookmarkStart w:id="11" w:name="_Toc32268"/>
      <w:r>
        <w:rPr>
          <w:rFonts w:ascii="黑体" w:hAnsi="黑体" w:eastAsia="黑体" w:cs="黑体"/>
          <w:color w:val="000000"/>
        </w:rPr>
        <w:t>六、开源基础与后续工作</w:t>
      </w:r>
      <w:bookmarkEnd w:id="11"/>
    </w:p>
    <w:p w14:paraId="3C1D56AC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主项目基于 RuoYi-Vue-Plus v5.6.0 二次开发，仓库声明采用 MIT 许可证并保留上游归属。可复用内容包括业务分层、公共合同、排程算法、AI 工具、流程节点、客户端接口及相应测试。</w:t>
      </w:r>
    </w:p>
    <w:p w14:paraId="06763904">
      <w:pPr>
        <w:jc w:val="both"/>
      </w:pPr>
      <w:r>
        <w:rPr>
          <w:rFonts w:ascii="华文仿宋" w:hAnsi="华文仿宋" w:eastAsia="华文仿宋" w:cs="华文仿宋"/>
          <w:b w:val="0"/>
          <w:i w:val="0"/>
          <w:color w:val="000000"/>
        </w:rPr>
        <w:t>各子项目、第三方依赖、模型权重与数据集按各自许可管理。后续工作包括完善可复现构建和验证入口、扩大独立工业案例覆盖、开展终端与现场设备联调，以及建立长期稳定性和业务效果评估方法。公开代码、部署说明、贡献规范和反馈渠道按实际发布情况维护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247" w:right="1247" w:bottom="1247" w:left="1304" w:header="39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A1BE1">
    <w:pPr>
      <w:ind w:firstLine="0"/>
      <w:jc w:val="center"/>
      <w:rPr>
        <w:rFonts w:hint="eastAsia" w:ascii="华文仿宋" w:hAnsi="华文仿宋" w:eastAsia="华文仿宋" w:cs="华文仿宋"/>
        <w:sz w:val="18"/>
      </w:rPr>
    </w:pPr>
    <w:r>
      <w:rPr>
        <w:rFonts w:hint="eastAsia" w:ascii="华文仿宋" w:hAnsi="华文仿宋" w:eastAsia="华文仿宋" w:cs="华文仿宋"/>
        <w:color w:val="000000"/>
        <w:sz w:val="18"/>
      </w:rPr>
      <w:t xml:space="preserve">NexusERP · 作品介绍     |    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begin"/>
    </w:r>
    <w:r>
      <w:rPr>
        <w:rFonts w:hint="eastAsia" w:ascii="华文仿宋" w:hAnsi="华文仿宋" w:eastAsia="华文仿宋" w:cs="华文仿宋"/>
        <w:color w:val="000000"/>
        <w:sz w:val="18"/>
      </w:rPr>
      <w:instrText xml:space="preserve"> PAGE </w:instrText>
    </w:r>
    <w:r>
      <w:rPr>
        <w:rFonts w:hint="eastAsia" w:ascii="华文仿宋" w:hAnsi="华文仿宋" w:eastAsia="华文仿宋" w:cs="华文仿宋"/>
        <w:color w:val="000000"/>
        <w:sz w:val="18"/>
      </w:rPr>
      <w:fldChar w:fldCharType="separate"/>
    </w:r>
    <w:r>
      <w:rPr>
        <w:rFonts w:hint="eastAsia" w:ascii="华文仿宋" w:hAnsi="华文仿宋" w:eastAsia="华文仿宋" w:cs="华文仿宋"/>
        <w:color w:val="000000"/>
        <w:sz w:val="18"/>
      </w:rPr>
      <w:t>2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end"/>
    </w:r>
    <w:r>
      <w:rPr>
        <w:rFonts w:hint="eastAsia" w:ascii="华文仿宋" w:hAnsi="华文仿宋" w:eastAsia="华文仿宋" w:cs="华文仿宋"/>
        <w:color w:val="000000"/>
        <w:sz w:val="18"/>
      </w:rPr>
      <w:t xml:space="preserve"> / 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begin"/>
    </w:r>
    <w:r>
      <w:rPr>
        <w:rFonts w:hint="eastAsia" w:ascii="华文仿宋" w:hAnsi="华文仿宋" w:eastAsia="华文仿宋" w:cs="华文仿宋"/>
        <w:color w:val="000000"/>
        <w:sz w:val="18"/>
      </w:rPr>
      <w:instrText xml:space="preserve"> NUMPAGES </w:instrText>
    </w:r>
    <w:r>
      <w:rPr>
        <w:rFonts w:hint="eastAsia" w:ascii="华文仿宋" w:hAnsi="华文仿宋" w:eastAsia="华文仿宋" w:cs="华文仿宋"/>
        <w:color w:val="000000"/>
        <w:sz w:val="18"/>
      </w:rPr>
      <w:fldChar w:fldCharType="separate"/>
    </w:r>
    <w:r>
      <w:rPr>
        <w:rFonts w:hint="eastAsia" w:ascii="华文仿宋" w:hAnsi="华文仿宋" w:eastAsia="华文仿宋" w:cs="华文仿宋"/>
        <w:color w:val="000000"/>
        <w:sz w:val="18"/>
      </w:rPr>
      <w:t>13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FA5A3">
    <w:pPr>
      <w:ind w:firstLine="0"/>
      <w:jc w:val="center"/>
      <w:rPr>
        <w:rFonts w:hint="eastAsia" w:ascii="华文仿宋" w:hAnsi="华文仿宋" w:eastAsia="华文仿宋" w:cs="华文仿宋"/>
        <w:sz w:val="18"/>
      </w:rPr>
    </w:pPr>
    <w:r>
      <w:rPr>
        <w:rFonts w:hint="eastAsia" w:ascii="华文仿宋" w:hAnsi="华文仿宋" w:eastAsia="华文仿宋" w:cs="华文仿宋"/>
        <w:color w:val="000000"/>
        <w:sz w:val="18"/>
      </w:rPr>
      <w:t xml:space="preserve">NexusERP · 作品介绍     |    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begin"/>
    </w:r>
    <w:r>
      <w:rPr>
        <w:rFonts w:hint="eastAsia" w:ascii="华文仿宋" w:hAnsi="华文仿宋" w:eastAsia="华文仿宋" w:cs="华文仿宋"/>
        <w:color w:val="000000"/>
        <w:sz w:val="18"/>
      </w:rPr>
      <w:instrText xml:space="preserve"> PAGE </w:instrText>
    </w:r>
    <w:r>
      <w:rPr>
        <w:rFonts w:hint="eastAsia" w:ascii="华文仿宋" w:hAnsi="华文仿宋" w:eastAsia="华文仿宋" w:cs="华文仿宋"/>
        <w:color w:val="000000"/>
        <w:sz w:val="18"/>
      </w:rPr>
      <w:fldChar w:fldCharType="separate"/>
    </w:r>
    <w:r>
      <w:rPr>
        <w:rFonts w:hint="eastAsia" w:ascii="华文仿宋" w:hAnsi="华文仿宋" w:eastAsia="华文仿宋" w:cs="华文仿宋"/>
        <w:color w:val="000000"/>
        <w:sz w:val="18"/>
      </w:rPr>
      <w:t>1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end"/>
    </w:r>
    <w:r>
      <w:rPr>
        <w:rFonts w:hint="eastAsia" w:ascii="华文仿宋" w:hAnsi="华文仿宋" w:eastAsia="华文仿宋" w:cs="华文仿宋"/>
        <w:color w:val="000000"/>
        <w:sz w:val="18"/>
      </w:rPr>
      <w:t xml:space="preserve"> / 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begin"/>
    </w:r>
    <w:r>
      <w:rPr>
        <w:rFonts w:hint="eastAsia" w:ascii="华文仿宋" w:hAnsi="华文仿宋" w:eastAsia="华文仿宋" w:cs="华文仿宋"/>
        <w:color w:val="000000"/>
        <w:sz w:val="18"/>
      </w:rPr>
      <w:instrText xml:space="preserve"> NUMPAGES </w:instrText>
    </w:r>
    <w:r>
      <w:rPr>
        <w:rFonts w:hint="eastAsia" w:ascii="华文仿宋" w:hAnsi="华文仿宋" w:eastAsia="华文仿宋" w:cs="华文仿宋"/>
        <w:color w:val="000000"/>
        <w:sz w:val="18"/>
      </w:rPr>
      <w:fldChar w:fldCharType="separate"/>
    </w:r>
    <w:r>
      <w:rPr>
        <w:rFonts w:hint="eastAsia" w:ascii="华文仿宋" w:hAnsi="华文仿宋" w:eastAsia="华文仿宋" w:cs="华文仿宋"/>
        <w:color w:val="000000"/>
        <w:sz w:val="18"/>
      </w:rPr>
      <w:t>13</w:t>
    </w:r>
    <w:r>
      <w:rPr>
        <w:rFonts w:hint="eastAsia" w:ascii="华文仿宋" w:hAnsi="华文仿宋" w:eastAsia="华文仿宋" w:cs="华文仿宋"/>
        <w:color w:val="00000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66D4A">
    <w:pPr>
      <w:rPr>
        <w:rFonts w:hint="eastAsia" w:ascii="华文仿宋" w:hAnsi="华文仿宋" w:eastAsia="华文仿宋" w:cs="华文仿宋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54BCB">
    <w:pPr>
      <w:pStyle w:val="25"/>
      <w:pBdr>
        <w:bottom w:val="single" w:color="C9D8E7" w:sz="4" w:space="7"/>
      </w:pBdr>
      <w:ind w:firstLine="0"/>
      <w:jc w:val="right"/>
      <w:rPr>
        <w:rFonts w:hint="eastAsia" w:ascii="华文仿宋" w:hAnsi="华文仿宋" w:eastAsia="华文仿宋" w:cs="华文仿宋"/>
        <w:sz w:val="18"/>
      </w:rPr>
    </w:pPr>
    <w:r>
      <w:rPr>
        <w:rFonts w:hint="eastAsia" w:ascii="华文仿宋" w:hAnsi="华文仿宋" w:eastAsia="华文仿宋" w:cs="华文仿宋"/>
        <w:color w:val="000000"/>
        <w:sz w:val="18"/>
      </w:rPr>
      <w:t>N</w:t>
    </w:r>
    <w:r>
      <w:rPr>
        <w:rFonts w:hint="eastAsia" w:ascii="华文仿宋" w:hAnsi="华文仿宋" w:eastAsia="华文仿宋" w:cs="华文仿宋"/>
        <w:color w:val="000000"/>
        <w:sz w:val="18"/>
        <w:lang w:val="en-US" w:eastAsia="zh-CN"/>
      </w:rPr>
      <w:t>exus</w:t>
    </w:r>
    <w:r>
      <w:rPr>
        <w:rFonts w:hint="eastAsia" w:ascii="华文仿宋" w:hAnsi="华文仿宋" w:eastAsia="华文仿宋" w:cs="华文仿宋"/>
        <w:color w:val="000000"/>
        <w:sz w:val="18"/>
      </w:rPr>
      <w:t>ERP  /  AI+ 工业软件作品介绍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2454B">
    <w:pPr>
      <w:pStyle w:val="25"/>
      <w:rPr>
        <w:rFonts w:hint="eastAsia" w:ascii="华文仿宋" w:hAnsi="华文仿宋" w:eastAsia="华文仿宋" w:cs="华文仿宋"/>
        <w:sz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74BA9">
    <w:pPr>
      <w:rPr>
        <w:rFonts w:hint="eastAsia" w:ascii="华文仿宋" w:hAnsi="华文仿宋" w:eastAsia="华文仿宋" w:cs="华文仿宋"/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7C357D"/>
    <w:rsid w:val="4464500A"/>
    <w:rsid w:val="66D1339D"/>
    <w:rsid w:val="741C66C6"/>
    <w:rsid w:val="74EB26E9"/>
    <w:rsid w:val="7796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华文仿宋" w:hAnsi="华文仿宋" w:eastAsia="华文仿宋" w:cs="华文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24" w:lineRule="auto"/>
      <w:ind w:firstLine="480"/>
    </w:pPr>
    <w:rPr>
      <w:rFonts w:ascii="华文仿宋" w:hAnsi="华文仿宋" w:eastAsia="华文仿宋" w:cs="华文仿宋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widowControl/>
      <w:spacing w:before="240" w:after="140" w:line="324" w:lineRule="auto"/>
      <w:ind w:firstLine="0"/>
      <w:outlineLvl w:val="0"/>
    </w:pPr>
    <w:rPr>
      <w:rFonts w:ascii="黑体" w:hAnsi="黑体" w:eastAsia="黑体" w:cs="黑体"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widowControl/>
      <w:spacing w:before="240" w:after="140" w:line="324" w:lineRule="auto"/>
      <w:ind w:firstLine="0"/>
      <w:outlineLvl w:val="1"/>
    </w:pPr>
    <w:rPr>
      <w:rFonts w:ascii="黑体" w:hAnsi="黑体" w:eastAsia="黑体" w:cs="黑体"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widowControl/>
      <w:spacing w:before="240" w:after="140" w:line="324" w:lineRule="auto"/>
      <w:ind w:firstLine="0"/>
      <w:outlineLvl w:val="2"/>
    </w:pPr>
    <w:rPr>
      <w:rFonts w:ascii="黑体" w:hAnsi="黑体" w:eastAsia="黑体" w:cs="黑体"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="黑体" w:hAnsi="黑体" w:eastAsia="黑体" w:cs="黑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="黑体" w:hAnsi="黑体" w:eastAsia="黑体" w:cs="黑体"/>
      <w:color w:val="00000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="黑体" w:hAnsi="黑体" w:eastAsia="黑体" w:cs="黑体"/>
      <w:i/>
      <w:iCs/>
      <w:color w:val="00000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="黑体" w:hAnsi="黑体" w:eastAsia="黑体" w:cs="黑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="黑体" w:hAnsi="黑体" w:eastAsia="黑体" w:cs="黑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="黑体" w:hAnsi="黑体" w:eastAsia="黑体" w:cs="黑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  <w:rPr>
      <w:rFonts w:ascii="华文仿宋" w:hAnsi="华文仿宋" w:eastAsia="华文仿宋" w:cs="华文仿宋"/>
      <w:color w:val="000000"/>
    </w:rPr>
  </w:style>
  <w:style w:type="table" w:default="1" w:styleId="33">
    <w:name w:val="Normal Table"/>
    <w:semiHidden/>
    <w:unhideWhenUsed/>
    <w:qFormat/>
    <w:uiPriority w:val="99"/>
    <w:rPr>
      <w:rFonts w:ascii="华文仿宋" w:hAnsi="华文仿宋" w:eastAsia="华文仿宋" w:cs="华文仿宋"/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华文仿宋" w:hAnsi="华文仿宋" w:eastAsia="华文仿宋" w:cs="华文仿宋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华文仿宋" w:hAnsi="华文仿宋" w:eastAsia="华文仿宋" w:cs="华文仿宋"/>
      <w:color w:val="000000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华文仿宋" w:hAnsi="华文仿宋" w:eastAsia="华文仿宋" w:cs="华文仿宋"/>
      <w:color w:val="000000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00" w:line="324" w:lineRule="auto"/>
      <w:ind w:left="397" w:hanging="283"/>
      <w:contextualSpacing/>
    </w:pPr>
    <w:rPr>
      <w:rFonts w:ascii="华文仿宋" w:hAnsi="华文仿宋" w:eastAsia="华文仿宋" w:cs="华文仿宋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00" w:line="276" w:lineRule="auto"/>
      <w:ind w:firstLine="0"/>
    </w:pPr>
    <w:rPr>
      <w:rFonts w:ascii="华文仿宋" w:hAnsi="华文仿宋" w:eastAsia="华文仿宋" w:cs="华文仿宋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00" w:line="324" w:lineRule="auto"/>
      <w:ind w:left="397" w:hanging="283"/>
      <w:contextualSpacing/>
    </w:pPr>
    <w:rPr>
      <w:rFonts w:ascii="华文仿宋" w:hAnsi="华文仿宋" w:eastAsia="华文仿宋" w:cs="华文仿宋"/>
      <w:color w:val="000000"/>
      <w:sz w:val="24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rFonts w:ascii="华文仿宋" w:hAnsi="华文仿宋" w:eastAsia="华文仿宋" w:cs="华文仿宋"/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华文仿宋" w:hAnsi="华文仿宋" w:eastAsia="华文仿宋" w:cs="华文仿宋"/>
      <w:color w:val="000000"/>
    </w:r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  <w:rPr>
      <w:rFonts w:ascii="华文仿宋" w:hAnsi="华文仿宋" w:eastAsia="华文仿宋" w:cs="华文仿宋"/>
      <w:color w:val="00000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华文仿宋" w:hAnsi="华文仿宋" w:eastAsia="华文仿宋" w:cs="华文仿宋"/>
      <w:color w:val="000000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华文仿宋" w:hAnsi="华文仿宋" w:eastAsia="华文仿宋" w:cs="华文仿宋"/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华文仿宋" w:hAnsi="华文仿宋" w:eastAsia="华文仿宋" w:cs="华文仿宋"/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华文仿宋" w:hAnsi="华文仿宋" w:eastAsia="华文仿宋" w:cs="华文仿宋"/>
      <w:color w:val="000000"/>
    </w:r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华文仿宋" w:hAnsi="华文仿宋" w:eastAsia="华文仿宋" w:cs="华文仿宋"/>
      <w:color w:val="000000"/>
    </w:r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华文仿宋" w:hAnsi="华文仿宋" w:eastAsia="华文仿宋" w:cs="华文仿宋"/>
      <w:color w:val="000000"/>
    </w:rPr>
  </w:style>
  <w:style w:type="paragraph" w:styleId="26">
    <w:name w:val="toc 1"/>
    <w:basedOn w:val="1"/>
    <w:next w:val="1"/>
    <w:semiHidden/>
    <w:unhideWhenUsed/>
    <w:qFormat/>
    <w:uiPriority w:val="39"/>
    <w:pPr>
      <w:spacing w:after="200"/>
      <w:ind w:firstLine="0"/>
    </w:pPr>
    <w:rPr>
      <w:rFonts w:ascii="华文仿宋" w:hAnsi="华文仿宋" w:eastAsia="华文仿宋" w:cs="华文仿宋"/>
      <w:color w:val="000000"/>
      <w:sz w:val="22"/>
    </w:rPr>
  </w:style>
  <w:style w:type="paragraph" w:styleId="27">
    <w:name w:val="Subtitle"/>
    <w:basedOn w:val="1"/>
    <w:next w:val="1"/>
    <w:link w:val="145"/>
    <w:qFormat/>
    <w:uiPriority w:val="11"/>
    <w:pPr>
      <w:widowControl/>
      <w:spacing w:after="100" w:line="324" w:lineRule="auto"/>
      <w:ind w:firstLine="0"/>
    </w:pPr>
    <w:rPr>
      <w:rFonts w:ascii="黑体" w:hAnsi="黑体" w:eastAsia="黑体" w:cs="黑体"/>
      <w:i/>
      <w:iCs/>
      <w:color w:val="000000"/>
      <w:spacing w:val="15"/>
      <w:sz w:val="28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  <w:rPr>
      <w:rFonts w:ascii="华文仿宋" w:hAnsi="华文仿宋" w:eastAsia="华文仿宋" w:cs="华文仿宋"/>
      <w:color w:val="000000"/>
    </w:rPr>
  </w:style>
  <w:style w:type="paragraph" w:styleId="29">
    <w:name w:val="Body Text 2"/>
    <w:basedOn w:val="1"/>
    <w:link w:val="148"/>
    <w:unhideWhenUsed/>
    <w:qFormat/>
    <w:uiPriority w:val="99"/>
    <w:pPr>
      <w:spacing w:after="120" w:line="480" w:lineRule="auto"/>
    </w:pPr>
    <w:rPr>
      <w:rFonts w:ascii="华文仿宋" w:hAnsi="华文仿宋" w:eastAsia="华文仿宋" w:cs="华文仿宋"/>
      <w:color w:val="000000"/>
    </w:r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华文仿宋" w:hAnsi="华文仿宋" w:eastAsia="华文仿宋" w:cs="华文仿宋"/>
      <w:color w:val="000000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华文仿宋" w:hAnsi="华文仿宋" w:eastAsia="华文仿宋" w:cs="华文仿宋"/>
      <w:color w:val="000000"/>
    </w:rPr>
  </w:style>
  <w:style w:type="paragraph" w:styleId="32">
    <w:name w:val="Title"/>
    <w:basedOn w:val="1"/>
    <w:next w:val="1"/>
    <w:link w:val="144"/>
    <w:qFormat/>
    <w:uiPriority w:val="10"/>
    <w:pPr>
      <w:widowControl/>
      <w:pBdr>
        <w:bottom w:val="single" w:color="4F81BD" w:themeColor="accent1" w:sz="8" w:space="4"/>
      </w:pBdr>
      <w:spacing w:after="100" w:line="324" w:lineRule="auto"/>
      <w:ind w:firstLine="0"/>
      <w:contextualSpacing/>
    </w:pPr>
    <w:rPr>
      <w:rFonts w:ascii="黑体" w:hAnsi="黑体" w:eastAsia="黑体" w:cs="黑体"/>
      <w:color w:val="000000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rPr>
      <w:rFonts w:ascii="华文仿宋" w:hAnsi="华文仿宋" w:eastAsia="华文仿宋" w:cs="华文仿宋"/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rFonts w:ascii="华文仿宋" w:hAnsi="华文仿宋" w:eastAsia="华文仿宋" w:cs="华文仿宋"/>
      <w:b/>
      <w:bCs/>
      <w:color w:val="000000"/>
    </w:rPr>
  </w:style>
  <w:style w:type="character" w:styleId="135">
    <w:name w:val="FollowedHyperlink"/>
    <w:basedOn w:val="133"/>
    <w:semiHidden/>
    <w:unhideWhenUsed/>
    <w:qFormat/>
    <w:uiPriority w:val="99"/>
    <w:rPr>
      <w:rFonts w:ascii="华文仿宋" w:hAnsi="华文仿宋" w:eastAsia="华文仿宋" w:cs="华文仿宋"/>
      <w:color w:val="000000"/>
      <w:u w:val="single"/>
    </w:rPr>
  </w:style>
  <w:style w:type="character" w:styleId="136">
    <w:name w:val="Emphasis"/>
    <w:basedOn w:val="133"/>
    <w:qFormat/>
    <w:uiPriority w:val="20"/>
    <w:rPr>
      <w:rFonts w:ascii="华文仿宋" w:hAnsi="华文仿宋" w:eastAsia="华文仿宋" w:cs="华文仿宋"/>
      <w:i/>
      <w:iCs/>
      <w:color w:val="000000"/>
    </w:rPr>
  </w:style>
  <w:style w:type="character" w:styleId="137">
    <w:name w:val="Hyperlink"/>
    <w:basedOn w:val="133"/>
    <w:semiHidden/>
    <w:unhideWhenUsed/>
    <w:qFormat/>
    <w:uiPriority w:val="99"/>
    <w:rPr>
      <w:rFonts w:ascii="华文仿宋" w:hAnsi="华文仿宋" w:eastAsia="华文仿宋" w:cs="华文仿宋"/>
      <w:color w:val="000000"/>
      <w:u w:val="single"/>
    </w:rPr>
  </w:style>
  <w:style w:type="character" w:customStyle="1" w:styleId="138">
    <w:name w:val="Header Char"/>
    <w:basedOn w:val="133"/>
    <w:link w:val="25"/>
    <w:qFormat/>
    <w:uiPriority w:val="99"/>
    <w:rPr>
      <w:rFonts w:ascii="华文仿宋" w:hAnsi="华文仿宋" w:eastAsia="华文仿宋" w:cs="华文仿宋"/>
      <w:color w:val="000000"/>
    </w:rPr>
  </w:style>
  <w:style w:type="character" w:customStyle="1" w:styleId="139">
    <w:name w:val="Footer Char"/>
    <w:basedOn w:val="133"/>
    <w:link w:val="24"/>
    <w:qFormat/>
    <w:uiPriority w:val="99"/>
    <w:rPr>
      <w:rFonts w:ascii="华文仿宋" w:hAnsi="华文仿宋" w:eastAsia="华文仿宋" w:cs="华文仿宋"/>
      <w:color w:val="000000"/>
    </w:rPr>
  </w:style>
  <w:style w:type="paragraph" w:styleId="140">
    <w:name w:val="No Spacing"/>
    <w:qFormat/>
    <w:uiPriority w:val="1"/>
    <w:pPr>
      <w:spacing w:after="0" w:line="240" w:lineRule="auto"/>
    </w:pPr>
    <w:rPr>
      <w:rFonts w:ascii="华文仿宋" w:hAnsi="华文仿宋" w:eastAsia="华文仿宋" w:cs="华文仿宋"/>
      <w:color w:val="000000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="黑体" w:hAnsi="黑体" w:eastAsia="黑体" w:cs="黑体"/>
      <w:b/>
      <w:bCs/>
      <w:color w:val="000000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="黑体" w:hAnsi="黑体" w:eastAsia="黑体" w:cs="黑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="黑体" w:hAnsi="黑体" w:eastAsia="黑体" w:cs="黑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="黑体" w:hAnsi="黑体" w:eastAsia="黑体" w:cs="黑体"/>
      <w:color w:val="000000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7"/>
    <w:qFormat/>
    <w:uiPriority w:val="11"/>
    <w:rPr>
      <w:rFonts w:ascii="黑体" w:hAnsi="黑体" w:eastAsia="黑体" w:cs="黑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rFonts w:ascii="华文仿宋" w:hAnsi="华文仿宋" w:eastAsia="华文仿宋" w:cs="华文仿宋"/>
      <w:color w:val="000000"/>
    </w:rPr>
  </w:style>
  <w:style w:type="character" w:customStyle="1" w:styleId="147">
    <w:name w:val="Body Text Char"/>
    <w:basedOn w:val="133"/>
    <w:link w:val="19"/>
    <w:qFormat/>
    <w:uiPriority w:val="99"/>
    <w:rPr>
      <w:rFonts w:ascii="华文仿宋" w:hAnsi="华文仿宋" w:eastAsia="华文仿宋" w:cs="华文仿宋"/>
      <w:color w:val="000000"/>
    </w:rPr>
  </w:style>
  <w:style w:type="character" w:customStyle="1" w:styleId="148">
    <w:name w:val="Body Text 2 Char"/>
    <w:basedOn w:val="133"/>
    <w:link w:val="29"/>
    <w:qFormat/>
    <w:uiPriority w:val="99"/>
    <w:rPr>
      <w:rFonts w:ascii="华文仿宋" w:hAnsi="华文仿宋" w:eastAsia="华文仿宋" w:cs="华文仿宋"/>
      <w:color w:val="000000"/>
    </w:rPr>
  </w:style>
  <w:style w:type="character" w:customStyle="1" w:styleId="149">
    <w:name w:val="Body Text 3 Char"/>
    <w:basedOn w:val="133"/>
    <w:link w:val="17"/>
    <w:qFormat/>
    <w:uiPriority w:val="99"/>
    <w:rPr>
      <w:rFonts w:ascii="华文仿宋" w:hAnsi="华文仿宋" w:eastAsia="华文仿宋" w:cs="华文仿宋"/>
      <w:color w:val="000000"/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华文仿宋" w:hAnsi="华文仿宋" w:eastAsia="华文仿宋" w:cs="华文仿宋"/>
      <w:color w:val="000000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rFonts w:ascii="华文仿宋" w:hAnsi="华文仿宋" w:eastAsia="华文仿宋" w:cs="华文仿宋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rFonts w:ascii="华文仿宋" w:hAnsi="华文仿宋" w:eastAsia="华文仿宋" w:cs="华文仿宋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="黑体" w:hAnsi="黑体" w:eastAsia="黑体" w:cs="黑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="黑体" w:hAnsi="黑体" w:eastAsia="黑体" w:cs="黑体"/>
      <w:color w:val="00000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="黑体" w:hAnsi="黑体" w:eastAsia="黑体" w:cs="黑体"/>
      <w:i/>
      <w:iCs/>
      <w:color w:val="00000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="黑体" w:hAnsi="黑体" w:eastAsia="黑体" w:cs="黑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="黑体" w:hAnsi="黑体" w:eastAsia="黑体" w:cs="黑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="黑体" w:hAnsi="黑体" w:eastAsia="黑体" w:cs="黑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华文仿宋" w:hAnsi="华文仿宋" w:eastAsia="华文仿宋" w:cs="华文仿宋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rFonts w:ascii="华文仿宋" w:hAnsi="华文仿宋" w:eastAsia="华文仿宋" w:cs="华文仿宋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rFonts w:ascii="华文仿宋" w:hAnsi="华文仿宋" w:eastAsia="华文仿宋" w:cs="华文仿宋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rFonts w:ascii="华文仿宋" w:hAnsi="华文仿宋" w:eastAsia="华文仿宋" w:cs="华文仿宋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rFonts w:ascii="华文仿宋" w:hAnsi="华文仿宋" w:eastAsia="华文仿宋" w:cs="华文仿宋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rFonts w:ascii="华文仿宋" w:hAnsi="华文仿宋" w:eastAsia="华文仿宋" w:cs="华文仿宋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rFonts w:ascii="华文仿宋" w:hAnsi="华文仿宋" w:eastAsia="华文仿宋" w:cs="华文仿宋"/>
      <w:b/>
      <w:bCs/>
      <w:smallCaps/>
      <w:color w:val="000000"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spacing w:after="200"/>
      <w:ind w:firstLine="0"/>
      <w:outlineLvl w:val="9"/>
    </w:pPr>
    <w:rPr>
      <w:rFonts w:ascii="华文仿宋" w:hAnsi="华文仿宋" w:eastAsia="华文仿宋" w:cs="华文仿宋"/>
      <w:color w:val="000000"/>
      <w:sz w:val="22"/>
    </w:rPr>
  </w:style>
  <w:style w:type="paragraph" w:customStyle="1" w:styleId="167">
    <w:name w:val="TOC 1"/>
    <w:basedOn w:val="1"/>
    <w:qFormat/>
    <w:uiPriority w:val="0"/>
    <w:pPr>
      <w:spacing w:after="200" w:line="264" w:lineRule="auto"/>
      <w:ind w:firstLine="0"/>
    </w:pPr>
    <w:rPr>
      <w:rFonts w:ascii="华文仿宋" w:hAnsi="华文仿宋" w:eastAsia="华文仿宋" w:cs="华文仿宋"/>
      <w:color w:val="000000"/>
      <w:sz w:val="22"/>
    </w:rPr>
  </w:style>
  <w:style w:type="paragraph" w:customStyle="1" w:styleId="168">
    <w:name w:val="TOC 2"/>
    <w:basedOn w:val="1"/>
    <w:qFormat/>
    <w:uiPriority w:val="0"/>
    <w:pPr>
      <w:spacing w:after="200" w:line="264" w:lineRule="auto"/>
      <w:ind w:firstLine="0"/>
    </w:pPr>
    <w:rPr>
      <w:rFonts w:ascii="华文仿宋" w:hAnsi="华文仿宋" w:eastAsia="华文仿宋" w:cs="华文仿宋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96</Words>
  <Characters>159</Characters>
  <Lines>0</Lines>
  <Paragraphs>0</Paragraphs>
  <TotalTime>20</TotalTime>
  <ScaleCrop>false</ScaleCrop>
  <LinksUpToDate>false</LinksUpToDate>
  <CharactersWithSpaces>164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王欢</dc:creator>
  <dc:description>以用户修订后的 Word 为底稿；补充主项目架构与创新点，统一字体、注解和公开项目链接。</dc:description>
  <cp:keywords>AI+工业软件,生产排程,系统集成,ERP,MES,IoT,开源</cp:keywords>
  <cp:lastModifiedBy>晓风残叶1412164690</cp:lastModifiedBy>
  <dcterms:modified xsi:type="dcterms:W3CDTF">2026-10-10T08:13:34Z</dcterms:modified>
  <dc:subject>2026 上海开源软件应用创新大赛 · AI+ 工业软件赛道</dc:subject>
  <dc:title>NexusERP 制造业系统与AI落地作品介绍（整理补充版）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4F6E3900DBEF466AA4417EEE7A132AC1_12</vt:lpwstr>
  </property>
  <property fmtid="{D5CDD505-2E9C-101B-9397-08002B2CF9AE}" pid="4" name="KSOTemplateDocerSaveRecord">
    <vt:lpwstr>eyJoZGlkIjoiMjc5ZjIzYmY4OWQyZWVjMGM5YWY1NWZlMjFiOGM1ZWQiLCJ1c2VySWQiOiIyMjM1MTQ5MCJ9</vt:lpwstr>
  </property>
</Properties>
</file>